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Arial"/>
          <w:b/>
          <w:bCs/>
        </w:rPr>
        <w:id w:val="14554255"/>
        <w:docPartObj>
          <w:docPartGallery w:val="Cover Pages"/>
          <w:docPartUnique/>
        </w:docPartObj>
      </w:sdtPr>
      <w:sdtEndPr>
        <w:rPr>
          <w:b w:val="0"/>
          <w:bCs w:val="0"/>
        </w:rPr>
      </w:sdtEndPr>
      <w:sdtContent>
        <w:p w14:paraId="3A9371E9" w14:textId="77777777" w:rsidR="000C292F" w:rsidRPr="00AC713D" w:rsidRDefault="000C292F" w:rsidP="000C292F">
          <w:pPr>
            <w:rPr>
              <w:rFonts w:cs="Arial"/>
            </w:rPr>
          </w:pPr>
          <w:r w:rsidRPr="00AC713D">
            <w:rPr>
              <w:rFonts w:cs="Arial"/>
              <w:noProof/>
            </w:rPr>
            <w:drawing>
              <wp:anchor distT="0" distB="0" distL="114300" distR="114300" simplePos="0" relativeHeight="251657216" behindDoc="1" locked="0" layoutInCell="1" allowOverlap="1" wp14:anchorId="63238558" wp14:editId="7621C926">
                <wp:simplePos x="0" y="0"/>
                <wp:positionH relativeFrom="margin">
                  <wp:align>right</wp:align>
                </wp:positionH>
                <wp:positionV relativeFrom="paragraph">
                  <wp:posOffset>81280</wp:posOffset>
                </wp:positionV>
                <wp:extent cx="2564130" cy="457200"/>
                <wp:effectExtent l="0" t="0" r="7620" b="0"/>
                <wp:wrapTight wrapText="bothSides">
                  <wp:wrapPolygon edited="0">
                    <wp:start x="0" y="0"/>
                    <wp:lineTo x="0" y="20700"/>
                    <wp:lineTo x="21504" y="20700"/>
                    <wp:lineTo x="21504" y="0"/>
                    <wp:lineTo x="0" y="0"/>
                  </wp:wrapPolygon>
                </wp:wrapTight>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2689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6413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85C8B8" w14:textId="77777777" w:rsidR="000C292F" w:rsidRPr="00AC713D" w:rsidRDefault="000C292F" w:rsidP="000C292F">
          <w:pPr>
            <w:rPr>
              <w:rFonts w:cs="Arial"/>
            </w:rPr>
          </w:pPr>
        </w:p>
        <w:p w14:paraId="387202DA" w14:textId="77777777" w:rsidR="000C292F" w:rsidRPr="00AC713D" w:rsidRDefault="000C292F" w:rsidP="000C292F">
          <w:pPr>
            <w:rPr>
              <w:rFonts w:cs="Arial"/>
            </w:rPr>
          </w:pPr>
        </w:p>
        <w:p w14:paraId="08E42E08" w14:textId="77777777" w:rsidR="000C292F" w:rsidRPr="00AC713D" w:rsidRDefault="000C292F" w:rsidP="000C292F">
          <w:pPr>
            <w:rPr>
              <w:rFonts w:cs="Arial"/>
            </w:rPr>
          </w:pPr>
        </w:p>
        <w:p w14:paraId="34C68B4D" w14:textId="77777777" w:rsidR="000C292F" w:rsidRPr="00AC713D" w:rsidRDefault="000C292F" w:rsidP="000C292F">
          <w:pPr>
            <w:rPr>
              <w:rFonts w:cs="Arial"/>
            </w:rPr>
          </w:pPr>
        </w:p>
        <w:p w14:paraId="3FDACAC3" w14:textId="77777777" w:rsidR="000C292F" w:rsidRPr="00AC713D" w:rsidRDefault="000C292F" w:rsidP="000C292F">
          <w:pPr>
            <w:rPr>
              <w:rFonts w:cs="Arial"/>
            </w:rPr>
          </w:pPr>
        </w:p>
        <w:p w14:paraId="47A160BF" w14:textId="77777777" w:rsidR="000C292F" w:rsidRPr="00AC713D" w:rsidRDefault="000C292F" w:rsidP="000C292F">
          <w:pPr>
            <w:rPr>
              <w:rFonts w:cs="Arial"/>
            </w:rPr>
          </w:pPr>
        </w:p>
        <w:p w14:paraId="15096B49" w14:textId="77777777" w:rsidR="000C292F" w:rsidRPr="00AC713D" w:rsidRDefault="000C292F" w:rsidP="000C292F">
          <w:pPr>
            <w:rPr>
              <w:rFonts w:cs="Arial"/>
            </w:rPr>
          </w:pPr>
        </w:p>
        <w:p w14:paraId="25659894" w14:textId="77777777" w:rsidR="000C292F" w:rsidRPr="00AC713D" w:rsidRDefault="000C292F" w:rsidP="000C292F">
          <w:pPr>
            <w:jc w:val="right"/>
            <w:rPr>
              <w:rStyle w:val="Zdraznn"/>
              <w:rFonts w:cs="Arial"/>
              <w:b/>
              <w:i w:val="0"/>
              <w:sz w:val="56"/>
              <w:szCs w:val="56"/>
            </w:rPr>
          </w:pPr>
          <w:r w:rsidRPr="00AC713D">
            <w:rPr>
              <w:rStyle w:val="Zdraznn"/>
              <w:rFonts w:cs="Arial"/>
              <w:b/>
              <w:sz w:val="56"/>
              <w:szCs w:val="56"/>
            </w:rPr>
            <w:t>PFNonwovens a.s.</w:t>
          </w:r>
        </w:p>
        <w:p w14:paraId="459B1D10" w14:textId="77777777" w:rsidR="000C292F" w:rsidRPr="00AC713D" w:rsidRDefault="000C292F" w:rsidP="000C292F">
          <w:pPr>
            <w:jc w:val="right"/>
            <w:rPr>
              <w:rStyle w:val="Zdraznn"/>
              <w:rFonts w:cs="Arial"/>
              <w:b/>
              <w:i w:val="0"/>
              <w:sz w:val="40"/>
              <w:szCs w:val="40"/>
            </w:rPr>
          </w:pPr>
          <w:r w:rsidRPr="00AC713D">
            <w:rPr>
              <w:rStyle w:val="Zdraznn"/>
              <w:rFonts w:cs="Arial"/>
              <w:b/>
              <w:sz w:val="40"/>
              <w:szCs w:val="40"/>
            </w:rPr>
            <w:t>POLOLETNÍ ZPRÁVA</w:t>
          </w:r>
        </w:p>
        <w:p w14:paraId="6AB6CA99" w14:textId="0EF1AE79" w:rsidR="000C292F" w:rsidRPr="00AC713D" w:rsidRDefault="00F34480" w:rsidP="000C292F">
          <w:pPr>
            <w:jc w:val="right"/>
            <w:rPr>
              <w:rStyle w:val="Zdraznn"/>
              <w:rFonts w:cs="Arial"/>
              <w:b/>
              <w:i w:val="0"/>
            </w:rPr>
          </w:pPr>
          <w:r w:rsidRPr="00AC713D">
            <w:rPr>
              <w:rStyle w:val="Zdraznn"/>
              <w:rFonts w:cs="Arial"/>
              <w:b/>
              <w:sz w:val="40"/>
              <w:szCs w:val="40"/>
            </w:rPr>
            <w:t>2020</w:t>
          </w:r>
        </w:p>
        <w:p w14:paraId="01873CFB" w14:textId="77777777" w:rsidR="000C292F" w:rsidRPr="00AC713D" w:rsidRDefault="000C292F" w:rsidP="000C292F">
          <w:pPr>
            <w:jc w:val="right"/>
            <w:rPr>
              <w:rFonts w:cs="Arial"/>
            </w:rPr>
          </w:pPr>
        </w:p>
        <w:p w14:paraId="3C3B2427" w14:textId="77777777" w:rsidR="000C292F" w:rsidRPr="00AC713D" w:rsidRDefault="000C292F" w:rsidP="000C292F">
          <w:pPr>
            <w:jc w:val="right"/>
            <w:rPr>
              <w:rFonts w:cs="Arial"/>
            </w:rPr>
          </w:pPr>
        </w:p>
        <w:p w14:paraId="43E6C423" w14:textId="77777777" w:rsidR="000C292F" w:rsidRPr="00AC713D" w:rsidRDefault="000C292F" w:rsidP="000C292F">
          <w:pPr>
            <w:jc w:val="right"/>
            <w:rPr>
              <w:rFonts w:cs="Arial"/>
            </w:rPr>
          </w:pPr>
        </w:p>
        <w:p w14:paraId="06FF3B19" w14:textId="77777777" w:rsidR="000C292F" w:rsidRPr="00AC713D" w:rsidRDefault="000C292F" w:rsidP="000C292F">
          <w:pPr>
            <w:jc w:val="right"/>
            <w:rPr>
              <w:rFonts w:cs="Arial"/>
            </w:rPr>
          </w:pPr>
        </w:p>
        <w:p w14:paraId="088AF365" w14:textId="77777777" w:rsidR="000C292F" w:rsidRPr="00AC713D" w:rsidRDefault="000C292F" w:rsidP="000C292F">
          <w:pPr>
            <w:jc w:val="right"/>
            <w:rPr>
              <w:rFonts w:cs="Arial"/>
            </w:rPr>
          </w:pPr>
        </w:p>
        <w:p w14:paraId="55A81DD7" w14:textId="77777777" w:rsidR="000C292F" w:rsidRPr="00AC713D" w:rsidRDefault="000C292F" w:rsidP="000C292F">
          <w:pPr>
            <w:jc w:val="right"/>
            <w:rPr>
              <w:rFonts w:cs="Arial"/>
            </w:rPr>
          </w:pPr>
        </w:p>
        <w:p w14:paraId="2D8DAB21" w14:textId="77777777" w:rsidR="000C292F" w:rsidRPr="00AC713D" w:rsidRDefault="000C292F" w:rsidP="000C292F">
          <w:pPr>
            <w:jc w:val="right"/>
            <w:rPr>
              <w:rFonts w:cs="Arial"/>
            </w:rPr>
          </w:pPr>
        </w:p>
        <w:p w14:paraId="2EEAEBA7" w14:textId="525FC57F" w:rsidR="000C292F" w:rsidRPr="00AC713D" w:rsidRDefault="0055452E" w:rsidP="000C292F">
          <w:pPr>
            <w:jc w:val="right"/>
            <w:rPr>
              <w:rFonts w:cs="Arial"/>
            </w:rPr>
          </w:pPr>
          <w:r w:rsidRPr="0055452E">
            <w:rPr>
              <w:rFonts w:cs="Arial"/>
            </w:rPr>
            <w:t>31</w:t>
          </w:r>
          <w:r w:rsidR="000C292F" w:rsidRPr="0055452E">
            <w:rPr>
              <w:rFonts w:cs="Arial"/>
            </w:rPr>
            <w:t xml:space="preserve">. srpna </w:t>
          </w:r>
          <w:r w:rsidR="00F34480" w:rsidRPr="0055452E">
            <w:rPr>
              <w:rFonts w:cs="Arial"/>
            </w:rPr>
            <w:t>2020</w:t>
          </w:r>
          <w:r w:rsidR="000C292F" w:rsidRPr="00AC713D">
            <w:rPr>
              <w:rFonts w:cs="Arial"/>
            </w:rPr>
            <w:br w:type="page"/>
          </w:r>
        </w:p>
      </w:sdtContent>
    </w:sdt>
    <w:p w14:paraId="055F3745" w14:textId="77777777" w:rsidR="000C292F" w:rsidRPr="00AC713D" w:rsidRDefault="000C292F" w:rsidP="000C292F">
      <w:pPr>
        <w:rPr>
          <w:rFonts w:cs="Arial"/>
        </w:rPr>
      </w:pPr>
    </w:p>
    <w:sdt>
      <w:sdtPr>
        <w:rPr>
          <w:rFonts w:ascii="Arial" w:eastAsia="Times New Roman" w:hAnsi="Arial" w:cs="Arial"/>
          <w:b w:val="0"/>
          <w:bCs w:val="0"/>
          <w:color w:val="auto"/>
          <w:sz w:val="24"/>
          <w:szCs w:val="24"/>
          <w:lang w:eastAsia="cs-CZ"/>
        </w:rPr>
        <w:id w:val="1866167944"/>
        <w:docPartObj>
          <w:docPartGallery w:val="Table of Contents"/>
          <w:docPartUnique/>
        </w:docPartObj>
      </w:sdtPr>
      <w:sdtEndPr>
        <w:rPr>
          <w:noProof/>
        </w:rPr>
      </w:sdtEndPr>
      <w:sdtContent>
        <w:p w14:paraId="30D7FE20" w14:textId="7F87D6D7" w:rsidR="000C292F" w:rsidRPr="00AC713D" w:rsidRDefault="000C292F" w:rsidP="00DD780A">
          <w:pPr>
            <w:pStyle w:val="Nadpisobsahu"/>
            <w:spacing w:before="0" w:line="240" w:lineRule="auto"/>
            <w:rPr>
              <w:rFonts w:ascii="Arial" w:hAnsi="Arial" w:cs="Arial"/>
              <w:color w:val="auto"/>
              <w:sz w:val="48"/>
              <w:szCs w:val="48"/>
            </w:rPr>
          </w:pPr>
          <w:r w:rsidRPr="00AC713D">
            <w:rPr>
              <w:rFonts w:ascii="Arial" w:hAnsi="Arial" w:cs="Arial"/>
              <w:color w:val="auto"/>
              <w:sz w:val="48"/>
              <w:szCs w:val="48"/>
            </w:rPr>
            <w:t>Obsah</w:t>
          </w:r>
        </w:p>
        <w:p w14:paraId="367C90FD" w14:textId="104B6527" w:rsidR="00DD780A" w:rsidRDefault="000C292F" w:rsidP="00DD780A">
          <w:pPr>
            <w:pStyle w:val="Obsah1"/>
            <w:spacing w:before="0" w:beforeAutospacing="0" w:after="0" w:afterAutospacing="0"/>
            <w:rPr>
              <w:rFonts w:asciiTheme="minorHAnsi" w:eastAsiaTheme="minorEastAsia" w:hAnsiTheme="minorHAnsi" w:cstheme="minorBidi"/>
              <w:b w:val="0"/>
              <w:sz w:val="22"/>
              <w:szCs w:val="22"/>
              <w:lang w:val="cs-CZ"/>
            </w:rPr>
          </w:pPr>
          <w:r w:rsidRPr="00AC713D">
            <w:rPr>
              <w:rFonts w:cs="Arial"/>
              <w:lang w:val="cs-CZ"/>
            </w:rPr>
            <w:fldChar w:fldCharType="begin"/>
          </w:r>
          <w:r w:rsidRPr="00AC713D">
            <w:rPr>
              <w:rFonts w:cs="Arial"/>
              <w:lang w:val="cs-CZ"/>
            </w:rPr>
            <w:instrText xml:space="preserve"> TOC \o "1-3" \h \z \u </w:instrText>
          </w:r>
          <w:r w:rsidRPr="00AC713D">
            <w:rPr>
              <w:rFonts w:cs="Arial"/>
              <w:lang w:val="cs-CZ"/>
            </w:rPr>
            <w:fldChar w:fldCharType="separate"/>
          </w:r>
          <w:hyperlink w:anchor="_Toc47644458" w:history="1">
            <w:r w:rsidR="00DD780A" w:rsidRPr="00766CC6">
              <w:rPr>
                <w:rStyle w:val="Hypertextovodkaz"/>
                <w:rFonts w:cs="Arial"/>
                <w:i/>
                <w:iCs/>
              </w:rPr>
              <w:t>Úvod</w:t>
            </w:r>
            <w:r w:rsidR="00DD780A">
              <w:rPr>
                <w:webHidden/>
              </w:rPr>
              <w:tab/>
            </w:r>
            <w:r w:rsidR="00DD780A">
              <w:rPr>
                <w:webHidden/>
              </w:rPr>
              <w:fldChar w:fldCharType="begin"/>
            </w:r>
            <w:r w:rsidR="00DD780A">
              <w:rPr>
                <w:webHidden/>
              </w:rPr>
              <w:instrText xml:space="preserve"> PAGEREF _Toc47644458 \h </w:instrText>
            </w:r>
            <w:r w:rsidR="00DD780A">
              <w:rPr>
                <w:webHidden/>
              </w:rPr>
            </w:r>
            <w:r w:rsidR="00DD780A">
              <w:rPr>
                <w:webHidden/>
              </w:rPr>
              <w:fldChar w:fldCharType="separate"/>
            </w:r>
            <w:r w:rsidR="0055452E">
              <w:rPr>
                <w:webHidden/>
              </w:rPr>
              <w:t>3</w:t>
            </w:r>
            <w:r w:rsidR="00DD780A">
              <w:rPr>
                <w:webHidden/>
              </w:rPr>
              <w:fldChar w:fldCharType="end"/>
            </w:r>
          </w:hyperlink>
        </w:p>
        <w:p w14:paraId="63D30B81" w14:textId="604ADC07" w:rsidR="00DD780A" w:rsidRDefault="0055452E" w:rsidP="00DD780A">
          <w:pPr>
            <w:pStyle w:val="Obsah1"/>
            <w:spacing w:before="0" w:beforeAutospacing="0" w:after="0" w:afterAutospacing="0"/>
            <w:rPr>
              <w:rFonts w:asciiTheme="minorHAnsi" w:eastAsiaTheme="minorEastAsia" w:hAnsiTheme="minorHAnsi" w:cstheme="minorBidi"/>
              <w:b w:val="0"/>
              <w:sz w:val="22"/>
              <w:szCs w:val="22"/>
              <w:lang w:val="cs-CZ"/>
            </w:rPr>
          </w:pPr>
          <w:hyperlink w:anchor="_Toc47644459" w:history="1">
            <w:r w:rsidR="00DD780A" w:rsidRPr="00766CC6">
              <w:rPr>
                <w:rStyle w:val="Hypertextovodkaz"/>
                <w:rFonts w:cs="Arial"/>
              </w:rPr>
              <w:t>Hlavní údaje za první pololetí 2020</w:t>
            </w:r>
            <w:r w:rsidR="00DD780A">
              <w:rPr>
                <w:webHidden/>
              </w:rPr>
              <w:tab/>
            </w:r>
            <w:r w:rsidR="00DD780A">
              <w:rPr>
                <w:webHidden/>
              </w:rPr>
              <w:fldChar w:fldCharType="begin"/>
            </w:r>
            <w:r w:rsidR="00DD780A">
              <w:rPr>
                <w:webHidden/>
              </w:rPr>
              <w:instrText xml:space="preserve"> PAGEREF _Toc47644459 \h </w:instrText>
            </w:r>
            <w:r w:rsidR="00DD780A">
              <w:rPr>
                <w:webHidden/>
              </w:rPr>
            </w:r>
            <w:r w:rsidR="00DD780A">
              <w:rPr>
                <w:webHidden/>
              </w:rPr>
              <w:fldChar w:fldCharType="separate"/>
            </w:r>
            <w:r>
              <w:rPr>
                <w:webHidden/>
              </w:rPr>
              <w:t>4</w:t>
            </w:r>
            <w:r w:rsidR="00DD780A">
              <w:rPr>
                <w:webHidden/>
              </w:rPr>
              <w:fldChar w:fldCharType="end"/>
            </w:r>
          </w:hyperlink>
        </w:p>
        <w:p w14:paraId="326D4CA6" w14:textId="410FD301" w:rsidR="00DD780A" w:rsidRDefault="0055452E" w:rsidP="00DD780A">
          <w:pPr>
            <w:pStyle w:val="Obsah1"/>
            <w:spacing w:before="0" w:beforeAutospacing="0" w:after="0" w:afterAutospacing="0"/>
            <w:rPr>
              <w:rFonts w:asciiTheme="minorHAnsi" w:eastAsiaTheme="minorEastAsia" w:hAnsiTheme="minorHAnsi" w:cstheme="minorBidi"/>
              <w:b w:val="0"/>
              <w:sz w:val="22"/>
              <w:szCs w:val="22"/>
              <w:lang w:val="cs-CZ"/>
            </w:rPr>
          </w:pPr>
          <w:hyperlink w:anchor="_Toc47644460" w:history="1">
            <w:r w:rsidR="00DD780A" w:rsidRPr="00766CC6">
              <w:rPr>
                <w:rStyle w:val="Hypertextovodkaz"/>
                <w:rFonts w:cs="Arial"/>
              </w:rPr>
              <w:t>Mezitímní zpráva o podnikání za první pololetí 2020</w:t>
            </w:r>
            <w:r w:rsidR="00DD780A">
              <w:rPr>
                <w:webHidden/>
              </w:rPr>
              <w:tab/>
            </w:r>
            <w:r w:rsidR="00DD780A">
              <w:rPr>
                <w:webHidden/>
              </w:rPr>
              <w:fldChar w:fldCharType="begin"/>
            </w:r>
            <w:r w:rsidR="00DD780A">
              <w:rPr>
                <w:webHidden/>
              </w:rPr>
              <w:instrText xml:space="preserve"> PAGEREF _Toc47644460 \h </w:instrText>
            </w:r>
            <w:r w:rsidR="00DD780A">
              <w:rPr>
                <w:webHidden/>
              </w:rPr>
            </w:r>
            <w:r w:rsidR="00DD780A">
              <w:rPr>
                <w:webHidden/>
              </w:rPr>
              <w:fldChar w:fldCharType="separate"/>
            </w:r>
            <w:r>
              <w:rPr>
                <w:webHidden/>
              </w:rPr>
              <w:t>6</w:t>
            </w:r>
            <w:r w:rsidR="00DD780A">
              <w:rPr>
                <w:webHidden/>
              </w:rPr>
              <w:fldChar w:fldCharType="end"/>
            </w:r>
          </w:hyperlink>
        </w:p>
        <w:p w14:paraId="26224EA7" w14:textId="2F1B94A7" w:rsidR="00DD780A" w:rsidRDefault="0055452E" w:rsidP="00DD780A">
          <w:pPr>
            <w:pStyle w:val="Obsah2"/>
            <w:tabs>
              <w:tab w:val="right" w:leader="dot" w:pos="9062"/>
            </w:tabs>
            <w:spacing w:before="0" w:beforeAutospacing="0" w:after="0" w:afterAutospacing="0"/>
            <w:rPr>
              <w:rFonts w:asciiTheme="minorHAnsi" w:eastAsiaTheme="minorEastAsia" w:hAnsiTheme="minorHAnsi" w:cstheme="minorBidi"/>
              <w:noProof/>
              <w:sz w:val="22"/>
              <w:szCs w:val="22"/>
            </w:rPr>
          </w:pPr>
          <w:hyperlink w:anchor="_Toc47644461" w:history="1">
            <w:r w:rsidR="00DD780A" w:rsidRPr="00766CC6">
              <w:rPr>
                <w:rStyle w:val="Hypertextovodkaz"/>
                <w:rFonts w:cs="Arial"/>
                <w:noProof/>
              </w:rPr>
              <w:t>Finanční výsledky za první pololetí 2020</w:t>
            </w:r>
            <w:r w:rsidR="00DD780A">
              <w:rPr>
                <w:noProof/>
                <w:webHidden/>
              </w:rPr>
              <w:tab/>
            </w:r>
            <w:r w:rsidR="00DD780A">
              <w:rPr>
                <w:noProof/>
                <w:webHidden/>
              </w:rPr>
              <w:fldChar w:fldCharType="begin"/>
            </w:r>
            <w:r w:rsidR="00DD780A">
              <w:rPr>
                <w:noProof/>
                <w:webHidden/>
              </w:rPr>
              <w:instrText xml:space="preserve"> PAGEREF _Toc47644461 \h </w:instrText>
            </w:r>
            <w:r w:rsidR="00DD780A">
              <w:rPr>
                <w:noProof/>
                <w:webHidden/>
              </w:rPr>
            </w:r>
            <w:r w:rsidR="00DD780A">
              <w:rPr>
                <w:noProof/>
                <w:webHidden/>
              </w:rPr>
              <w:fldChar w:fldCharType="separate"/>
            </w:r>
            <w:r>
              <w:rPr>
                <w:noProof/>
                <w:webHidden/>
              </w:rPr>
              <w:t>7</w:t>
            </w:r>
            <w:r w:rsidR="00DD780A">
              <w:rPr>
                <w:noProof/>
                <w:webHidden/>
              </w:rPr>
              <w:fldChar w:fldCharType="end"/>
            </w:r>
          </w:hyperlink>
        </w:p>
        <w:p w14:paraId="0D30280D" w14:textId="648527A8" w:rsidR="00DD780A" w:rsidRDefault="0055452E" w:rsidP="00DD780A">
          <w:pPr>
            <w:pStyle w:val="Obsah2"/>
            <w:tabs>
              <w:tab w:val="right" w:leader="dot" w:pos="9062"/>
            </w:tabs>
            <w:spacing w:before="0" w:beforeAutospacing="0" w:after="0" w:afterAutospacing="0"/>
            <w:rPr>
              <w:rFonts w:asciiTheme="minorHAnsi" w:eastAsiaTheme="minorEastAsia" w:hAnsiTheme="minorHAnsi" w:cstheme="minorBidi"/>
              <w:noProof/>
              <w:sz w:val="22"/>
              <w:szCs w:val="22"/>
            </w:rPr>
          </w:pPr>
          <w:hyperlink w:anchor="_Toc47644462" w:history="1">
            <w:r w:rsidR="00DD780A" w:rsidRPr="00766CC6">
              <w:rPr>
                <w:rStyle w:val="Hypertextovodkaz"/>
                <w:rFonts w:cs="Arial"/>
                <w:noProof/>
              </w:rPr>
              <w:t>Výzkum a vývoj</w:t>
            </w:r>
            <w:r w:rsidR="00DD780A">
              <w:rPr>
                <w:noProof/>
                <w:webHidden/>
              </w:rPr>
              <w:tab/>
            </w:r>
            <w:r w:rsidR="00DD780A">
              <w:rPr>
                <w:noProof/>
                <w:webHidden/>
              </w:rPr>
              <w:fldChar w:fldCharType="begin"/>
            </w:r>
            <w:r w:rsidR="00DD780A">
              <w:rPr>
                <w:noProof/>
                <w:webHidden/>
              </w:rPr>
              <w:instrText xml:space="preserve"> PAGEREF _Toc47644462 \h </w:instrText>
            </w:r>
            <w:r w:rsidR="00DD780A">
              <w:rPr>
                <w:noProof/>
                <w:webHidden/>
              </w:rPr>
            </w:r>
            <w:r w:rsidR="00DD780A">
              <w:rPr>
                <w:noProof/>
                <w:webHidden/>
              </w:rPr>
              <w:fldChar w:fldCharType="separate"/>
            </w:r>
            <w:r>
              <w:rPr>
                <w:noProof/>
                <w:webHidden/>
              </w:rPr>
              <w:t>9</w:t>
            </w:r>
            <w:r w:rsidR="00DD780A">
              <w:rPr>
                <w:noProof/>
                <w:webHidden/>
              </w:rPr>
              <w:fldChar w:fldCharType="end"/>
            </w:r>
          </w:hyperlink>
        </w:p>
        <w:p w14:paraId="0B7D23DD" w14:textId="19741C87" w:rsidR="00DD780A" w:rsidRDefault="0055452E" w:rsidP="00DD780A">
          <w:pPr>
            <w:pStyle w:val="Obsah2"/>
            <w:tabs>
              <w:tab w:val="right" w:leader="dot" w:pos="9062"/>
            </w:tabs>
            <w:spacing w:before="0" w:beforeAutospacing="0" w:after="0" w:afterAutospacing="0"/>
            <w:rPr>
              <w:rFonts w:asciiTheme="minorHAnsi" w:eastAsiaTheme="minorEastAsia" w:hAnsiTheme="minorHAnsi" w:cstheme="minorBidi"/>
              <w:noProof/>
              <w:sz w:val="22"/>
              <w:szCs w:val="22"/>
            </w:rPr>
          </w:pPr>
          <w:hyperlink w:anchor="_Toc47644463" w:history="1">
            <w:r w:rsidR="00DD780A" w:rsidRPr="00766CC6">
              <w:rPr>
                <w:rStyle w:val="Hypertextovodkaz"/>
                <w:rFonts w:cs="Arial"/>
                <w:noProof/>
              </w:rPr>
              <w:t>Rizikové faktory</w:t>
            </w:r>
            <w:r w:rsidR="00DD780A">
              <w:rPr>
                <w:noProof/>
                <w:webHidden/>
              </w:rPr>
              <w:tab/>
            </w:r>
            <w:r w:rsidR="00DD780A">
              <w:rPr>
                <w:noProof/>
                <w:webHidden/>
              </w:rPr>
              <w:fldChar w:fldCharType="begin"/>
            </w:r>
            <w:r w:rsidR="00DD780A">
              <w:rPr>
                <w:noProof/>
                <w:webHidden/>
              </w:rPr>
              <w:instrText xml:space="preserve"> PAGEREF _Toc47644463 \h </w:instrText>
            </w:r>
            <w:r w:rsidR="00DD780A">
              <w:rPr>
                <w:noProof/>
                <w:webHidden/>
              </w:rPr>
            </w:r>
            <w:r w:rsidR="00DD780A">
              <w:rPr>
                <w:noProof/>
                <w:webHidden/>
              </w:rPr>
              <w:fldChar w:fldCharType="separate"/>
            </w:r>
            <w:r>
              <w:rPr>
                <w:noProof/>
                <w:webHidden/>
              </w:rPr>
              <w:t>9</w:t>
            </w:r>
            <w:r w:rsidR="00DD780A">
              <w:rPr>
                <w:noProof/>
                <w:webHidden/>
              </w:rPr>
              <w:fldChar w:fldCharType="end"/>
            </w:r>
          </w:hyperlink>
        </w:p>
        <w:p w14:paraId="5AD57E0B" w14:textId="2A43F1FF" w:rsidR="00DD780A" w:rsidRDefault="0055452E" w:rsidP="00DD780A">
          <w:pPr>
            <w:pStyle w:val="Obsah2"/>
            <w:tabs>
              <w:tab w:val="right" w:leader="dot" w:pos="9062"/>
            </w:tabs>
            <w:spacing w:before="0" w:beforeAutospacing="0" w:after="0" w:afterAutospacing="0"/>
            <w:rPr>
              <w:rFonts w:asciiTheme="minorHAnsi" w:eastAsiaTheme="minorEastAsia" w:hAnsiTheme="minorHAnsi" w:cstheme="minorBidi"/>
              <w:noProof/>
              <w:sz w:val="22"/>
              <w:szCs w:val="22"/>
            </w:rPr>
          </w:pPr>
          <w:hyperlink w:anchor="_Toc47644464" w:history="1">
            <w:r w:rsidR="00DD780A" w:rsidRPr="00766CC6">
              <w:rPr>
                <w:rStyle w:val="Hypertextovodkaz"/>
                <w:rFonts w:cs="Arial"/>
                <w:noProof/>
              </w:rPr>
              <w:t>Očekáváný vývoj finanční situace, podnikatelské činnosti a výsledků hospodaření v 2.  pololetí 2020</w:t>
            </w:r>
            <w:r w:rsidR="00DD780A">
              <w:rPr>
                <w:noProof/>
                <w:webHidden/>
              </w:rPr>
              <w:tab/>
            </w:r>
            <w:r w:rsidR="00DD780A">
              <w:rPr>
                <w:noProof/>
                <w:webHidden/>
              </w:rPr>
              <w:fldChar w:fldCharType="begin"/>
            </w:r>
            <w:r w:rsidR="00DD780A">
              <w:rPr>
                <w:noProof/>
                <w:webHidden/>
              </w:rPr>
              <w:instrText xml:space="preserve"> PAGEREF _Toc47644464 \h </w:instrText>
            </w:r>
            <w:r w:rsidR="00DD780A">
              <w:rPr>
                <w:noProof/>
                <w:webHidden/>
              </w:rPr>
            </w:r>
            <w:r w:rsidR="00DD780A">
              <w:rPr>
                <w:noProof/>
                <w:webHidden/>
              </w:rPr>
              <w:fldChar w:fldCharType="separate"/>
            </w:r>
            <w:r>
              <w:rPr>
                <w:noProof/>
                <w:webHidden/>
              </w:rPr>
              <w:t>10</w:t>
            </w:r>
            <w:r w:rsidR="00DD780A">
              <w:rPr>
                <w:noProof/>
                <w:webHidden/>
              </w:rPr>
              <w:fldChar w:fldCharType="end"/>
            </w:r>
          </w:hyperlink>
        </w:p>
        <w:p w14:paraId="4B516501" w14:textId="0C42E8F1" w:rsidR="00DD780A" w:rsidRDefault="0055452E" w:rsidP="00DD780A">
          <w:pPr>
            <w:pStyle w:val="Obsah1"/>
            <w:spacing w:before="0" w:beforeAutospacing="0" w:after="0" w:afterAutospacing="0"/>
            <w:rPr>
              <w:rFonts w:asciiTheme="minorHAnsi" w:eastAsiaTheme="minorEastAsia" w:hAnsiTheme="minorHAnsi" w:cstheme="minorBidi"/>
              <w:b w:val="0"/>
              <w:sz w:val="22"/>
              <w:szCs w:val="22"/>
              <w:lang w:val="cs-CZ"/>
            </w:rPr>
          </w:pPr>
          <w:hyperlink w:anchor="_Toc47644465" w:history="1">
            <w:r w:rsidR="00DD780A" w:rsidRPr="00766CC6">
              <w:rPr>
                <w:rStyle w:val="Hypertextovodkaz"/>
                <w:rFonts w:cs="Arial"/>
              </w:rPr>
              <w:t>Akcie a akcionářská struktura</w:t>
            </w:r>
            <w:r w:rsidR="00DD780A">
              <w:rPr>
                <w:webHidden/>
              </w:rPr>
              <w:tab/>
            </w:r>
            <w:r w:rsidR="00DD780A">
              <w:rPr>
                <w:webHidden/>
              </w:rPr>
              <w:fldChar w:fldCharType="begin"/>
            </w:r>
            <w:r w:rsidR="00DD780A">
              <w:rPr>
                <w:webHidden/>
              </w:rPr>
              <w:instrText xml:space="preserve"> PAGEREF _Toc47644465 \h </w:instrText>
            </w:r>
            <w:r w:rsidR="00DD780A">
              <w:rPr>
                <w:webHidden/>
              </w:rPr>
            </w:r>
            <w:r w:rsidR="00DD780A">
              <w:rPr>
                <w:webHidden/>
              </w:rPr>
              <w:fldChar w:fldCharType="separate"/>
            </w:r>
            <w:r>
              <w:rPr>
                <w:webHidden/>
              </w:rPr>
              <w:t>11</w:t>
            </w:r>
            <w:r w:rsidR="00DD780A">
              <w:rPr>
                <w:webHidden/>
              </w:rPr>
              <w:fldChar w:fldCharType="end"/>
            </w:r>
          </w:hyperlink>
        </w:p>
        <w:p w14:paraId="0C9CBE9E" w14:textId="12FD0BCF" w:rsidR="00DD780A" w:rsidRDefault="0055452E" w:rsidP="00DD780A">
          <w:pPr>
            <w:pStyle w:val="Obsah1"/>
            <w:spacing w:before="0" w:beforeAutospacing="0" w:after="0" w:afterAutospacing="0"/>
            <w:rPr>
              <w:rFonts w:asciiTheme="minorHAnsi" w:eastAsiaTheme="minorEastAsia" w:hAnsiTheme="minorHAnsi" w:cstheme="minorBidi"/>
              <w:b w:val="0"/>
              <w:sz w:val="22"/>
              <w:szCs w:val="22"/>
              <w:lang w:val="cs-CZ"/>
            </w:rPr>
          </w:pPr>
          <w:hyperlink w:anchor="_Toc47644466" w:history="1">
            <w:r w:rsidR="00DD780A" w:rsidRPr="00766CC6">
              <w:rPr>
                <w:rStyle w:val="Hypertextovodkaz"/>
                <w:rFonts w:cs="Arial"/>
              </w:rPr>
              <w:t>Dividendová politika</w:t>
            </w:r>
            <w:r w:rsidR="00DD780A">
              <w:rPr>
                <w:webHidden/>
              </w:rPr>
              <w:tab/>
            </w:r>
            <w:r w:rsidR="00DD780A">
              <w:rPr>
                <w:webHidden/>
              </w:rPr>
              <w:fldChar w:fldCharType="begin"/>
            </w:r>
            <w:r w:rsidR="00DD780A">
              <w:rPr>
                <w:webHidden/>
              </w:rPr>
              <w:instrText xml:space="preserve"> PAGEREF _Toc47644466 \h </w:instrText>
            </w:r>
            <w:r w:rsidR="00DD780A">
              <w:rPr>
                <w:webHidden/>
              </w:rPr>
            </w:r>
            <w:r w:rsidR="00DD780A">
              <w:rPr>
                <w:webHidden/>
              </w:rPr>
              <w:fldChar w:fldCharType="separate"/>
            </w:r>
            <w:r>
              <w:rPr>
                <w:webHidden/>
              </w:rPr>
              <w:t>12</w:t>
            </w:r>
            <w:r w:rsidR="00DD780A">
              <w:rPr>
                <w:webHidden/>
              </w:rPr>
              <w:fldChar w:fldCharType="end"/>
            </w:r>
          </w:hyperlink>
        </w:p>
        <w:p w14:paraId="74497269" w14:textId="2EB43A4C" w:rsidR="00DD780A" w:rsidRDefault="0055452E" w:rsidP="00DD780A">
          <w:pPr>
            <w:pStyle w:val="Obsah1"/>
            <w:spacing w:before="0" w:beforeAutospacing="0" w:after="0" w:afterAutospacing="0"/>
            <w:rPr>
              <w:rFonts w:asciiTheme="minorHAnsi" w:eastAsiaTheme="minorEastAsia" w:hAnsiTheme="minorHAnsi" w:cstheme="minorBidi"/>
              <w:b w:val="0"/>
              <w:sz w:val="22"/>
              <w:szCs w:val="22"/>
              <w:lang w:val="cs-CZ"/>
            </w:rPr>
          </w:pPr>
          <w:hyperlink w:anchor="_Toc47644467" w:history="1">
            <w:r w:rsidR="00DD780A" w:rsidRPr="00766CC6">
              <w:rPr>
                <w:rStyle w:val="Hypertextovodkaz"/>
                <w:rFonts w:cs="Arial"/>
              </w:rPr>
              <w:t>Správa a řízení Společnosti</w:t>
            </w:r>
            <w:r w:rsidR="00DD780A">
              <w:rPr>
                <w:webHidden/>
              </w:rPr>
              <w:tab/>
            </w:r>
            <w:r w:rsidR="00DD780A">
              <w:rPr>
                <w:webHidden/>
              </w:rPr>
              <w:fldChar w:fldCharType="begin"/>
            </w:r>
            <w:r w:rsidR="00DD780A">
              <w:rPr>
                <w:webHidden/>
              </w:rPr>
              <w:instrText xml:space="preserve"> PAGEREF _Toc47644467 \h </w:instrText>
            </w:r>
            <w:r w:rsidR="00DD780A">
              <w:rPr>
                <w:webHidden/>
              </w:rPr>
            </w:r>
            <w:r w:rsidR="00DD780A">
              <w:rPr>
                <w:webHidden/>
              </w:rPr>
              <w:fldChar w:fldCharType="separate"/>
            </w:r>
            <w:r>
              <w:rPr>
                <w:webHidden/>
              </w:rPr>
              <w:t>12</w:t>
            </w:r>
            <w:r w:rsidR="00DD780A">
              <w:rPr>
                <w:webHidden/>
              </w:rPr>
              <w:fldChar w:fldCharType="end"/>
            </w:r>
          </w:hyperlink>
        </w:p>
        <w:p w14:paraId="40B71D22" w14:textId="6AB61402" w:rsidR="00DD780A" w:rsidRDefault="0055452E" w:rsidP="00DD780A">
          <w:pPr>
            <w:pStyle w:val="Obsah1"/>
            <w:spacing w:before="0" w:beforeAutospacing="0" w:after="0" w:afterAutospacing="0"/>
            <w:rPr>
              <w:rFonts w:asciiTheme="minorHAnsi" w:eastAsiaTheme="minorEastAsia" w:hAnsiTheme="minorHAnsi" w:cstheme="minorBidi"/>
              <w:b w:val="0"/>
              <w:sz w:val="22"/>
              <w:szCs w:val="22"/>
              <w:lang w:val="cs-CZ"/>
            </w:rPr>
          </w:pPr>
          <w:hyperlink w:anchor="_Toc47644468" w:history="1">
            <w:r w:rsidR="00DD780A" w:rsidRPr="00766CC6">
              <w:rPr>
                <w:rStyle w:val="Hypertextovodkaz"/>
                <w:rFonts w:cs="Arial"/>
              </w:rPr>
              <w:t>Mezitímní neauditovaná konsolidovaná účetní závěrka</w:t>
            </w:r>
            <w:r w:rsidR="00DD780A">
              <w:rPr>
                <w:webHidden/>
              </w:rPr>
              <w:tab/>
            </w:r>
            <w:r w:rsidR="00DD780A">
              <w:rPr>
                <w:webHidden/>
              </w:rPr>
              <w:fldChar w:fldCharType="begin"/>
            </w:r>
            <w:r w:rsidR="00DD780A">
              <w:rPr>
                <w:webHidden/>
              </w:rPr>
              <w:instrText xml:space="preserve"> PAGEREF _Toc47644468 \h </w:instrText>
            </w:r>
            <w:r w:rsidR="00DD780A">
              <w:rPr>
                <w:webHidden/>
              </w:rPr>
            </w:r>
            <w:r w:rsidR="00DD780A">
              <w:rPr>
                <w:webHidden/>
              </w:rPr>
              <w:fldChar w:fldCharType="separate"/>
            </w:r>
            <w:r>
              <w:rPr>
                <w:webHidden/>
              </w:rPr>
              <w:t>15</w:t>
            </w:r>
            <w:r w:rsidR="00DD780A">
              <w:rPr>
                <w:webHidden/>
              </w:rPr>
              <w:fldChar w:fldCharType="end"/>
            </w:r>
          </w:hyperlink>
        </w:p>
        <w:p w14:paraId="4BE565E9" w14:textId="7D6E2AE6" w:rsidR="00DD780A" w:rsidRDefault="0055452E" w:rsidP="00DD780A">
          <w:pPr>
            <w:pStyle w:val="Obsah2"/>
            <w:tabs>
              <w:tab w:val="right" w:leader="dot" w:pos="9062"/>
            </w:tabs>
            <w:spacing w:before="0" w:beforeAutospacing="0" w:after="0" w:afterAutospacing="0"/>
            <w:rPr>
              <w:rFonts w:asciiTheme="minorHAnsi" w:eastAsiaTheme="minorEastAsia" w:hAnsiTheme="minorHAnsi" w:cstheme="minorBidi"/>
              <w:noProof/>
              <w:sz w:val="22"/>
              <w:szCs w:val="22"/>
            </w:rPr>
          </w:pPr>
          <w:hyperlink w:anchor="_Toc47644469" w:history="1">
            <w:r w:rsidR="00DD780A" w:rsidRPr="00766CC6">
              <w:rPr>
                <w:rStyle w:val="Hypertextovodkaz"/>
                <w:rFonts w:cs="Arial"/>
                <w:noProof/>
              </w:rPr>
              <w:t>Konsolidovaný výkaz o úplném výsledku ve zkrácené podobě za období šesti měsíců</w:t>
            </w:r>
            <w:r w:rsidR="00DD780A">
              <w:rPr>
                <w:noProof/>
                <w:webHidden/>
              </w:rPr>
              <w:tab/>
            </w:r>
            <w:r w:rsidR="00DD780A">
              <w:rPr>
                <w:noProof/>
                <w:webHidden/>
              </w:rPr>
              <w:fldChar w:fldCharType="begin"/>
            </w:r>
            <w:r w:rsidR="00DD780A">
              <w:rPr>
                <w:noProof/>
                <w:webHidden/>
              </w:rPr>
              <w:instrText xml:space="preserve"> PAGEREF _Toc47644469 \h </w:instrText>
            </w:r>
            <w:r w:rsidR="00DD780A">
              <w:rPr>
                <w:noProof/>
                <w:webHidden/>
              </w:rPr>
            </w:r>
            <w:r w:rsidR="00DD780A">
              <w:rPr>
                <w:noProof/>
                <w:webHidden/>
              </w:rPr>
              <w:fldChar w:fldCharType="separate"/>
            </w:r>
            <w:r>
              <w:rPr>
                <w:noProof/>
                <w:webHidden/>
              </w:rPr>
              <w:t>16</w:t>
            </w:r>
            <w:r w:rsidR="00DD780A">
              <w:rPr>
                <w:noProof/>
                <w:webHidden/>
              </w:rPr>
              <w:fldChar w:fldCharType="end"/>
            </w:r>
          </w:hyperlink>
        </w:p>
        <w:p w14:paraId="3A837D34" w14:textId="0B214CE1" w:rsidR="00DD780A" w:rsidRDefault="0055452E" w:rsidP="00DD780A">
          <w:pPr>
            <w:pStyle w:val="Obsah2"/>
            <w:tabs>
              <w:tab w:val="right" w:leader="dot" w:pos="9062"/>
            </w:tabs>
            <w:spacing w:before="0" w:beforeAutospacing="0" w:after="0" w:afterAutospacing="0"/>
            <w:rPr>
              <w:rFonts w:asciiTheme="minorHAnsi" w:eastAsiaTheme="minorEastAsia" w:hAnsiTheme="minorHAnsi" w:cstheme="minorBidi"/>
              <w:noProof/>
              <w:sz w:val="22"/>
              <w:szCs w:val="22"/>
            </w:rPr>
          </w:pPr>
          <w:hyperlink w:anchor="_Toc47644470" w:history="1">
            <w:r w:rsidR="00DD780A" w:rsidRPr="00766CC6">
              <w:rPr>
                <w:rStyle w:val="Hypertextovodkaz"/>
                <w:rFonts w:cs="Arial"/>
                <w:noProof/>
              </w:rPr>
              <w:t>Konsolidovaný výkaz o finanční situaci ve zkrácené podobě</w:t>
            </w:r>
            <w:r w:rsidR="00DD780A">
              <w:rPr>
                <w:noProof/>
                <w:webHidden/>
              </w:rPr>
              <w:tab/>
            </w:r>
            <w:r w:rsidR="00DD780A">
              <w:rPr>
                <w:noProof/>
                <w:webHidden/>
              </w:rPr>
              <w:fldChar w:fldCharType="begin"/>
            </w:r>
            <w:r w:rsidR="00DD780A">
              <w:rPr>
                <w:noProof/>
                <w:webHidden/>
              </w:rPr>
              <w:instrText xml:space="preserve"> PAGEREF _Toc47644470 \h </w:instrText>
            </w:r>
            <w:r w:rsidR="00DD780A">
              <w:rPr>
                <w:noProof/>
                <w:webHidden/>
              </w:rPr>
            </w:r>
            <w:r w:rsidR="00DD780A">
              <w:rPr>
                <w:noProof/>
                <w:webHidden/>
              </w:rPr>
              <w:fldChar w:fldCharType="separate"/>
            </w:r>
            <w:r>
              <w:rPr>
                <w:noProof/>
                <w:webHidden/>
              </w:rPr>
              <w:t>17</w:t>
            </w:r>
            <w:r w:rsidR="00DD780A">
              <w:rPr>
                <w:noProof/>
                <w:webHidden/>
              </w:rPr>
              <w:fldChar w:fldCharType="end"/>
            </w:r>
          </w:hyperlink>
        </w:p>
        <w:p w14:paraId="6166FA65" w14:textId="350BBD18" w:rsidR="00DD780A" w:rsidRDefault="0055452E" w:rsidP="00DD780A">
          <w:pPr>
            <w:pStyle w:val="Obsah2"/>
            <w:tabs>
              <w:tab w:val="right" w:leader="dot" w:pos="9062"/>
            </w:tabs>
            <w:spacing w:before="0" w:beforeAutospacing="0" w:after="0" w:afterAutospacing="0"/>
            <w:rPr>
              <w:rFonts w:asciiTheme="minorHAnsi" w:eastAsiaTheme="minorEastAsia" w:hAnsiTheme="minorHAnsi" w:cstheme="minorBidi"/>
              <w:noProof/>
              <w:sz w:val="22"/>
              <w:szCs w:val="22"/>
            </w:rPr>
          </w:pPr>
          <w:hyperlink w:anchor="_Toc47644471" w:history="1">
            <w:r w:rsidR="00DD780A" w:rsidRPr="00766CC6">
              <w:rPr>
                <w:rStyle w:val="Hypertextovodkaz"/>
                <w:rFonts w:cs="Arial"/>
                <w:noProof/>
              </w:rPr>
              <w:t>Konsolidovaný přehled o peněžních tocích ve zkrácené podobě za období šesti měsíců</w:t>
            </w:r>
            <w:r w:rsidR="00DD780A">
              <w:rPr>
                <w:noProof/>
                <w:webHidden/>
              </w:rPr>
              <w:tab/>
            </w:r>
            <w:r w:rsidR="00DD780A">
              <w:rPr>
                <w:noProof/>
                <w:webHidden/>
              </w:rPr>
              <w:fldChar w:fldCharType="begin"/>
            </w:r>
            <w:r w:rsidR="00DD780A">
              <w:rPr>
                <w:noProof/>
                <w:webHidden/>
              </w:rPr>
              <w:instrText xml:space="preserve"> PAGEREF _Toc47644471 \h </w:instrText>
            </w:r>
            <w:r w:rsidR="00DD780A">
              <w:rPr>
                <w:noProof/>
                <w:webHidden/>
              </w:rPr>
            </w:r>
            <w:r w:rsidR="00DD780A">
              <w:rPr>
                <w:noProof/>
                <w:webHidden/>
              </w:rPr>
              <w:fldChar w:fldCharType="separate"/>
            </w:r>
            <w:r>
              <w:rPr>
                <w:noProof/>
                <w:webHidden/>
              </w:rPr>
              <w:t>18</w:t>
            </w:r>
            <w:r w:rsidR="00DD780A">
              <w:rPr>
                <w:noProof/>
                <w:webHidden/>
              </w:rPr>
              <w:fldChar w:fldCharType="end"/>
            </w:r>
          </w:hyperlink>
        </w:p>
        <w:p w14:paraId="46A0F1F9" w14:textId="45357540" w:rsidR="00DD780A" w:rsidRDefault="0055452E" w:rsidP="00DD780A">
          <w:pPr>
            <w:pStyle w:val="Obsah2"/>
            <w:tabs>
              <w:tab w:val="right" w:leader="dot" w:pos="9062"/>
            </w:tabs>
            <w:spacing w:before="0" w:beforeAutospacing="0" w:after="0" w:afterAutospacing="0"/>
            <w:rPr>
              <w:rFonts w:asciiTheme="minorHAnsi" w:eastAsiaTheme="minorEastAsia" w:hAnsiTheme="minorHAnsi" w:cstheme="minorBidi"/>
              <w:noProof/>
              <w:sz w:val="22"/>
              <w:szCs w:val="22"/>
            </w:rPr>
          </w:pPr>
          <w:hyperlink w:anchor="_Toc47644472" w:history="1">
            <w:r w:rsidR="00DD780A" w:rsidRPr="00766CC6">
              <w:rPr>
                <w:rStyle w:val="Hypertextovodkaz"/>
                <w:rFonts w:cs="Arial"/>
                <w:noProof/>
              </w:rPr>
              <w:t>Konsolidovaný přehled o změnách vlastního kapitálu ve zkrácené podobě</w:t>
            </w:r>
            <w:r w:rsidR="00DD780A">
              <w:rPr>
                <w:noProof/>
                <w:webHidden/>
              </w:rPr>
              <w:tab/>
            </w:r>
            <w:r w:rsidR="00DD780A">
              <w:rPr>
                <w:noProof/>
                <w:webHidden/>
              </w:rPr>
              <w:fldChar w:fldCharType="begin"/>
            </w:r>
            <w:r w:rsidR="00DD780A">
              <w:rPr>
                <w:noProof/>
                <w:webHidden/>
              </w:rPr>
              <w:instrText xml:space="preserve"> PAGEREF _Toc47644472 \h </w:instrText>
            </w:r>
            <w:r w:rsidR="00DD780A">
              <w:rPr>
                <w:noProof/>
                <w:webHidden/>
              </w:rPr>
            </w:r>
            <w:r w:rsidR="00DD780A">
              <w:rPr>
                <w:noProof/>
                <w:webHidden/>
              </w:rPr>
              <w:fldChar w:fldCharType="separate"/>
            </w:r>
            <w:r>
              <w:rPr>
                <w:noProof/>
                <w:webHidden/>
              </w:rPr>
              <w:t>19</w:t>
            </w:r>
            <w:r w:rsidR="00DD780A">
              <w:rPr>
                <w:noProof/>
                <w:webHidden/>
              </w:rPr>
              <w:fldChar w:fldCharType="end"/>
            </w:r>
          </w:hyperlink>
        </w:p>
        <w:p w14:paraId="276FABE9" w14:textId="65F5516F" w:rsidR="00DD780A" w:rsidRDefault="0055452E" w:rsidP="00DD780A">
          <w:pPr>
            <w:pStyle w:val="Obsah2"/>
            <w:tabs>
              <w:tab w:val="right" w:leader="dot" w:pos="9062"/>
            </w:tabs>
            <w:spacing w:before="0" w:beforeAutospacing="0" w:after="0" w:afterAutospacing="0"/>
            <w:rPr>
              <w:rFonts w:asciiTheme="minorHAnsi" w:eastAsiaTheme="minorEastAsia" w:hAnsiTheme="minorHAnsi" w:cstheme="minorBidi"/>
              <w:noProof/>
              <w:sz w:val="22"/>
              <w:szCs w:val="22"/>
            </w:rPr>
          </w:pPr>
          <w:hyperlink w:anchor="_Toc47644473" w:history="1">
            <w:r w:rsidR="00DD780A" w:rsidRPr="00766CC6">
              <w:rPr>
                <w:rStyle w:val="Hypertextovodkaz"/>
                <w:rFonts w:cs="Arial"/>
                <w:noProof/>
              </w:rPr>
              <w:t>Vybrané vysvětlující poznámky k mezitímní konsolidované účetní závěrce</w:t>
            </w:r>
            <w:r w:rsidR="00DD780A">
              <w:rPr>
                <w:noProof/>
                <w:webHidden/>
              </w:rPr>
              <w:tab/>
            </w:r>
            <w:r w:rsidR="00DD780A">
              <w:rPr>
                <w:noProof/>
                <w:webHidden/>
              </w:rPr>
              <w:fldChar w:fldCharType="begin"/>
            </w:r>
            <w:r w:rsidR="00DD780A">
              <w:rPr>
                <w:noProof/>
                <w:webHidden/>
              </w:rPr>
              <w:instrText xml:space="preserve"> PAGEREF _Toc47644473 \h </w:instrText>
            </w:r>
            <w:r w:rsidR="00DD780A">
              <w:rPr>
                <w:noProof/>
                <w:webHidden/>
              </w:rPr>
            </w:r>
            <w:r w:rsidR="00DD780A">
              <w:rPr>
                <w:noProof/>
                <w:webHidden/>
              </w:rPr>
              <w:fldChar w:fldCharType="separate"/>
            </w:r>
            <w:r>
              <w:rPr>
                <w:noProof/>
                <w:webHidden/>
              </w:rPr>
              <w:t>20</w:t>
            </w:r>
            <w:r w:rsidR="00DD780A">
              <w:rPr>
                <w:noProof/>
                <w:webHidden/>
              </w:rPr>
              <w:fldChar w:fldCharType="end"/>
            </w:r>
          </w:hyperlink>
        </w:p>
        <w:p w14:paraId="0222C3F1" w14:textId="41730F51" w:rsidR="00DD780A" w:rsidRDefault="0055452E" w:rsidP="00DD780A">
          <w:pPr>
            <w:pStyle w:val="Obsah1"/>
            <w:spacing w:before="0" w:beforeAutospacing="0" w:after="0" w:afterAutospacing="0"/>
            <w:rPr>
              <w:rFonts w:asciiTheme="minorHAnsi" w:eastAsiaTheme="minorEastAsia" w:hAnsiTheme="minorHAnsi" w:cstheme="minorBidi"/>
              <w:b w:val="0"/>
              <w:sz w:val="22"/>
              <w:szCs w:val="22"/>
              <w:lang w:val="cs-CZ"/>
            </w:rPr>
          </w:pPr>
          <w:hyperlink w:anchor="_Toc47644474" w:history="1">
            <w:r w:rsidR="00DD780A" w:rsidRPr="00766CC6">
              <w:rPr>
                <w:rStyle w:val="Hypertextovodkaz"/>
                <w:rFonts w:cs="Arial"/>
              </w:rPr>
              <w:t>Prohlášení</w:t>
            </w:r>
            <w:r w:rsidR="00DD780A">
              <w:rPr>
                <w:webHidden/>
              </w:rPr>
              <w:tab/>
            </w:r>
            <w:r w:rsidR="00DD780A">
              <w:rPr>
                <w:webHidden/>
              </w:rPr>
              <w:fldChar w:fldCharType="begin"/>
            </w:r>
            <w:r w:rsidR="00DD780A">
              <w:rPr>
                <w:webHidden/>
              </w:rPr>
              <w:instrText xml:space="preserve"> PAGEREF _Toc47644474 \h </w:instrText>
            </w:r>
            <w:r w:rsidR="00DD780A">
              <w:rPr>
                <w:webHidden/>
              </w:rPr>
            </w:r>
            <w:r w:rsidR="00DD780A">
              <w:rPr>
                <w:webHidden/>
              </w:rPr>
              <w:fldChar w:fldCharType="separate"/>
            </w:r>
            <w:r>
              <w:rPr>
                <w:webHidden/>
              </w:rPr>
              <w:t>26</w:t>
            </w:r>
            <w:r w:rsidR="00DD780A">
              <w:rPr>
                <w:webHidden/>
              </w:rPr>
              <w:fldChar w:fldCharType="end"/>
            </w:r>
          </w:hyperlink>
        </w:p>
        <w:p w14:paraId="0AC3B42B" w14:textId="4F876D69" w:rsidR="00DD780A" w:rsidRDefault="0055452E" w:rsidP="00DD780A">
          <w:pPr>
            <w:pStyle w:val="Obsah1"/>
            <w:spacing w:before="0" w:beforeAutospacing="0" w:after="0" w:afterAutospacing="0"/>
            <w:rPr>
              <w:rFonts w:asciiTheme="minorHAnsi" w:eastAsiaTheme="minorEastAsia" w:hAnsiTheme="minorHAnsi" w:cstheme="minorBidi"/>
              <w:b w:val="0"/>
              <w:sz w:val="22"/>
              <w:szCs w:val="22"/>
              <w:lang w:val="cs-CZ"/>
            </w:rPr>
          </w:pPr>
          <w:hyperlink w:anchor="_Toc47644475" w:history="1">
            <w:r w:rsidR="00DD780A" w:rsidRPr="00766CC6">
              <w:rPr>
                <w:rStyle w:val="Hypertextovodkaz"/>
                <w:rFonts w:cs="Arial"/>
              </w:rPr>
              <w:t>Kontakty</w:t>
            </w:r>
            <w:r w:rsidR="00DD780A">
              <w:rPr>
                <w:webHidden/>
              </w:rPr>
              <w:tab/>
            </w:r>
            <w:r w:rsidR="00DD780A">
              <w:rPr>
                <w:webHidden/>
              </w:rPr>
              <w:fldChar w:fldCharType="begin"/>
            </w:r>
            <w:r w:rsidR="00DD780A">
              <w:rPr>
                <w:webHidden/>
              </w:rPr>
              <w:instrText xml:space="preserve"> PAGEREF _Toc47644475 \h </w:instrText>
            </w:r>
            <w:r w:rsidR="00DD780A">
              <w:rPr>
                <w:webHidden/>
              </w:rPr>
            </w:r>
            <w:r w:rsidR="00DD780A">
              <w:rPr>
                <w:webHidden/>
              </w:rPr>
              <w:fldChar w:fldCharType="separate"/>
            </w:r>
            <w:r>
              <w:rPr>
                <w:webHidden/>
              </w:rPr>
              <w:t>27</w:t>
            </w:r>
            <w:r w:rsidR="00DD780A">
              <w:rPr>
                <w:webHidden/>
              </w:rPr>
              <w:fldChar w:fldCharType="end"/>
            </w:r>
          </w:hyperlink>
        </w:p>
        <w:p w14:paraId="10E39145" w14:textId="4E28BA5A" w:rsidR="00DD780A" w:rsidRDefault="0055452E" w:rsidP="00DD780A">
          <w:pPr>
            <w:pStyle w:val="Obsah1"/>
            <w:spacing w:before="0" w:beforeAutospacing="0" w:after="0" w:afterAutospacing="0"/>
            <w:rPr>
              <w:rFonts w:asciiTheme="minorHAnsi" w:eastAsiaTheme="minorEastAsia" w:hAnsiTheme="minorHAnsi" w:cstheme="minorBidi"/>
              <w:b w:val="0"/>
              <w:sz w:val="22"/>
              <w:szCs w:val="22"/>
              <w:lang w:val="cs-CZ"/>
            </w:rPr>
          </w:pPr>
          <w:hyperlink w:anchor="_Toc47644476" w:history="1">
            <w:r w:rsidR="00DD780A" w:rsidRPr="00766CC6">
              <w:rPr>
                <w:rStyle w:val="Hypertextovodkaz"/>
                <w:rFonts w:cs="Arial"/>
              </w:rPr>
              <w:t>Výklad pojmů a zkratek</w:t>
            </w:r>
            <w:r w:rsidR="00DD780A">
              <w:rPr>
                <w:webHidden/>
              </w:rPr>
              <w:tab/>
            </w:r>
            <w:r w:rsidR="00DD780A">
              <w:rPr>
                <w:webHidden/>
              </w:rPr>
              <w:fldChar w:fldCharType="begin"/>
            </w:r>
            <w:r w:rsidR="00DD780A">
              <w:rPr>
                <w:webHidden/>
              </w:rPr>
              <w:instrText xml:space="preserve"> PAGEREF _Toc47644476 \h </w:instrText>
            </w:r>
            <w:r w:rsidR="00DD780A">
              <w:rPr>
                <w:webHidden/>
              </w:rPr>
            </w:r>
            <w:r w:rsidR="00DD780A">
              <w:rPr>
                <w:webHidden/>
              </w:rPr>
              <w:fldChar w:fldCharType="separate"/>
            </w:r>
            <w:r>
              <w:rPr>
                <w:webHidden/>
              </w:rPr>
              <w:t>28</w:t>
            </w:r>
            <w:r w:rsidR="00DD780A">
              <w:rPr>
                <w:webHidden/>
              </w:rPr>
              <w:fldChar w:fldCharType="end"/>
            </w:r>
          </w:hyperlink>
        </w:p>
        <w:p w14:paraId="0548BEA8" w14:textId="611DCC70" w:rsidR="00DD780A" w:rsidRDefault="0055452E" w:rsidP="00DD780A">
          <w:pPr>
            <w:pStyle w:val="Obsah2"/>
            <w:tabs>
              <w:tab w:val="right" w:leader="dot" w:pos="9062"/>
            </w:tabs>
            <w:spacing w:before="0" w:beforeAutospacing="0" w:after="0" w:afterAutospacing="0"/>
            <w:rPr>
              <w:rFonts w:asciiTheme="minorHAnsi" w:eastAsiaTheme="minorEastAsia" w:hAnsiTheme="minorHAnsi" w:cstheme="minorBidi"/>
              <w:noProof/>
              <w:sz w:val="22"/>
              <w:szCs w:val="22"/>
            </w:rPr>
          </w:pPr>
          <w:hyperlink w:anchor="_Toc47644477" w:history="1">
            <w:r w:rsidR="00DD780A" w:rsidRPr="00766CC6">
              <w:rPr>
                <w:rStyle w:val="Hypertextovodkaz"/>
                <w:rFonts w:cs="Arial"/>
                <w:noProof/>
              </w:rPr>
              <w:t>Alternativní měřítka výkonnosti</w:t>
            </w:r>
            <w:r w:rsidR="00DD780A">
              <w:rPr>
                <w:noProof/>
                <w:webHidden/>
              </w:rPr>
              <w:tab/>
            </w:r>
            <w:r w:rsidR="00DD780A">
              <w:rPr>
                <w:noProof/>
                <w:webHidden/>
              </w:rPr>
              <w:fldChar w:fldCharType="begin"/>
            </w:r>
            <w:r w:rsidR="00DD780A">
              <w:rPr>
                <w:noProof/>
                <w:webHidden/>
              </w:rPr>
              <w:instrText xml:space="preserve"> PAGEREF _Toc47644477 \h </w:instrText>
            </w:r>
            <w:r w:rsidR="00DD780A">
              <w:rPr>
                <w:noProof/>
                <w:webHidden/>
              </w:rPr>
            </w:r>
            <w:r w:rsidR="00DD780A">
              <w:rPr>
                <w:noProof/>
                <w:webHidden/>
              </w:rPr>
              <w:fldChar w:fldCharType="separate"/>
            </w:r>
            <w:r>
              <w:rPr>
                <w:noProof/>
                <w:webHidden/>
              </w:rPr>
              <w:t>30</w:t>
            </w:r>
            <w:r w:rsidR="00DD780A">
              <w:rPr>
                <w:noProof/>
                <w:webHidden/>
              </w:rPr>
              <w:fldChar w:fldCharType="end"/>
            </w:r>
          </w:hyperlink>
        </w:p>
        <w:p w14:paraId="52C6D8E8" w14:textId="27F21DD4" w:rsidR="00DD780A" w:rsidRDefault="0055452E" w:rsidP="00DD780A">
          <w:pPr>
            <w:pStyle w:val="Obsah1"/>
            <w:spacing w:before="0" w:beforeAutospacing="0" w:after="0" w:afterAutospacing="0"/>
            <w:rPr>
              <w:rFonts w:asciiTheme="minorHAnsi" w:eastAsiaTheme="minorEastAsia" w:hAnsiTheme="minorHAnsi" w:cstheme="minorBidi"/>
              <w:b w:val="0"/>
              <w:sz w:val="22"/>
              <w:szCs w:val="22"/>
              <w:lang w:val="cs-CZ"/>
            </w:rPr>
          </w:pPr>
          <w:hyperlink w:anchor="_Toc47644478" w:history="1">
            <w:r w:rsidR="00DD780A" w:rsidRPr="00766CC6">
              <w:rPr>
                <w:rStyle w:val="Hypertextovodkaz"/>
                <w:rFonts w:cs="Arial"/>
              </w:rPr>
              <w:t>Ostatní informace</w:t>
            </w:r>
            <w:r w:rsidR="00DD780A">
              <w:rPr>
                <w:webHidden/>
              </w:rPr>
              <w:tab/>
            </w:r>
            <w:r w:rsidR="00DD780A">
              <w:rPr>
                <w:webHidden/>
              </w:rPr>
              <w:fldChar w:fldCharType="begin"/>
            </w:r>
            <w:r w:rsidR="00DD780A">
              <w:rPr>
                <w:webHidden/>
              </w:rPr>
              <w:instrText xml:space="preserve"> PAGEREF _Toc47644478 \h </w:instrText>
            </w:r>
            <w:r w:rsidR="00DD780A">
              <w:rPr>
                <w:webHidden/>
              </w:rPr>
            </w:r>
            <w:r w:rsidR="00DD780A">
              <w:rPr>
                <w:webHidden/>
              </w:rPr>
              <w:fldChar w:fldCharType="separate"/>
            </w:r>
            <w:r>
              <w:rPr>
                <w:webHidden/>
              </w:rPr>
              <w:t>32</w:t>
            </w:r>
            <w:r w:rsidR="00DD780A">
              <w:rPr>
                <w:webHidden/>
              </w:rPr>
              <w:fldChar w:fldCharType="end"/>
            </w:r>
          </w:hyperlink>
        </w:p>
        <w:p w14:paraId="2A47C48F" w14:textId="5A42246F" w:rsidR="000C292F" w:rsidRPr="00AC713D" w:rsidRDefault="000C292F" w:rsidP="00DD780A">
          <w:pPr>
            <w:spacing w:before="0" w:beforeAutospacing="0" w:after="0" w:afterAutospacing="0"/>
            <w:rPr>
              <w:rFonts w:cs="Arial"/>
              <w:noProof/>
            </w:rPr>
          </w:pPr>
          <w:r w:rsidRPr="00AC713D">
            <w:rPr>
              <w:rFonts w:cs="Arial"/>
              <w:b/>
              <w:bCs/>
              <w:noProof/>
            </w:rPr>
            <w:fldChar w:fldCharType="end"/>
          </w:r>
        </w:p>
      </w:sdtContent>
    </w:sdt>
    <w:bookmarkStart w:id="0" w:name="_Toc269907484" w:displacedByCustomXml="prev"/>
    <w:p w14:paraId="1E4C5CD8" w14:textId="77777777" w:rsidR="000C292F" w:rsidRPr="00AC713D" w:rsidRDefault="000C292F" w:rsidP="000C292F">
      <w:pPr>
        <w:spacing w:before="0" w:beforeAutospacing="0" w:after="0" w:afterAutospacing="0"/>
        <w:jc w:val="left"/>
        <w:rPr>
          <w:rStyle w:val="Zdraznn"/>
          <w:rFonts w:cs="Arial"/>
          <w:b/>
          <w:bCs/>
          <w:i w:val="0"/>
          <w:iCs w:val="0"/>
          <w:kern w:val="32"/>
          <w:sz w:val="48"/>
          <w:szCs w:val="48"/>
        </w:rPr>
      </w:pPr>
      <w:r w:rsidRPr="00AC713D">
        <w:rPr>
          <w:rStyle w:val="Zdraznn"/>
          <w:rFonts w:cs="Arial"/>
        </w:rPr>
        <w:br w:type="page"/>
      </w:r>
    </w:p>
    <w:p w14:paraId="72929B77" w14:textId="77777777" w:rsidR="000C292F" w:rsidRPr="00AC713D" w:rsidRDefault="000C292F" w:rsidP="000C292F">
      <w:pPr>
        <w:pStyle w:val="Nadpis1"/>
        <w:rPr>
          <w:rStyle w:val="Zdraznn"/>
          <w:rFonts w:cs="Arial"/>
          <w:i w:val="0"/>
          <w:iCs w:val="0"/>
        </w:rPr>
      </w:pPr>
      <w:bookmarkStart w:id="1" w:name="_Toc47644458"/>
      <w:r w:rsidRPr="00AC713D">
        <w:rPr>
          <w:rStyle w:val="Zdraznn"/>
          <w:rFonts w:cs="Arial"/>
        </w:rPr>
        <w:lastRenderedPageBreak/>
        <w:t>Ú</w:t>
      </w:r>
      <w:bookmarkEnd w:id="0"/>
      <w:r w:rsidRPr="00AC713D">
        <w:rPr>
          <w:rStyle w:val="Zdraznn"/>
          <w:rFonts w:cs="Arial"/>
        </w:rPr>
        <w:t>vod</w:t>
      </w:r>
      <w:bookmarkEnd w:id="1"/>
    </w:p>
    <w:p w14:paraId="7D630BA1" w14:textId="306CB50A" w:rsidR="000C292F" w:rsidRPr="00AC713D" w:rsidRDefault="000C292F" w:rsidP="000C292F">
      <w:pPr>
        <w:rPr>
          <w:rFonts w:cs="Arial"/>
        </w:rPr>
      </w:pPr>
      <w:r w:rsidRPr="00AC713D">
        <w:rPr>
          <w:rFonts w:cs="Arial"/>
        </w:rPr>
        <w:t xml:space="preserve">PFNonwovens a.s. (dále jen „Společnost“) </w:t>
      </w:r>
      <w:r w:rsidR="00D62F44" w:rsidRPr="00AC713D">
        <w:rPr>
          <w:rFonts w:cs="Arial"/>
        </w:rPr>
        <w:t>a její dceřiné společnosti (</w:t>
      </w:r>
      <w:r w:rsidR="0057719F" w:rsidRPr="00AC713D">
        <w:rPr>
          <w:rFonts w:cs="Arial"/>
        </w:rPr>
        <w:t>společně dále jako</w:t>
      </w:r>
      <w:r w:rsidR="00D62F44" w:rsidRPr="00AC713D">
        <w:rPr>
          <w:rFonts w:cs="Arial"/>
        </w:rPr>
        <w:t xml:space="preserve"> „Skupina</w:t>
      </w:r>
      <w:r w:rsidR="004C18D4" w:rsidRPr="00AC713D">
        <w:rPr>
          <w:rFonts w:cs="Arial"/>
        </w:rPr>
        <w:t>“</w:t>
      </w:r>
      <w:r w:rsidR="00D62F44" w:rsidRPr="00AC713D">
        <w:rPr>
          <w:rFonts w:cs="Arial"/>
        </w:rPr>
        <w:t xml:space="preserve">) </w:t>
      </w:r>
      <w:r w:rsidRPr="00AC713D">
        <w:rPr>
          <w:rFonts w:cs="Arial"/>
        </w:rPr>
        <w:t>j</w:t>
      </w:r>
      <w:r w:rsidR="00D62F44" w:rsidRPr="00AC713D">
        <w:rPr>
          <w:rFonts w:cs="Arial"/>
        </w:rPr>
        <w:t>sou</w:t>
      </w:r>
      <w:r w:rsidRPr="00AC713D">
        <w:rPr>
          <w:rFonts w:cs="Arial"/>
        </w:rPr>
        <w:t xml:space="preserve"> jedním z předních výrobců netkaných textilií v</w:t>
      </w:r>
      <w:r w:rsidR="00FF0C95" w:rsidRPr="00AC713D">
        <w:rPr>
          <w:rFonts w:cs="Arial"/>
        </w:rPr>
        <w:t> </w:t>
      </w:r>
      <w:r w:rsidRPr="00AC713D">
        <w:rPr>
          <w:rFonts w:cs="Arial"/>
        </w:rPr>
        <w:t xml:space="preserve">EMEA regionu (Evropa, Střední východ a Afrika) používaných zejména na trhu osobních hygienických výrobků. </w:t>
      </w:r>
    </w:p>
    <w:p w14:paraId="5702AFA3" w14:textId="0A27D33F" w:rsidR="00D62F44" w:rsidRPr="00AC713D" w:rsidRDefault="00D62F44" w:rsidP="000C292F">
      <w:pPr>
        <w:rPr>
          <w:rFonts w:cs="Arial"/>
        </w:rPr>
      </w:pPr>
      <w:r w:rsidRPr="00AC713D">
        <w:rPr>
          <w:rFonts w:cs="Arial"/>
        </w:rPr>
        <w:t>Majoritním akcionářem Společnosti se v roce 2017 stala společnost R2G Rohan Czech s.r.o. (od 13. června 2018 PFNonwovens Holding s.r.o.). Společnost PFNonwovens a.s. a společnosti jí ovládané</w:t>
      </w:r>
      <w:r w:rsidR="00AC0DB1" w:rsidRPr="00AC713D">
        <w:rPr>
          <w:rFonts w:cs="Arial"/>
        </w:rPr>
        <w:t>, tedy Skupina,</w:t>
      </w:r>
      <w:r w:rsidRPr="00AC713D">
        <w:rPr>
          <w:rFonts w:cs="Arial"/>
        </w:rPr>
        <w:t xml:space="preserve"> jsou členy </w:t>
      </w:r>
      <w:r w:rsidR="00BF3C3D" w:rsidRPr="00AC713D">
        <w:rPr>
          <w:rFonts w:cs="Arial"/>
        </w:rPr>
        <w:t xml:space="preserve">globálního </w:t>
      </w:r>
      <w:r w:rsidRPr="00AC713D">
        <w:rPr>
          <w:rFonts w:cs="Arial"/>
        </w:rPr>
        <w:t>koncernu PFNonwovens</w:t>
      </w:r>
      <w:r w:rsidR="00665CE4" w:rsidRPr="00AC713D">
        <w:rPr>
          <w:rFonts w:cs="Arial"/>
        </w:rPr>
        <w:t xml:space="preserve"> (dále jen „PFN“)</w:t>
      </w:r>
      <w:r w:rsidR="00BF3C3D" w:rsidRPr="00AC713D">
        <w:rPr>
          <w:rFonts w:cs="Arial"/>
        </w:rPr>
        <w:t>. PFNonwovens a.s. tedy</w:t>
      </w:r>
      <w:r w:rsidRPr="00AC713D">
        <w:rPr>
          <w:rFonts w:cs="Arial"/>
        </w:rPr>
        <w:t xml:space="preserve"> podléh</w:t>
      </w:r>
      <w:r w:rsidR="00BF3C3D" w:rsidRPr="00AC713D">
        <w:rPr>
          <w:rFonts w:cs="Arial"/>
        </w:rPr>
        <w:t>á</w:t>
      </w:r>
      <w:r w:rsidRPr="00AC713D">
        <w:rPr>
          <w:rFonts w:cs="Arial"/>
        </w:rPr>
        <w:t xml:space="preserve"> jednotnému </w:t>
      </w:r>
      <w:r w:rsidR="00BF3C3D" w:rsidRPr="00AC713D">
        <w:rPr>
          <w:rFonts w:cs="Arial"/>
        </w:rPr>
        <w:t xml:space="preserve">koncernovému </w:t>
      </w:r>
      <w:r w:rsidRPr="00AC713D">
        <w:rPr>
          <w:rFonts w:cs="Arial"/>
        </w:rPr>
        <w:t>řízení společnosti PFNonwovens Holding s.r.o.</w:t>
      </w:r>
    </w:p>
    <w:p w14:paraId="5BC212CD" w14:textId="1AEC21F7" w:rsidR="000C292F" w:rsidRPr="00AC713D" w:rsidRDefault="00D62F44" w:rsidP="000C292F">
      <w:pPr>
        <w:rPr>
          <w:rFonts w:cs="Arial"/>
        </w:rPr>
      </w:pPr>
      <w:r w:rsidRPr="00AC713D">
        <w:rPr>
          <w:rFonts w:cs="Arial"/>
        </w:rPr>
        <w:t xml:space="preserve">Skupina, za kterou je tato pololetní </w:t>
      </w:r>
      <w:r w:rsidR="0057719F" w:rsidRPr="00AC713D">
        <w:rPr>
          <w:rFonts w:cs="Arial"/>
        </w:rPr>
        <w:t>z</w:t>
      </w:r>
      <w:r w:rsidRPr="00AC713D">
        <w:rPr>
          <w:rFonts w:cs="Arial"/>
        </w:rPr>
        <w:t xml:space="preserve">práva vyhotovena, </w:t>
      </w:r>
      <w:r w:rsidR="0057719F" w:rsidRPr="00AC713D">
        <w:rPr>
          <w:rFonts w:cs="Arial"/>
        </w:rPr>
        <w:t xml:space="preserve">se skládá </w:t>
      </w:r>
      <w:r w:rsidR="000C292F" w:rsidRPr="00AC713D">
        <w:rPr>
          <w:rFonts w:cs="Arial"/>
        </w:rPr>
        <w:t xml:space="preserve">z holdingové společnosti </w:t>
      </w:r>
      <w:r w:rsidR="009674E5" w:rsidRPr="00AC713D">
        <w:rPr>
          <w:rFonts w:cs="Arial"/>
        </w:rPr>
        <w:t xml:space="preserve">PFNonwovens a.s. </w:t>
      </w:r>
      <w:r w:rsidR="000C292F" w:rsidRPr="00AC713D">
        <w:rPr>
          <w:rFonts w:cs="Arial"/>
        </w:rPr>
        <w:t xml:space="preserve">a čtyř provozních společností, jimiž jsou </w:t>
      </w:r>
      <w:r w:rsidR="0057719F" w:rsidRPr="00AC713D">
        <w:rPr>
          <w:rFonts w:cs="Arial"/>
        </w:rPr>
        <w:t xml:space="preserve">PFNonwovens </w:t>
      </w:r>
      <w:r w:rsidR="000C292F" w:rsidRPr="00AC713D">
        <w:rPr>
          <w:rFonts w:cs="Arial"/>
        </w:rPr>
        <w:t xml:space="preserve">Czech s.r.o., </w:t>
      </w:r>
      <w:r w:rsidR="0057719F" w:rsidRPr="00AC713D">
        <w:rPr>
          <w:rFonts w:cs="Arial"/>
        </w:rPr>
        <w:t xml:space="preserve">PFN </w:t>
      </w:r>
      <w:r w:rsidR="000C292F" w:rsidRPr="00AC713D">
        <w:rPr>
          <w:rFonts w:cs="Arial"/>
        </w:rPr>
        <w:t xml:space="preserve">– NW a.s., </w:t>
      </w:r>
      <w:r w:rsidR="0057719F" w:rsidRPr="00AC713D">
        <w:rPr>
          <w:rFonts w:cs="Arial"/>
        </w:rPr>
        <w:t xml:space="preserve">PFN </w:t>
      </w:r>
      <w:r w:rsidR="000C292F" w:rsidRPr="00AC713D">
        <w:rPr>
          <w:rFonts w:cs="Arial"/>
        </w:rPr>
        <w:t xml:space="preserve">– NS a.s. a </w:t>
      </w:r>
      <w:r w:rsidR="0057719F" w:rsidRPr="00AC713D">
        <w:rPr>
          <w:rFonts w:cs="Arial"/>
        </w:rPr>
        <w:t xml:space="preserve">PFN </w:t>
      </w:r>
      <w:r w:rsidR="000C292F" w:rsidRPr="00AC713D">
        <w:rPr>
          <w:rFonts w:cs="Arial"/>
        </w:rPr>
        <w:t xml:space="preserve">– GIC a.s., všechny se sídlem v České republice. V roce 2010 byla za účelem realizace potenciálních investičních příležitostí založena společnost </w:t>
      </w:r>
      <w:r w:rsidR="0057719F" w:rsidRPr="00AC713D">
        <w:rPr>
          <w:rFonts w:cs="Arial"/>
        </w:rPr>
        <w:t>PFNonwovens</w:t>
      </w:r>
      <w:r w:rsidR="000C292F" w:rsidRPr="00AC713D">
        <w:rPr>
          <w:rFonts w:cs="Arial"/>
        </w:rPr>
        <w:t xml:space="preserve"> International s.r.o.</w:t>
      </w:r>
      <w:r w:rsidR="00F34480" w:rsidRPr="00AC713D">
        <w:rPr>
          <w:rFonts w:cs="Arial"/>
        </w:rPr>
        <w:t xml:space="preserve"> (společnost zanikla formou fúze s PFNonwovens Czech s.r.o. k 30. červnu 2020)</w:t>
      </w:r>
      <w:r w:rsidR="000C292F" w:rsidRPr="00AC713D">
        <w:rPr>
          <w:rFonts w:cs="Arial"/>
        </w:rPr>
        <w:t xml:space="preserve"> a následně, v červnu 2011, společnost</w:t>
      </w:r>
      <w:r w:rsidR="000C292F" w:rsidRPr="00AC713D" w:rsidDel="00675CFB">
        <w:rPr>
          <w:rFonts w:cs="Arial"/>
        </w:rPr>
        <w:t xml:space="preserve"> </w:t>
      </w:r>
      <w:r w:rsidR="00F34480" w:rsidRPr="00AC713D">
        <w:rPr>
          <w:rFonts w:cs="Arial"/>
        </w:rPr>
        <w:t>PFNonwovens</w:t>
      </w:r>
      <w:r w:rsidR="002C4FFF">
        <w:rPr>
          <w:rFonts w:cs="Arial"/>
        </w:rPr>
        <w:t xml:space="preserve"> Egypt</w:t>
      </w:r>
      <w:r w:rsidR="000C292F" w:rsidRPr="00AC713D">
        <w:rPr>
          <w:rFonts w:cs="Arial"/>
        </w:rPr>
        <w:t xml:space="preserve"> LLC, která realizuje investici v Egyptě. V červenci 2016 byla založena dceřiná společnost </w:t>
      </w:r>
      <w:r w:rsidR="0057719F" w:rsidRPr="00AC713D">
        <w:rPr>
          <w:rFonts w:cs="Arial"/>
        </w:rPr>
        <w:t>PFN</w:t>
      </w:r>
      <w:r w:rsidR="00F34480" w:rsidRPr="00AC713D">
        <w:rPr>
          <w:rFonts w:cs="Arial"/>
        </w:rPr>
        <w:t>onwovens</w:t>
      </w:r>
      <w:r w:rsidR="000C292F" w:rsidRPr="00AC713D">
        <w:rPr>
          <w:rFonts w:cs="Arial"/>
        </w:rPr>
        <w:t xml:space="preserve"> RSA (PTY) LTD za účelem realizace investičního záměru v</w:t>
      </w:r>
      <w:r w:rsidR="00F34480" w:rsidRPr="00AC713D">
        <w:rPr>
          <w:rFonts w:cs="Arial"/>
        </w:rPr>
        <w:t> </w:t>
      </w:r>
      <w:r w:rsidR="000C292F" w:rsidRPr="00AC713D">
        <w:rPr>
          <w:rFonts w:cs="Arial"/>
        </w:rPr>
        <w:t xml:space="preserve">Jihoafrické republice. K 30. červnu </w:t>
      </w:r>
      <w:r w:rsidR="00F34480" w:rsidRPr="00AC713D">
        <w:rPr>
          <w:rFonts w:cs="Arial"/>
        </w:rPr>
        <w:t xml:space="preserve">2020 </w:t>
      </w:r>
      <w:r w:rsidR="000C292F" w:rsidRPr="00AC713D">
        <w:rPr>
          <w:rFonts w:cs="Arial"/>
        </w:rPr>
        <w:t xml:space="preserve">Skupina zaměstnávala </w:t>
      </w:r>
      <w:r w:rsidR="00F34480" w:rsidRPr="00AC713D">
        <w:rPr>
          <w:rFonts w:cs="Arial"/>
        </w:rPr>
        <w:t>704</w:t>
      </w:r>
      <w:r w:rsidR="00FF0C95" w:rsidRPr="00AC713D">
        <w:rPr>
          <w:rFonts w:cs="Arial"/>
        </w:rPr>
        <w:t xml:space="preserve"> </w:t>
      </w:r>
      <w:r w:rsidR="000C292F" w:rsidRPr="00AC713D">
        <w:rPr>
          <w:rFonts w:cs="Arial"/>
        </w:rPr>
        <w:t>lidí.</w:t>
      </w:r>
    </w:p>
    <w:p w14:paraId="3F58314B" w14:textId="4BE27CE1" w:rsidR="000C292F" w:rsidRPr="00AC713D" w:rsidRDefault="0052686C" w:rsidP="000C292F">
      <w:pPr>
        <w:rPr>
          <w:rFonts w:cs="Arial"/>
        </w:rPr>
      </w:pPr>
      <w:r w:rsidRPr="00AC713D">
        <w:rPr>
          <w:rFonts w:cs="Arial"/>
        </w:rPr>
        <w:t>Skupina</w:t>
      </w:r>
      <w:r w:rsidR="004C18D4" w:rsidRPr="00AC713D">
        <w:rPr>
          <w:rFonts w:cs="Arial"/>
        </w:rPr>
        <w:t xml:space="preserve"> </w:t>
      </w:r>
      <w:r w:rsidR="000C292F" w:rsidRPr="00AC713D">
        <w:rPr>
          <w:rFonts w:cs="Arial"/>
        </w:rPr>
        <w:t>dodává svým zákazníkům spunbond a meltblown (dohromady, „spunmelt“) textilie na bázi polypropylenu a polyetylenu („PP“ a „PP/PE“) převážně pro účely výroby jednorázových hygienických produktů (jako jsou dětské plenky, výrobky pro inkontinenci dospělých a dámské hygienické výrobky) a dále, v menší míře, do</w:t>
      </w:r>
      <w:r w:rsidR="00F34480" w:rsidRPr="00AC713D">
        <w:rPr>
          <w:rFonts w:cs="Arial"/>
        </w:rPr>
        <w:t> </w:t>
      </w:r>
      <w:r w:rsidR="000C292F" w:rsidRPr="00AC713D">
        <w:rPr>
          <w:rFonts w:cs="Arial"/>
        </w:rPr>
        <w:t>stavebnictví, zemědělství a lékařských aplikací.</w:t>
      </w:r>
    </w:p>
    <w:p w14:paraId="3567D686" w14:textId="768EC7F2" w:rsidR="000C292F" w:rsidRPr="00AC713D" w:rsidRDefault="000C292F" w:rsidP="000C292F">
      <w:pPr>
        <w:rPr>
          <w:rFonts w:cs="Arial"/>
        </w:rPr>
      </w:pPr>
      <w:r w:rsidRPr="00AC713D">
        <w:rPr>
          <w:rFonts w:cs="Arial"/>
        </w:rPr>
        <w:t>Od svého založení v roce 1990 Skupina za téměř třicet let vyrostla v jednoho z</w:t>
      </w:r>
      <w:r w:rsidR="00FF0C95" w:rsidRPr="00AC713D">
        <w:rPr>
          <w:rFonts w:cs="Arial"/>
        </w:rPr>
        <w:t> </w:t>
      </w:r>
      <w:r w:rsidRPr="00AC713D">
        <w:rPr>
          <w:rFonts w:cs="Arial"/>
        </w:rPr>
        <w:t>největších výrobců netkaných spunmelt textilií v EMEA regionu (měřeno výrobní kapacitou v roce 201</w:t>
      </w:r>
      <w:r w:rsidR="00F34480" w:rsidRPr="00AC713D">
        <w:rPr>
          <w:rFonts w:cs="Arial"/>
        </w:rPr>
        <w:t>9</w:t>
      </w:r>
      <w:r w:rsidRPr="00AC713D">
        <w:rPr>
          <w:rFonts w:cs="Arial"/>
        </w:rPr>
        <w:t xml:space="preserve">). Skupina v současné době provozuje </w:t>
      </w:r>
      <w:r w:rsidR="00F31322" w:rsidRPr="00AC713D">
        <w:rPr>
          <w:rFonts w:cs="Arial"/>
        </w:rPr>
        <w:t>de</w:t>
      </w:r>
      <w:r w:rsidR="00F31322">
        <w:rPr>
          <w:rFonts w:cs="Arial"/>
        </w:rPr>
        <w:t>set</w:t>
      </w:r>
      <w:r w:rsidR="00F31322" w:rsidRPr="00AC713D">
        <w:rPr>
          <w:rFonts w:cs="Arial"/>
        </w:rPr>
        <w:t xml:space="preserve"> </w:t>
      </w:r>
      <w:r w:rsidRPr="00AC713D">
        <w:rPr>
          <w:rFonts w:cs="Arial"/>
        </w:rPr>
        <w:t>výro</w:t>
      </w:r>
      <w:r w:rsidR="00FE73DB" w:rsidRPr="00AC713D">
        <w:rPr>
          <w:rFonts w:cs="Arial"/>
        </w:rPr>
        <w:t xml:space="preserve">bních linek v České republice, </w:t>
      </w:r>
      <w:r w:rsidRPr="00AC713D">
        <w:rPr>
          <w:rFonts w:cs="Arial"/>
        </w:rPr>
        <w:t>jednu výrobní linku v</w:t>
      </w:r>
      <w:r w:rsidR="00FE73DB" w:rsidRPr="00AC713D">
        <w:rPr>
          <w:rFonts w:cs="Arial"/>
        </w:rPr>
        <w:t> </w:t>
      </w:r>
      <w:r w:rsidRPr="00AC713D">
        <w:rPr>
          <w:rFonts w:cs="Arial"/>
        </w:rPr>
        <w:t>Egyptě</w:t>
      </w:r>
      <w:r w:rsidR="00FE73DB" w:rsidRPr="00AC713D">
        <w:rPr>
          <w:rFonts w:cs="Arial"/>
        </w:rPr>
        <w:t xml:space="preserve"> a v Jihoafrické republice</w:t>
      </w:r>
      <w:r w:rsidRPr="00AC713D">
        <w:rPr>
          <w:rFonts w:cs="Arial"/>
        </w:rPr>
        <w:t>. Celková výrobní kapacita Skupiny za rok je v</w:t>
      </w:r>
      <w:r w:rsidR="00FF0C95" w:rsidRPr="00AC713D">
        <w:rPr>
          <w:rFonts w:cs="Arial"/>
        </w:rPr>
        <w:t> </w:t>
      </w:r>
      <w:r w:rsidRPr="00AC713D">
        <w:rPr>
          <w:rFonts w:cs="Arial"/>
        </w:rPr>
        <w:t>současnosti do 1</w:t>
      </w:r>
      <w:r w:rsidR="00F34480" w:rsidRPr="00AC713D">
        <w:rPr>
          <w:rFonts w:cs="Arial"/>
        </w:rPr>
        <w:t>1</w:t>
      </w:r>
      <w:r w:rsidRPr="00AC713D">
        <w:rPr>
          <w:rFonts w:cs="Arial"/>
        </w:rPr>
        <w:t>0 tisíc tun netkaných textilií v</w:t>
      </w:r>
      <w:r w:rsidR="00F34480" w:rsidRPr="00AC713D">
        <w:rPr>
          <w:rFonts w:cs="Arial"/>
        </w:rPr>
        <w:t> </w:t>
      </w:r>
      <w:r w:rsidRPr="00AC713D">
        <w:rPr>
          <w:rFonts w:cs="Arial"/>
        </w:rPr>
        <w:t>České republice</w:t>
      </w:r>
      <w:r w:rsidR="00F34480" w:rsidRPr="00AC713D">
        <w:rPr>
          <w:rFonts w:cs="Arial"/>
        </w:rPr>
        <w:t>,</w:t>
      </w:r>
      <w:r w:rsidRPr="00AC713D">
        <w:rPr>
          <w:rFonts w:cs="Arial"/>
        </w:rPr>
        <w:t xml:space="preserve"> do 20 tisíc tun v</w:t>
      </w:r>
      <w:r w:rsidR="00F34480" w:rsidRPr="00AC713D">
        <w:rPr>
          <w:rFonts w:cs="Arial"/>
        </w:rPr>
        <w:t> </w:t>
      </w:r>
      <w:r w:rsidRPr="00AC713D">
        <w:rPr>
          <w:rFonts w:cs="Arial"/>
        </w:rPr>
        <w:t>Egyptě</w:t>
      </w:r>
      <w:r w:rsidR="00F34480" w:rsidRPr="00AC713D">
        <w:rPr>
          <w:rFonts w:cs="Arial"/>
        </w:rPr>
        <w:t xml:space="preserve"> a do 10 tisíc tun v Jihoafrické republice.</w:t>
      </w:r>
      <w:r w:rsidRPr="00AC713D">
        <w:rPr>
          <w:rFonts w:cs="Arial"/>
        </w:rPr>
        <w:t xml:space="preserve">. </w:t>
      </w:r>
    </w:p>
    <w:p w14:paraId="6B9DA912" w14:textId="53F2B507" w:rsidR="000C292F" w:rsidRPr="00AC713D" w:rsidRDefault="000C292F" w:rsidP="000C292F">
      <w:pPr>
        <w:rPr>
          <w:rFonts w:cs="Arial"/>
        </w:rPr>
      </w:pPr>
      <w:r w:rsidRPr="00AC713D">
        <w:rPr>
          <w:rFonts w:cs="Arial"/>
        </w:rPr>
        <w:t xml:space="preserve">Po uvedení na akciový trh v prosinci 2006 jsou akcie Společnosti kotovány na Burze cenných papírů v Praze. </w:t>
      </w:r>
    </w:p>
    <w:p w14:paraId="1A6C01F1" w14:textId="31D7F110" w:rsidR="000C292F" w:rsidRPr="00AC713D" w:rsidRDefault="0057719F" w:rsidP="000C292F">
      <w:pPr>
        <w:rPr>
          <w:rFonts w:cs="Arial"/>
        </w:rPr>
      </w:pPr>
      <w:r w:rsidRPr="00AC713D">
        <w:rPr>
          <w:rFonts w:cs="Arial"/>
        </w:rPr>
        <w:t xml:space="preserve">Společnost </w:t>
      </w:r>
      <w:r w:rsidR="000C292F" w:rsidRPr="00AC713D">
        <w:rPr>
          <w:rFonts w:cs="Arial"/>
        </w:rPr>
        <w:t>je členem European Disposables and Nonwovens Association (EDANA).</w:t>
      </w:r>
    </w:p>
    <w:p w14:paraId="3C932B54" w14:textId="77777777" w:rsidR="000C292F" w:rsidRPr="00AC713D" w:rsidRDefault="000C292F" w:rsidP="000C292F">
      <w:pPr>
        <w:pStyle w:val="Nadpis1"/>
        <w:rPr>
          <w:rFonts w:cs="Arial"/>
        </w:rPr>
        <w:sectPr w:rsidR="000C292F" w:rsidRPr="00AC713D" w:rsidSect="00E431E6">
          <w:footerReference w:type="even" r:id="rId9"/>
          <w:footerReference w:type="default" r:id="rId10"/>
          <w:pgSz w:w="11906" w:h="16838"/>
          <w:pgMar w:top="1417" w:right="1417" w:bottom="1417" w:left="1417" w:header="708" w:footer="708" w:gutter="0"/>
          <w:cols w:space="708"/>
          <w:titlePg/>
          <w:docGrid w:linePitch="360"/>
        </w:sectPr>
      </w:pPr>
    </w:p>
    <w:p w14:paraId="74F218DE" w14:textId="61C503B9" w:rsidR="000C292F" w:rsidRPr="00AC713D" w:rsidRDefault="000C292F" w:rsidP="000C292F">
      <w:pPr>
        <w:pStyle w:val="Nadpis1"/>
        <w:rPr>
          <w:rFonts w:cs="Arial"/>
        </w:rPr>
      </w:pPr>
      <w:bookmarkStart w:id="2" w:name="_Toc269111112"/>
      <w:bookmarkStart w:id="3" w:name="_Toc269118384"/>
      <w:bookmarkStart w:id="4" w:name="_Toc269139283"/>
      <w:bookmarkStart w:id="5" w:name="_Toc269111114"/>
      <w:bookmarkStart w:id="6" w:name="_Toc269118386"/>
      <w:bookmarkStart w:id="7" w:name="_Toc269139285"/>
      <w:bookmarkStart w:id="8" w:name="_Toc269907485"/>
      <w:bookmarkStart w:id="9" w:name="_Toc47644459"/>
      <w:bookmarkEnd w:id="2"/>
      <w:bookmarkEnd w:id="3"/>
      <w:bookmarkEnd w:id="4"/>
      <w:bookmarkEnd w:id="5"/>
      <w:bookmarkEnd w:id="6"/>
      <w:bookmarkEnd w:id="7"/>
      <w:r w:rsidRPr="00AC713D">
        <w:rPr>
          <w:rFonts w:cs="Arial"/>
        </w:rPr>
        <w:lastRenderedPageBreak/>
        <w:t xml:space="preserve">Hlavní údaje za první pololetí </w:t>
      </w:r>
      <w:bookmarkEnd w:id="8"/>
      <w:r w:rsidR="004D52B4" w:rsidRPr="00AC713D">
        <w:rPr>
          <w:rFonts w:cs="Arial"/>
        </w:rPr>
        <w:t>20</w:t>
      </w:r>
      <w:r w:rsidR="004D52B4">
        <w:rPr>
          <w:rFonts w:cs="Arial"/>
        </w:rPr>
        <w:t>20</w:t>
      </w:r>
      <w:bookmarkEnd w:id="9"/>
    </w:p>
    <w:p w14:paraId="6C45DACB" w14:textId="77777777" w:rsidR="009674E5" w:rsidRPr="00AC713D" w:rsidRDefault="009674E5" w:rsidP="009674E5"/>
    <w:tbl>
      <w:tblPr>
        <w:tblW w:w="5000" w:type="pct"/>
        <w:tblCellMar>
          <w:left w:w="70" w:type="dxa"/>
          <w:right w:w="70" w:type="dxa"/>
        </w:tblCellMar>
        <w:tblLook w:val="04A0" w:firstRow="1" w:lastRow="0" w:firstColumn="1" w:lastColumn="0" w:noHBand="0" w:noVBand="1"/>
      </w:tblPr>
      <w:tblGrid>
        <w:gridCol w:w="5019"/>
        <w:gridCol w:w="2161"/>
        <w:gridCol w:w="1892"/>
      </w:tblGrid>
      <w:tr w:rsidR="002C4FFF" w:rsidRPr="00AC713D" w14:paraId="16D97582" w14:textId="77777777" w:rsidTr="002C4FFF">
        <w:trPr>
          <w:trHeight w:val="319"/>
        </w:trPr>
        <w:tc>
          <w:tcPr>
            <w:tcW w:w="2766" w:type="pct"/>
            <w:tcBorders>
              <w:top w:val="nil"/>
              <w:left w:val="nil"/>
              <w:bottom w:val="nil"/>
              <w:right w:val="nil"/>
            </w:tcBorders>
            <w:shd w:val="clear" w:color="000000" w:fill="2A7FC6"/>
            <w:noWrap/>
            <w:vAlign w:val="bottom"/>
            <w:hideMark/>
          </w:tcPr>
          <w:p w14:paraId="63E17642" w14:textId="77777777" w:rsidR="002C4FFF" w:rsidRPr="00AC713D" w:rsidRDefault="002C4FFF" w:rsidP="0035058C">
            <w:pPr>
              <w:spacing w:before="0" w:beforeAutospacing="0" w:after="0" w:afterAutospacing="0"/>
              <w:jc w:val="left"/>
              <w:rPr>
                <w:rFonts w:cs="Arial"/>
                <w:b/>
                <w:bCs/>
                <w:color w:val="FFFFFF"/>
                <w:sz w:val="20"/>
                <w:szCs w:val="20"/>
              </w:rPr>
            </w:pPr>
            <w:r w:rsidRPr="00AC713D">
              <w:rPr>
                <w:rFonts w:cs="Arial"/>
                <w:b/>
                <w:bCs/>
                <w:color w:val="FFFFFF"/>
                <w:sz w:val="20"/>
                <w:szCs w:val="20"/>
              </w:rPr>
              <w:t> </w:t>
            </w:r>
          </w:p>
        </w:tc>
        <w:tc>
          <w:tcPr>
            <w:tcW w:w="2234" w:type="pct"/>
            <w:gridSpan w:val="2"/>
            <w:tcBorders>
              <w:top w:val="nil"/>
              <w:left w:val="nil"/>
              <w:bottom w:val="nil"/>
              <w:right w:val="nil"/>
            </w:tcBorders>
            <w:shd w:val="clear" w:color="000000" w:fill="2A7FC6"/>
            <w:noWrap/>
            <w:vAlign w:val="bottom"/>
            <w:hideMark/>
          </w:tcPr>
          <w:p w14:paraId="5B82C074" w14:textId="77777777" w:rsidR="002C4FFF" w:rsidRPr="00AC713D" w:rsidRDefault="002C4FFF" w:rsidP="0035058C">
            <w:pPr>
              <w:spacing w:before="0" w:beforeAutospacing="0" w:after="0" w:afterAutospacing="0"/>
              <w:jc w:val="center"/>
              <w:rPr>
                <w:rFonts w:cs="Arial"/>
                <w:b/>
                <w:bCs/>
                <w:color w:val="FFFFFF"/>
                <w:sz w:val="20"/>
                <w:szCs w:val="20"/>
              </w:rPr>
            </w:pPr>
            <w:r w:rsidRPr="00AC713D">
              <w:rPr>
                <w:rFonts w:cs="Arial"/>
                <w:b/>
                <w:bCs/>
                <w:color w:val="FFFFFF"/>
                <w:sz w:val="20"/>
                <w:szCs w:val="20"/>
              </w:rPr>
              <w:t> </w:t>
            </w:r>
          </w:p>
        </w:tc>
      </w:tr>
      <w:tr w:rsidR="002C4FFF" w:rsidRPr="00AC713D" w14:paraId="54661B2F" w14:textId="77777777" w:rsidTr="002C4FFF">
        <w:trPr>
          <w:trHeight w:val="319"/>
        </w:trPr>
        <w:tc>
          <w:tcPr>
            <w:tcW w:w="2766" w:type="pct"/>
            <w:tcBorders>
              <w:top w:val="nil"/>
              <w:left w:val="nil"/>
              <w:bottom w:val="nil"/>
              <w:right w:val="nil"/>
            </w:tcBorders>
            <w:shd w:val="clear" w:color="000000" w:fill="2A7FC6"/>
            <w:noWrap/>
            <w:vAlign w:val="bottom"/>
            <w:hideMark/>
          </w:tcPr>
          <w:p w14:paraId="2F7DC1D6" w14:textId="77777777" w:rsidR="002C4FFF" w:rsidRPr="00AC713D" w:rsidRDefault="002C4FFF" w:rsidP="0035058C">
            <w:pPr>
              <w:spacing w:before="0" w:beforeAutospacing="0" w:after="0" w:afterAutospacing="0"/>
              <w:jc w:val="left"/>
              <w:rPr>
                <w:rFonts w:cs="Arial"/>
                <w:b/>
                <w:bCs/>
                <w:color w:val="FFFFFF"/>
                <w:sz w:val="20"/>
                <w:szCs w:val="20"/>
              </w:rPr>
            </w:pPr>
            <w:r w:rsidRPr="00AC713D">
              <w:rPr>
                <w:rFonts w:cs="Arial"/>
                <w:b/>
                <w:bCs/>
                <w:color w:val="FFFFFF"/>
                <w:sz w:val="20"/>
                <w:szCs w:val="20"/>
              </w:rPr>
              <w:t> </w:t>
            </w:r>
          </w:p>
        </w:tc>
        <w:tc>
          <w:tcPr>
            <w:tcW w:w="2234" w:type="pct"/>
            <w:gridSpan w:val="2"/>
            <w:tcBorders>
              <w:top w:val="nil"/>
              <w:left w:val="nil"/>
              <w:bottom w:val="nil"/>
              <w:right w:val="nil"/>
            </w:tcBorders>
            <w:shd w:val="clear" w:color="000000" w:fill="2A7FC6"/>
            <w:noWrap/>
            <w:vAlign w:val="bottom"/>
            <w:hideMark/>
          </w:tcPr>
          <w:p w14:paraId="0681FEC5" w14:textId="69396E9F" w:rsidR="002C4FFF" w:rsidRPr="00AC713D" w:rsidRDefault="002C4FFF" w:rsidP="00397601">
            <w:pPr>
              <w:spacing w:before="0" w:beforeAutospacing="0" w:after="0" w:afterAutospacing="0"/>
              <w:jc w:val="center"/>
              <w:rPr>
                <w:rFonts w:cs="Arial"/>
                <w:b/>
                <w:bCs/>
                <w:color w:val="FFFFFF"/>
                <w:sz w:val="20"/>
                <w:szCs w:val="20"/>
              </w:rPr>
            </w:pPr>
            <w:r w:rsidRPr="00AC713D">
              <w:rPr>
                <w:rFonts w:cs="Arial"/>
                <w:b/>
                <w:bCs/>
                <w:color w:val="FFFFFF"/>
                <w:sz w:val="20"/>
                <w:szCs w:val="20"/>
              </w:rPr>
              <w:t>Leden – červen 2020</w:t>
            </w:r>
          </w:p>
        </w:tc>
      </w:tr>
      <w:tr w:rsidR="002C4FFF" w:rsidRPr="00AC713D" w14:paraId="4C590A5B" w14:textId="77777777" w:rsidTr="002C4FFF">
        <w:trPr>
          <w:trHeight w:val="330"/>
        </w:trPr>
        <w:tc>
          <w:tcPr>
            <w:tcW w:w="2766" w:type="pct"/>
            <w:tcBorders>
              <w:top w:val="nil"/>
              <w:left w:val="nil"/>
              <w:bottom w:val="nil"/>
              <w:right w:val="nil"/>
            </w:tcBorders>
            <w:shd w:val="clear" w:color="000000" w:fill="2A7FC6"/>
            <w:noWrap/>
            <w:vAlign w:val="center"/>
            <w:hideMark/>
          </w:tcPr>
          <w:p w14:paraId="6C2DC3F2" w14:textId="77777777" w:rsidR="002C4FFF" w:rsidRPr="00AC713D" w:rsidRDefault="002C4FFF" w:rsidP="0035058C">
            <w:pPr>
              <w:spacing w:before="0" w:beforeAutospacing="0" w:after="0" w:afterAutospacing="0"/>
              <w:jc w:val="left"/>
              <w:rPr>
                <w:rFonts w:cs="Arial"/>
                <w:b/>
                <w:bCs/>
                <w:color w:val="FFFFFF"/>
                <w:sz w:val="20"/>
                <w:szCs w:val="20"/>
              </w:rPr>
            </w:pPr>
            <w:r w:rsidRPr="00AC713D">
              <w:rPr>
                <w:rFonts w:cs="Arial"/>
                <w:b/>
                <w:bCs/>
                <w:color w:val="FFFFFF"/>
                <w:sz w:val="20"/>
                <w:szCs w:val="20"/>
              </w:rPr>
              <w:t> </w:t>
            </w:r>
          </w:p>
        </w:tc>
        <w:tc>
          <w:tcPr>
            <w:tcW w:w="1191" w:type="pct"/>
            <w:tcBorders>
              <w:top w:val="nil"/>
              <w:left w:val="nil"/>
              <w:bottom w:val="nil"/>
              <w:right w:val="nil"/>
            </w:tcBorders>
            <w:shd w:val="clear" w:color="000000" w:fill="2A7FC6"/>
            <w:noWrap/>
            <w:vAlign w:val="center"/>
            <w:hideMark/>
          </w:tcPr>
          <w:p w14:paraId="32C30E01" w14:textId="77777777" w:rsidR="002C4FFF" w:rsidRPr="00AC713D" w:rsidRDefault="002C4FFF" w:rsidP="0035058C">
            <w:pPr>
              <w:spacing w:before="0" w:beforeAutospacing="0" w:after="0" w:afterAutospacing="0"/>
              <w:jc w:val="left"/>
              <w:rPr>
                <w:rFonts w:cs="Arial"/>
                <w:b/>
                <w:bCs/>
                <w:color w:val="FFFFFF"/>
                <w:sz w:val="20"/>
                <w:szCs w:val="20"/>
              </w:rPr>
            </w:pPr>
            <w:r w:rsidRPr="00AC713D">
              <w:rPr>
                <w:rFonts w:cs="Arial"/>
                <w:b/>
                <w:bCs/>
                <w:color w:val="FFFFFF"/>
                <w:sz w:val="20"/>
                <w:szCs w:val="20"/>
              </w:rPr>
              <w:t> </w:t>
            </w:r>
          </w:p>
        </w:tc>
        <w:tc>
          <w:tcPr>
            <w:tcW w:w="1043" w:type="pct"/>
            <w:tcBorders>
              <w:top w:val="nil"/>
              <w:left w:val="nil"/>
              <w:bottom w:val="nil"/>
              <w:right w:val="nil"/>
            </w:tcBorders>
            <w:shd w:val="clear" w:color="000000" w:fill="2A7FC6"/>
            <w:noWrap/>
            <w:vAlign w:val="center"/>
            <w:hideMark/>
          </w:tcPr>
          <w:p w14:paraId="7FFD1633" w14:textId="77777777" w:rsidR="002C4FFF" w:rsidRPr="00AC713D" w:rsidRDefault="002C4FFF" w:rsidP="0035058C">
            <w:pPr>
              <w:spacing w:before="0" w:beforeAutospacing="0" w:after="0" w:afterAutospacing="0"/>
              <w:jc w:val="center"/>
              <w:rPr>
                <w:rFonts w:cs="Arial"/>
                <w:b/>
                <w:bCs/>
                <w:color w:val="FFFFFF"/>
                <w:sz w:val="20"/>
                <w:szCs w:val="20"/>
              </w:rPr>
            </w:pPr>
            <w:r w:rsidRPr="00AC713D">
              <w:rPr>
                <w:rFonts w:cs="Arial"/>
                <w:b/>
                <w:bCs/>
                <w:color w:val="FFFFFF"/>
                <w:sz w:val="20"/>
                <w:szCs w:val="20"/>
              </w:rPr>
              <w:t>meziročně</w:t>
            </w:r>
          </w:p>
        </w:tc>
      </w:tr>
      <w:tr w:rsidR="002C4FFF" w:rsidRPr="00AC713D" w14:paraId="373C65FD" w14:textId="77777777" w:rsidTr="002C4FFF">
        <w:trPr>
          <w:trHeight w:val="109"/>
        </w:trPr>
        <w:tc>
          <w:tcPr>
            <w:tcW w:w="2766" w:type="pct"/>
            <w:tcBorders>
              <w:top w:val="nil"/>
              <w:left w:val="nil"/>
              <w:bottom w:val="nil"/>
              <w:right w:val="nil"/>
            </w:tcBorders>
            <w:shd w:val="clear" w:color="auto" w:fill="auto"/>
            <w:noWrap/>
            <w:vAlign w:val="center"/>
            <w:hideMark/>
          </w:tcPr>
          <w:p w14:paraId="0EEF2EF0" w14:textId="77777777" w:rsidR="002C4FFF" w:rsidRPr="00AC713D" w:rsidRDefault="002C4FFF" w:rsidP="0035058C">
            <w:pPr>
              <w:spacing w:before="0" w:beforeAutospacing="0" w:after="0" w:afterAutospacing="0"/>
              <w:jc w:val="center"/>
              <w:rPr>
                <w:rFonts w:cs="Arial"/>
                <w:b/>
                <w:bCs/>
                <w:color w:val="FFFFFF"/>
                <w:sz w:val="20"/>
                <w:szCs w:val="20"/>
              </w:rPr>
            </w:pPr>
          </w:p>
        </w:tc>
        <w:tc>
          <w:tcPr>
            <w:tcW w:w="1191" w:type="pct"/>
            <w:tcBorders>
              <w:top w:val="nil"/>
              <w:left w:val="nil"/>
              <w:bottom w:val="nil"/>
              <w:right w:val="nil"/>
            </w:tcBorders>
            <w:shd w:val="clear" w:color="auto" w:fill="auto"/>
            <w:noWrap/>
            <w:vAlign w:val="center"/>
            <w:hideMark/>
          </w:tcPr>
          <w:p w14:paraId="08E8538E" w14:textId="77777777" w:rsidR="002C4FFF" w:rsidRPr="00AC713D" w:rsidRDefault="002C4FFF" w:rsidP="0035058C">
            <w:pPr>
              <w:spacing w:before="0" w:beforeAutospacing="0" w:after="0" w:afterAutospacing="0"/>
              <w:jc w:val="left"/>
              <w:rPr>
                <w:rFonts w:cs="Arial"/>
                <w:sz w:val="20"/>
                <w:szCs w:val="20"/>
              </w:rPr>
            </w:pPr>
          </w:p>
        </w:tc>
        <w:tc>
          <w:tcPr>
            <w:tcW w:w="1043" w:type="pct"/>
            <w:tcBorders>
              <w:top w:val="nil"/>
              <w:left w:val="nil"/>
              <w:bottom w:val="nil"/>
              <w:right w:val="nil"/>
            </w:tcBorders>
            <w:shd w:val="clear" w:color="auto" w:fill="auto"/>
            <w:noWrap/>
            <w:vAlign w:val="center"/>
            <w:hideMark/>
          </w:tcPr>
          <w:p w14:paraId="53DA2210" w14:textId="77777777" w:rsidR="002C4FFF" w:rsidRPr="00AC713D" w:rsidRDefault="002C4FFF" w:rsidP="0035058C">
            <w:pPr>
              <w:spacing w:before="0" w:beforeAutospacing="0" w:after="0" w:afterAutospacing="0"/>
              <w:jc w:val="left"/>
              <w:rPr>
                <w:rFonts w:cs="Arial"/>
                <w:sz w:val="20"/>
                <w:szCs w:val="20"/>
              </w:rPr>
            </w:pPr>
          </w:p>
        </w:tc>
      </w:tr>
      <w:tr w:rsidR="002C4FFF" w:rsidRPr="00AC713D" w14:paraId="7A0B394A" w14:textId="77777777" w:rsidTr="002C4FFF">
        <w:trPr>
          <w:trHeight w:val="330"/>
        </w:trPr>
        <w:tc>
          <w:tcPr>
            <w:tcW w:w="2766" w:type="pct"/>
            <w:tcBorders>
              <w:top w:val="nil"/>
              <w:left w:val="nil"/>
              <w:bottom w:val="nil"/>
              <w:right w:val="nil"/>
            </w:tcBorders>
            <w:shd w:val="clear" w:color="000000" w:fill="9C9D9F"/>
            <w:vAlign w:val="center"/>
            <w:hideMark/>
          </w:tcPr>
          <w:p w14:paraId="23216DB5" w14:textId="77777777" w:rsidR="002C4FFF" w:rsidRPr="00AC713D" w:rsidRDefault="002C4FFF" w:rsidP="0035058C">
            <w:pPr>
              <w:spacing w:before="0" w:beforeAutospacing="0" w:after="0" w:afterAutospacing="0"/>
              <w:jc w:val="left"/>
              <w:rPr>
                <w:rFonts w:cs="Arial"/>
                <w:b/>
                <w:bCs/>
                <w:sz w:val="20"/>
                <w:szCs w:val="20"/>
              </w:rPr>
            </w:pPr>
            <w:r w:rsidRPr="00AC713D">
              <w:rPr>
                <w:rFonts w:cs="Arial"/>
                <w:b/>
                <w:bCs/>
                <w:sz w:val="20"/>
                <w:szCs w:val="20"/>
              </w:rPr>
              <w:t>Finanční ukazatele (v mil. Kč)</w:t>
            </w:r>
          </w:p>
        </w:tc>
        <w:tc>
          <w:tcPr>
            <w:tcW w:w="1191" w:type="pct"/>
            <w:tcBorders>
              <w:top w:val="nil"/>
              <w:left w:val="nil"/>
              <w:bottom w:val="nil"/>
              <w:right w:val="nil"/>
            </w:tcBorders>
            <w:shd w:val="clear" w:color="000000" w:fill="9C9D9F"/>
            <w:noWrap/>
            <w:vAlign w:val="center"/>
            <w:hideMark/>
          </w:tcPr>
          <w:p w14:paraId="547A8794" w14:textId="77777777" w:rsidR="002C4FFF" w:rsidRPr="00AC713D" w:rsidRDefault="002C4FFF" w:rsidP="00FD214B">
            <w:pPr>
              <w:spacing w:before="0" w:beforeAutospacing="0" w:after="0" w:afterAutospacing="0"/>
              <w:ind w:firstLineChars="100" w:firstLine="201"/>
              <w:jc w:val="right"/>
              <w:rPr>
                <w:rFonts w:cs="Arial"/>
                <w:b/>
                <w:bCs/>
                <w:sz w:val="20"/>
                <w:szCs w:val="20"/>
              </w:rPr>
            </w:pPr>
            <w:r w:rsidRPr="00AC713D">
              <w:rPr>
                <w:rFonts w:cs="Arial"/>
                <w:b/>
                <w:bCs/>
                <w:sz w:val="20"/>
                <w:szCs w:val="20"/>
              </w:rPr>
              <w:t> </w:t>
            </w:r>
          </w:p>
        </w:tc>
        <w:tc>
          <w:tcPr>
            <w:tcW w:w="1043" w:type="pct"/>
            <w:tcBorders>
              <w:top w:val="nil"/>
              <w:left w:val="nil"/>
              <w:bottom w:val="nil"/>
              <w:right w:val="nil"/>
            </w:tcBorders>
            <w:shd w:val="clear" w:color="000000" w:fill="9C9D9F"/>
            <w:noWrap/>
            <w:vAlign w:val="center"/>
            <w:hideMark/>
          </w:tcPr>
          <w:p w14:paraId="7BB015E6" w14:textId="77777777" w:rsidR="002C4FFF" w:rsidRPr="00AC713D" w:rsidRDefault="002C4FFF" w:rsidP="00FD214B">
            <w:pPr>
              <w:spacing w:before="0" w:beforeAutospacing="0" w:after="0" w:afterAutospacing="0"/>
              <w:ind w:firstLineChars="100" w:firstLine="201"/>
              <w:jc w:val="right"/>
              <w:rPr>
                <w:rFonts w:cs="Arial"/>
                <w:b/>
                <w:bCs/>
                <w:sz w:val="20"/>
                <w:szCs w:val="20"/>
              </w:rPr>
            </w:pPr>
            <w:r w:rsidRPr="00AC713D">
              <w:rPr>
                <w:rFonts w:cs="Arial"/>
                <w:b/>
                <w:bCs/>
                <w:sz w:val="20"/>
                <w:szCs w:val="20"/>
              </w:rPr>
              <w:t> </w:t>
            </w:r>
          </w:p>
        </w:tc>
      </w:tr>
      <w:tr w:rsidR="002C4FFF" w:rsidRPr="00AC713D" w14:paraId="2893C87F" w14:textId="77777777" w:rsidTr="002C4FFF">
        <w:trPr>
          <w:trHeight w:val="270"/>
        </w:trPr>
        <w:tc>
          <w:tcPr>
            <w:tcW w:w="2766" w:type="pct"/>
            <w:tcBorders>
              <w:top w:val="nil"/>
              <w:left w:val="nil"/>
              <w:bottom w:val="single" w:sz="4" w:space="0" w:color="9C9D9F"/>
              <w:right w:val="nil"/>
            </w:tcBorders>
            <w:shd w:val="clear" w:color="auto" w:fill="auto"/>
            <w:vAlign w:val="center"/>
            <w:hideMark/>
          </w:tcPr>
          <w:p w14:paraId="1BA1B443" w14:textId="77777777" w:rsidR="002C4FFF" w:rsidRPr="00AC713D" w:rsidRDefault="002C4FFF" w:rsidP="00E959DA">
            <w:pPr>
              <w:spacing w:before="0" w:beforeAutospacing="0" w:after="0" w:afterAutospacing="0"/>
              <w:jc w:val="left"/>
              <w:rPr>
                <w:rFonts w:cs="Arial"/>
                <w:b/>
                <w:bCs/>
                <w:sz w:val="20"/>
                <w:szCs w:val="20"/>
              </w:rPr>
            </w:pPr>
            <w:r w:rsidRPr="00AC713D">
              <w:rPr>
                <w:rFonts w:cs="Arial"/>
                <w:b/>
                <w:bCs/>
                <w:sz w:val="20"/>
                <w:szCs w:val="20"/>
              </w:rPr>
              <w:t>Výnosy</w:t>
            </w:r>
          </w:p>
        </w:tc>
        <w:tc>
          <w:tcPr>
            <w:tcW w:w="1191" w:type="pct"/>
            <w:tcBorders>
              <w:top w:val="nil"/>
              <w:left w:val="nil"/>
              <w:bottom w:val="single" w:sz="4" w:space="0" w:color="9C9D9F"/>
              <w:right w:val="nil"/>
            </w:tcBorders>
            <w:shd w:val="clear" w:color="auto" w:fill="auto"/>
            <w:noWrap/>
            <w:vAlign w:val="center"/>
          </w:tcPr>
          <w:p w14:paraId="258D22DE" w14:textId="047CC28E" w:rsidR="002C4FFF" w:rsidRPr="00E959DA" w:rsidRDefault="002C4FFF" w:rsidP="00E959DA">
            <w:pPr>
              <w:spacing w:before="0" w:beforeAutospacing="0" w:after="0" w:afterAutospacing="0"/>
              <w:ind w:firstLineChars="100" w:firstLine="201"/>
              <w:jc w:val="right"/>
              <w:rPr>
                <w:rFonts w:cs="Arial"/>
                <w:b/>
                <w:bCs/>
                <w:sz w:val="20"/>
                <w:szCs w:val="20"/>
              </w:rPr>
            </w:pPr>
            <w:r w:rsidRPr="002C4FFF">
              <w:rPr>
                <w:rFonts w:cs="Arial"/>
                <w:b/>
                <w:bCs/>
                <w:sz w:val="20"/>
                <w:szCs w:val="20"/>
              </w:rPr>
              <w:t>3 347,3</w:t>
            </w:r>
          </w:p>
        </w:tc>
        <w:tc>
          <w:tcPr>
            <w:tcW w:w="1043" w:type="pct"/>
            <w:tcBorders>
              <w:top w:val="nil"/>
              <w:left w:val="nil"/>
              <w:bottom w:val="single" w:sz="4" w:space="0" w:color="9C9D9F"/>
              <w:right w:val="nil"/>
            </w:tcBorders>
            <w:shd w:val="clear" w:color="auto" w:fill="auto"/>
            <w:noWrap/>
            <w:vAlign w:val="center"/>
          </w:tcPr>
          <w:p w14:paraId="327F5ECA" w14:textId="41406BB2" w:rsidR="002C4FFF" w:rsidRPr="00E959DA" w:rsidRDefault="002C4FFF" w:rsidP="00E959DA">
            <w:pPr>
              <w:spacing w:before="0" w:beforeAutospacing="0" w:after="0" w:afterAutospacing="0"/>
              <w:ind w:firstLineChars="100" w:firstLine="201"/>
              <w:jc w:val="right"/>
              <w:rPr>
                <w:rFonts w:cs="Arial"/>
                <w:b/>
                <w:bCs/>
                <w:sz w:val="20"/>
                <w:szCs w:val="20"/>
              </w:rPr>
            </w:pPr>
            <w:r w:rsidRPr="002C4FFF">
              <w:rPr>
                <w:rFonts w:cs="Arial"/>
                <w:b/>
                <w:bCs/>
                <w:sz w:val="20"/>
                <w:szCs w:val="20"/>
              </w:rPr>
              <w:t>6,0%</w:t>
            </w:r>
          </w:p>
        </w:tc>
      </w:tr>
      <w:tr w:rsidR="002C4FFF" w:rsidRPr="00AC713D" w14:paraId="5A894A84" w14:textId="77777777" w:rsidTr="002C4FFF">
        <w:trPr>
          <w:trHeight w:val="270"/>
        </w:trPr>
        <w:tc>
          <w:tcPr>
            <w:tcW w:w="2766" w:type="pct"/>
            <w:tcBorders>
              <w:top w:val="nil"/>
              <w:left w:val="nil"/>
              <w:bottom w:val="single" w:sz="4" w:space="0" w:color="9C9D9F"/>
              <w:right w:val="nil"/>
            </w:tcBorders>
            <w:shd w:val="clear" w:color="auto" w:fill="auto"/>
            <w:vAlign w:val="center"/>
            <w:hideMark/>
          </w:tcPr>
          <w:p w14:paraId="487F682F" w14:textId="77777777" w:rsidR="002C4FFF" w:rsidRPr="00AC713D" w:rsidRDefault="002C4FFF" w:rsidP="00E959DA">
            <w:pPr>
              <w:spacing w:before="0" w:beforeAutospacing="0" w:after="0" w:afterAutospacing="0"/>
              <w:jc w:val="left"/>
              <w:rPr>
                <w:rFonts w:cs="Arial"/>
                <w:sz w:val="20"/>
                <w:szCs w:val="20"/>
              </w:rPr>
            </w:pPr>
            <w:r w:rsidRPr="00AC713D">
              <w:rPr>
                <w:rFonts w:cs="Arial"/>
                <w:sz w:val="20"/>
                <w:szCs w:val="20"/>
              </w:rPr>
              <w:t>Provozní náklady bez odpisů</w:t>
            </w:r>
          </w:p>
        </w:tc>
        <w:tc>
          <w:tcPr>
            <w:tcW w:w="1191" w:type="pct"/>
            <w:tcBorders>
              <w:top w:val="nil"/>
              <w:left w:val="nil"/>
              <w:bottom w:val="single" w:sz="4" w:space="0" w:color="9C9D9F"/>
              <w:right w:val="nil"/>
            </w:tcBorders>
            <w:shd w:val="clear" w:color="auto" w:fill="auto"/>
            <w:noWrap/>
            <w:vAlign w:val="center"/>
          </w:tcPr>
          <w:p w14:paraId="5ACCA7D1" w14:textId="17D0DB92" w:rsidR="002C4FFF" w:rsidRPr="00E959DA" w:rsidRDefault="002C4FFF" w:rsidP="00E959DA">
            <w:pPr>
              <w:spacing w:before="0" w:beforeAutospacing="0" w:after="0" w:afterAutospacing="0"/>
              <w:ind w:firstLineChars="100" w:firstLine="200"/>
              <w:jc w:val="right"/>
              <w:rPr>
                <w:rFonts w:cs="Arial"/>
                <w:sz w:val="20"/>
                <w:szCs w:val="20"/>
              </w:rPr>
            </w:pPr>
            <w:r w:rsidRPr="002C4FFF">
              <w:rPr>
                <w:rFonts w:cs="Arial"/>
                <w:sz w:val="20"/>
                <w:szCs w:val="20"/>
              </w:rPr>
              <w:t>-2 687,8</w:t>
            </w:r>
          </w:p>
        </w:tc>
        <w:tc>
          <w:tcPr>
            <w:tcW w:w="1043" w:type="pct"/>
            <w:tcBorders>
              <w:top w:val="nil"/>
              <w:left w:val="nil"/>
              <w:bottom w:val="single" w:sz="4" w:space="0" w:color="9C9D9F"/>
              <w:right w:val="nil"/>
            </w:tcBorders>
            <w:shd w:val="clear" w:color="auto" w:fill="auto"/>
            <w:noWrap/>
            <w:vAlign w:val="center"/>
          </w:tcPr>
          <w:p w14:paraId="784EE778" w14:textId="428427B6" w:rsidR="002C4FFF" w:rsidRPr="00E959DA" w:rsidRDefault="002C4FFF" w:rsidP="00E959DA">
            <w:pPr>
              <w:spacing w:before="0" w:beforeAutospacing="0" w:after="0" w:afterAutospacing="0"/>
              <w:ind w:firstLineChars="100" w:firstLine="200"/>
              <w:jc w:val="right"/>
              <w:rPr>
                <w:rFonts w:cs="Arial"/>
                <w:sz w:val="20"/>
                <w:szCs w:val="20"/>
              </w:rPr>
            </w:pPr>
            <w:r w:rsidRPr="002C4FFF">
              <w:rPr>
                <w:rFonts w:cs="Arial"/>
                <w:sz w:val="20"/>
                <w:szCs w:val="20"/>
              </w:rPr>
              <w:t>5,3%</w:t>
            </w:r>
          </w:p>
        </w:tc>
      </w:tr>
      <w:tr w:rsidR="002C4FFF" w:rsidRPr="00AC713D" w14:paraId="235DA728" w14:textId="77777777" w:rsidTr="002C4FFF">
        <w:trPr>
          <w:trHeight w:val="270"/>
        </w:trPr>
        <w:tc>
          <w:tcPr>
            <w:tcW w:w="2766" w:type="pct"/>
            <w:tcBorders>
              <w:top w:val="nil"/>
              <w:left w:val="nil"/>
              <w:bottom w:val="single" w:sz="4" w:space="0" w:color="9C9D9F"/>
              <w:right w:val="nil"/>
            </w:tcBorders>
            <w:shd w:val="clear" w:color="auto" w:fill="auto"/>
            <w:vAlign w:val="center"/>
            <w:hideMark/>
          </w:tcPr>
          <w:p w14:paraId="5FFC85E3" w14:textId="77777777" w:rsidR="002C4FFF" w:rsidRPr="00AC713D" w:rsidRDefault="002C4FFF" w:rsidP="00E959DA">
            <w:pPr>
              <w:spacing w:before="0" w:beforeAutospacing="0" w:after="0" w:afterAutospacing="0"/>
              <w:jc w:val="left"/>
              <w:rPr>
                <w:rFonts w:cs="Arial"/>
                <w:b/>
                <w:bCs/>
                <w:sz w:val="20"/>
                <w:szCs w:val="20"/>
              </w:rPr>
            </w:pPr>
            <w:r w:rsidRPr="00AC713D">
              <w:rPr>
                <w:rFonts w:cs="Arial"/>
                <w:b/>
                <w:bCs/>
                <w:sz w:val="20"/>
                <w:szCs w:val="20"/>
              </w:rPr>
              <w:t>EBITDA</w:t>
            </w:r>
          </w:p>
        </w:tc>
        <w:tc>
          <w:tcPr>
            <w:tcW w:w="1191" w:type="pct"/>
            <w:tcBorders>
              <w:top w:val="nil"/>
              <w:left w:val="nil"/>
              <w:bottom w:val="single" w:sz="4" w:space="0" w:color="9C9D9F"/>
              <w:right w:val="nil"/>
            </w:tcBorders>
            <w:shd w:val="clear" w:color="auto" w:fill="auto"/>
            <w:noWrap/>
            <w:vAlign w:val="center"/>
          </w:tcPr>
          <w:p w14:paraId="75A950CB" w14:textId="0CFE9889" w:rsidR="002C4FFF" w:rsidRPr="00E959DA" w:rsidRDefault="002C4FFF" w:rsidP="00E959DA">
            <w:pPr>
              <w:spacing w:before="0" w:beforeAutospacing="0" w:after="0" w:afterAutospacing="0"/>
              <w:ind w:firstLineChars="100" w:firstLine="201"/>
              <w:jc w:val="right"/>
              <w:rPr>
                <w:rFonts w:cs="Arial"/>
                <w:b/>
                <w:bCs/>
                <w:sz w:val="20"/>
                <w:szCs w:val="20"/>
              </w:rPr>
            </w:pPr>
            <w:r w:rsidRPr="002C4FFF">
              <w:rPr>
                <w:rFonts w:cs="Arial"/>
                <w:b/>
                <w:bCs/>
                <w:sz w:val="20"/>
                <w:szCs w:val="20"/>
              </w:rPr>
              <w:t>659,6</w:t>
            </w:r>
          </w:p>
        </w:tc>
        <w:tc>
          <w:tcPr>
            <w:tcW w:w="1043" w:type="pct"/>
            <w:tcBorders>
              <w:top w:val="nil"/>
              <w:left w:val="nil"/>
              <w:bottom w:val="single" w:sz="4" w:space="0" w:color="9C9D9F"/>
              <w:right w:val="nil"/>
            </w:tcBorders>
            <w:shd w:val="clear" w:color="auto" w:fill="auto"/>
            <w:noWrap/>
            <w:vAlign w:val="center"/>
          </w:tcPr>
          <w:p w14:paraId="7B8D7B32" w14:textId="1E2E8621" w:rsidR="002C4FFF" w:rsidRPr="00E959DA" w:rsidRDefault="002C4FFF" w:rsidP="00E959DA">
            <w:pPr>
              <w:spacing w:before="0" w:beforeAutospacing="0" w:after="0" w:afterAutospacing="0"/>
              <w:ind w:firstLineChars="100" w:firstLine="201"/>
              <w:jc w:val="right"/>
              <w:rPr>
                <w:rFonts w:cs="Arial"/>
                <w:b/>
                <w:bCs/>
                <w:sz w:val="20"/>
                <w:szCs w:val="20"/>
              </w:rPr>
            </w:pPr>
            <w:r w:rsidRPr="002C4FFF">
              <w:rPr>
                <w:rFonts w:cs="Arial"/>
                <w:b/>
                <w:bCs/>
                <w:sz w:val="20"/>
                <w:szCs w:val="20"/>
              </w:rPr>
              <w:t>8,9%</w:t>
            </w:r>
          </w:p>
        </w:tc>
      </w:tr>
      <w:tr w:rsidR="002C4FFF" w:rsidRPr="00AC713D" w14:paraId="60687873" w14:textId="77777777" w:rsidTr="002C4FFF">
        <w:trPr>
          <w:trHeight w:val="270"/>
        </w:trPr>
        <w:tc>
          <w:tcPr>
            <w:tcW w:w="2766" w:type="pct"/>
            <w:tcBorders>
              <w:top w:val="nil"/>
              <w:left w:val="nil"/>
              <w:bottom w:val="single" w:sz="4" w:space="0" w:color="9C9D9F"/>
              <w:right w:val="nil"/>
            </w:tcBorders>
            <w:shd w:val="clear" w:color="auto" w:fill="auto"/>
            <w:vAlign w:val="center"/>
            <w:hideMark/>
          </w:tcPr>
          <w:p w14:paraId="5AE2755B" w14:textId="77777777" w:rsidR="002C4FFF" w:rsidRPr="00AC713D" w:rsidRDefault="002C4FFF" w:rsidP="00E959DA">
            <w:pPr>
              <w:spacing w:before="0" w:beforeAutospacing="0" w:after="0" w:afterAutospacing="0"/>
              <w:jc w:val="left"/>
              <w:rPr>
                <w:rFonts w:cs="Arial"/>
                <w:sz w:val="20"/>
                <w:szCs w:val="20"/>
              </w:rPr>
            </w:pPr>
            <w:r w:rsidRPr="00AC713D">
              <w:rPr>
                <w:rFonts w:cs="Arial"/>
                <w:sz w:val="20"/>
                <w:szCs w:val="20"/>
              </w:rPr>
              <w:t>Odpisy</w:t>
            </w:r>
          </w:p>
        </w:tc>
        <w:tc>
          <w:tcPr>
            <w:tcW w:w="1191" w:type="pct"/>
            <w:tcBorders>
              <w:top w:val="nil"/>
              <w:left w:val="nil"/>
              <w:bottom w:val="single" w:sz="4" w:space="0" w:color="9C9D9F"/>
              <w:right w:val="nil"/>
            </w:tcBorders>
            <w:shd w:val="clear" w:color="auto" w:fill="auto"/>
            <w:noWrap/>
            <w:vAlign w:val="center"/>
          </w:tcPr>
          <w:p w14:paraId="3CBD1D5E" w14:textId="672AA700" w:rsidR="002C4FFF" w:rsidRPr="00E959DA" w:rsidRDefault="002C4FFF" w:rsidP="00E959DA">
            <w:pPr>
              <w:spacing w:before="0" w:beforeAutospacing="0" w:after="0" w:afterAutospacing="0"/>
              <w:ind w:firstLineChars="100" w:firstLine="200"/>
              <w:jc w:val="right"/>
              <w:rPr>
                <w:rFonts w:cs="Arial"/>
                <w:sz w:val="20"/>
                <w:szCs w:val="20"/>
              </w:rPr>
            </w:pPr>
            <w:r w:rsidRPr="002C4FFF">
              <w:rPr>
                <w:rFonts w:cs="Arial"/>
                <w:sz w:val="20"/>
                <w:szCs w:val="20"/>
              </w:rPr>
              <w:t>-292,3</w:t>
            </w:r>
          </w:p>
        </w:tc>
        <w:tc>
          <w:tcPr>
            <w:tcW w:w="1043" w:type="pct"/>
            <w:tcBorders>
              <w:top w:val="nil"/>
              <w:left w:val="nil"/>
              <w:bottom w:val="single" w:sz="4" w:space="0" w:color="9C9D9F"/>
              <w:right w:val="nil"/>
            </w:tcBorders>
            <w:shd w:val="clear" w:color="auto" w:fill="auto"/>
            <w:noWrap/>
            <w:vAlign w:val="center"/>
          </w:tcPr>
          <w:p w14:paraId="3E1C7BE9" w14:textId="6A559EFD" w:rsidR="002C4FFF" w:rsidRPr="00E959DA" w:rsidRDefault="002C4FFF" w:rsidP="00E959DA">
            <w:pPr>
              <w:spacing w:before="0" w:beforeAutospacing="0" w:after="0" w:afterAutospacing="0"/>
              <w:ind w:firstLineChars="100" w:firstLine="200"/>
              <w:jc w:val="right"/>
              <w:rPr>
                <w:rFonts w:cs="Arial"/>
                <w:sz w:val="20"/>
                <w:szCs w:val="20"/>
              </w:rPr>
            </w:pPr>
            <w:r w:rsidRPr="002C4FFF">
              <w:rPr>
                <w:rFonts w:cs="Arial"/>
                <w:sz w:val="20"/>
                <w:szCs w:val="20"/>
              </w:rPr>
              <w:t>15,7%</w:t>
            </w:r>
          </w:p>
        </w:tc>
      </w:tr>
      <w:tr w:rsidR="002C4FFF" w:rsidRPr="00AC713D" w14:paraId="25F6C6C1" w14:textId="77777777" w:rsidTr="002C4FFF">
        <w:trPr>
          <w:trHeight w:val="270"/>
        </w:trPr>
        <w:tc>
          <w:tcPr>
            <w:tcW w:w="2766" w:type="pct"/>
            <w:tcBorders>
              <w:top w:val="nil"/>
              <w:left w:val="nil"/>
              <w:bottom w:val="single" w:sz="4" w:space="0" w:color="9C9D9F"/>
              <w:right w:val="nil"/>
            </w:tcBorders>
            <w:shd w:val="clear" w:color="auto" w:fill="auto"/>
            <w:vAlign w:val="center"/>
            <w:hideMark/>
          </w:tcPr>
          <w:p w14:paraId="22E1AFA4" w14:textId="77777777" w:rsidR="002C4FFF" w:rsidRPr="00AC713D" w:rsidRDefault="002C4FFF" w:rsidP="00E959DA">
            <w:pPr>
              <w:spacing w:before="0" w:beforeAutospacing="0" w:after="0" w:afterAutospacing="0"/>
              <w:jc w:val="left"/>
              <w:rPr>
                <w:rFonts w:cs="Arial"/>
                <w:b/>
                <w:bCs/>
                <w:sz w:val="20"/>
                <w:szCs w:val="20"/>
              </w:rPr>
            </w:pPr>
            <w:r w:rsidRPr="00AC713D">
              <w:rPr>
                <w:rFonts w:cs="Arial"/>
                <w:b/>
                <w:bCs/>
                <w:sz w:val="20"/>
                <w:szCs w:val="20"/>
              </w:rPr>
              <w:t>Provozní hospodářský výsledek (EBIT)</w:t>
            </w:r>
          </w:p>
        </w:tc>
        <w:tc>
          <w:tcPr>
            <w:tcW w:w="1191" w:type="pct"/>
            <w:tcBorders>
              <w:top w:val="nil"/>
              <w:left w:val="nil"/>
              <w:bottom w:val="single" w:sz="4" w:space="0" w:color="9C9D9F"/>
              <w:right w:val="nil"/>
            </w:tcBorders>
            <w:shd w:val="clear" w:color="auto" w:fill="auto"/>
            <w:noWrap/>
            <w:vAlign w:val="center"/>
          </w:tcPr>
          <w:p w14:paraId="471BF494" w14:textId="49DF22B7" w:rsidR="002C4FFF" w:rsidRPr="00E959DA" w:rsidRDefault="002C4FFF" w:rsidP="00E959DA">
            <w:pPr>
              <w:spacing w:before="0" w:beforeAutospacing="0" w:after="0" w:afterAutospacing="0"/>
              <w:ind w:firstLineChars="100" w:firstLine="201"/>
              <w:jc w:val="right"/>
              <w:rPr>
                <w:rFonts w:cs="Arial"/>
                <w:b/>
                <w:bCs/>
                <w:sz w:val="20"/>
                <w:szCs w:val="20"/>
              </w:rPr>
            </w:pPr>
            <w:r w:rsidRPr="002C4FFF">
              <w:rPr>
                <w:rFonts w:cs="Arial"/>
                <w:b/>
                <w:bCs/>
                <w:sz w:val="20"/>
                <w:szCs w:val="20"/>
              </w:rPr>
              <w:t>367,3</w:t>
            </w:r>
          </w:p>
        </w:tc>
        <w:tc>
          <w:tcPr>
            <w:tcW w:w="1043" w:type="pct"/>
            <w:tcBorders>
              <w:top w:val="nil"/>
              <w:left w:val="nil"/>
              <w:bottom w:val="single" w:sz="4" w:space="0" w:color="9C9D9F"/>
              <w:right w:val="nil"/>
            </w:tcBorders>
            <w:shd w:val="clear" w:color="auto" w:fill="auto"/>
            <w:noWrap/>
            <w:vAlign w:val="center"/>
          </w:tcPr>
          <w:p w14:paraId="1682AEFB" w14:textId="10439EC0" w:rsidR="002C4FFF" w:rsidRPr="00E959DA" w:rsidRDefault="002C4FFF" w:rsidP="00E959DA">
            <w:pPr>
              <w:spacing w:before="0" w:beforeAutospacing="0" w:after="0" w:afterAutospacing="0"/>
              <w:ind w:firstLineChars="100" w:firstLine="201"/>
              <w:jc w:val="right"/>
              <w:rPr>
                <w:rFonts w:cs="Arial"/>
                <w:b/>
                <w:bCs/>
                <w:sz w:val="20"/>
                <w:szCs w:val="20"/>
              </w:rPr>
            </w:pPr>
            <w:r w:rsidRPr="002C4FFF">
              <w:rPr>
                <w:rFonts w:cs="Arial"/>
                <w:b/>
                <w:bCs/>
                <w:sz w:val="20"/>
                <w:szCs w:val="20"/>
              </w:rPr>
              <w:t>4,0%</w:t>
            </w:r>
          </w:p>
        </w:tc>
      </w:tr>
      <w:tr w:rsidR="002C4FFF" w:rsidRPr="00AC713D" w14:paraId="6EC25BA8" w14:textId="77777777" w:rsidTr="002C4FFF">
        <w:trPr>
          <w:trHeight w:val="278"/>
        </w:trPr>
        <w:tc>
          <w:tcPr>
            <w:tcW w:w="2766" w:type="pct"/>
            <w:tcBorders>
              <w:top w:val="nil"/>
              <w:left w:val="nil"/>
              <w:bottom w:val="single" w:sz="4" w:space="0" w:color="9C9D9F"/>
              <w:right w:val="nil"/>
            </w:tcBorders>
            <w:shd w:val="clear" w:color="auto" w:fill="auto"/>
            <w:vAlign w:val="center"/>
            <w:hideMark/>
          </w:tcPr>
          <w:p w14:paraId="0733A0ED" w14:textId="77777777" w:rsidR="002C4FFF" w:rsidRPr="00AC713D" w:rsidRDefault="002C4FFF" w:rsidP="00E959DA">
            <w:pPr>
              <w:spacing w:before="0" w:beforeAutospacing="0" w:after="0" w:afterAutospacing="0"/>
              <w:jc w:val="left"/>
              <w:rPr>
                <w:rFonts w:cs="Arial"/>
                <w:sz w:val="20"/>
                <w:szCs w:val="20"/>
              </w:rPr>
            </w:pPr>
            <w:r w:rsidRPr="00AC713D">
              <w:rPr>
                <w:rFonts w:cs="Arial"/>
                <w:sz w:val="20"/>
                <w:szCs w:val="20"/>
              </w:rPr>
              <w:t>Kurzové změny a ostatní finanční výnosy / (náklady) (netto)</w:t>
            </w:r>
          </w:p>
        </w:tc>
        <w:tc>
          <w:tcPr>
            <w:tcW w:w="1191" w:type="pct"/>
            <w:tcBorders>
              <w:top w:val="nil"/>
              <w:left w:val="nil"/>
              <w:bottom w:val="single" w:sz="4" w:space="0" w:color="9C9D9F"/>
              <w:right w:val="nil"/>
            </w:tcBorders>
            <w:shd w:val="clear" w:color="auto" w:fill="auto"/>
            <w:noWrap/>
            <w:vAlign w:val="center"/>
          </w:tcPr>
          <w:p w14:paraId="62B14A29" w14:textId="3312D8F2" w:rsidR="002C4FFF" w:rsidRPr="00E959DA" w:rsidRDefault="002C4FFF" w:rsidP="00E959DA">
            <w:pPr>
              <w:spacing w:before="0" w:beforeAutospacing="0" w:after="0" w:afterAutospacing="0"/>
              <w:ind w:firstLineChars="100" w:firstLine="200"/>
              <w:jc w:val="right"/>
              <w:rPr>
                <w:rFonts w:cs="Arial"/>
                <w:sz w:val="20"/>
                <w:szCs w:val="20"/>
              </w:rPr>
            </w:pPr>
            <w:r w:rsidRPr="002C4FFF">
              <w:rPr>
                <w:rFonts w:cs="Arial"/>
                <w:sz w:val="20"/>
                <w:szCs w:val="20"/>
              </w:rPr>
              <w:t>-242,3</w:t>
            </w:r>
          </w:p>
        </w:tc>
        <w:tc>
          <w:tcPr>
            <w:tcW w:w="1043" w:type="pct"/>
            <w:tcBorders>
              <w:top w:val="nil"/>
              <w:left w:val="nil"/>
              <w:bottom w:val="single" w:sz="4" w:space="0" w:color="9C9D9F"/>
              <w:right w:val="nil"/>
            </w:tcBorders>
            <w:shd w:val="clear" w:color="auto" w:fill="auto"/>
            <w:noWrap/>
            <w:vAlign w:val="center"/>
          </w:tcPr>
          <w:p w14:paraId="4676EB39" w14:textId="751984E4" w:rsidR="002C4FFF" w:rsidRPr="00E959DA" w:rsidRDefault="002C4FFF" w:rsidP="00E959DA">
            <w:pPr>
              <w:spacing w:before="0" w:beforeAutospacing="0" w:after="0" w:afterAutospacing="0"/>
              <w:ind w:firstLineChars="100" w:firstLine="200"/>
              <w:jc w:val="right"/>
              <w:rPr>
                <w:rFonts w:cs="Arial"/>
                <w:sz w:val="20"/>
                <w:szCs w:val="20"/>
              </w:rPr>
            </w:pPr>
            <w:r w:rsidRPr="002C4FFF">
              <w:rPr>
                <w:rFonts w:cs="Arial"/>
                <w:sz w:val="20"/>
                <w:szCs w:val="20"/>
              </w:rPr>
              <w:t>n/a</w:t>
            </w:r>
          </w:p>
        </w:tc>
      </w:tr>
      <w:tr w:rsidR="002C4FFF" w:rsidRPr="00AC713D" w14:paraId="3C0F2E2E" w14:textId="77777777" w:rsidTr="002C4FFF">
        <w:trPr>
          <w:trHeight w:val="270"/>
        </w:trPr>
        <w:tc>
          <w:tcPr>
            <w:tcW w:w="2766" w:type="pct"/>
            <w:tcBorders>
              <w:top w:val="nil"/>
              <w:left w:val="nil"/>
              <w:bottom w:val="single" w:sz="4" w:space="0" w:color="9C9D9F"/>
              <w:right w:val="nil"/>
            </w:tcBorders>
            <w:shd w:val="clear" w:color="auto" w:fill="auto"/>
            <w:vAlign w:val="center"/>
            <w:hideMark/>
          </w:tcPr>
          <w:p w14:paraId="314333D8" w14:textId="77777777" w:rsidR="002C4FFF" w:rsidRPr="00AC713D" w:rsidRDefault="002C4FFF" w:rsidP="00E959DA">
            <w:pPr>
              <w:spacing w:before="0" w:beforeAutospacing="0" w:after="0" w:afterAutospacing="0"/>
              <w:jc w:val="left"/>
              <w:rPr>
                <w:rFonts w:cs="Arial"/>
                <w:sz w:val="20"/>
                <w:szCs w:val="20"/>
              </w:rPr>
            </w:pPr>
            <w:r w:rsidRPr="00AC713D">
              <w:rPr>
                <w:rFonts w:cs="Arial"/>
                <w:sz w:val="20"/>
                <w:szCs w:val="20"/>
              </w:rPr>
              <w:t>Úrokové náklady (netto)</w:t>
            </w:r>
          </w:p>
        </w:tc>
        <w:tc>
          <w:tcPr>
            <w:tcW w:w="1191" w:type="pct"/>
            <w:tcBorders>
              <w:top w:val="nil"/>
              <w:left w:val="nil"/>
              <w:bottom w:val="single" w:sz="4" w:space="0" w:color="9C9D9F"/>
              <w:right w:val="nil"/>
            </w:tcBorders>
            <w:shd w:val="clear" w:color="auto" w:fill="auto"/>
            <w:noWrap/>
            <w:vAlign w:val="center"/>
          </w:tcPr>
          <w:p w14:paraId="7A28AA06" w14:textId="30AF52B2" w:rsidR="002C4FFF" w:rsidRPr="00E959DA" w:rsidRDefault="002C4FFF" w:rsidP="00E959DA">
            <w:pPr>
              <w:spacing w:before="0" w:beforeAutospacing="0" w:after="0" w:afterAutospacing="0"/>
              <w:ind w:firstLineChars="100" w:firstLine="200"/>
              <w:jc w:val="right"/>
              <w:rPr>
                <w:rFonts w:cs="Arial"/>
                <w:sz w:val="20"/>
                <w:szCs w:val="20"/>
              </w:rPr>
            </w:pPr>
            <w:r w:rsidRPr="002C4FFF">
              <w:rPr>
                <w:rFonts w:cs="Arial"/>
                <w:sz w:val="20"/>
                <w:szCs w:val="20"/>
              </w:rPr>
              <w:t>-61,1</w:t>
            </w:r>
          </w:p>
        </w:tc>
        <w:tc>
          <w:tcPr>
            <w:tcW w:w="1043" w:type="pct"/>
            <w:tcBorders>
              <w:top w:val="nil"/>
              <w:left w:val="nil"/>
              <w:bottom w:val="single" w:sz="4" w:space="0" w:color="9C9D9F"/>
              <w:right w:val="nil"/>
            </w:tcBorders>
            <w:shd w:val="clear" w:color="auto" w:fill="auto"/>
            <w:noWrap/>
            <w:vAlign w:val="center"/>
          </w:tcPr>
          <w:p w14:paraId="050FB01B" w14:textId="51043800" w:rsidR="002C4FFF" w:rsidRPr="00E959DA" w:rsidRDefault="002C4FFF" w:rsidP="00E959DA">
            <w:pPr>
              <w:spacing w:before="0" w:beforeAutospacing="0" w:after="0" w:afterAutospacing="0"/>
              <w:ind w:firstLineChars="100" w:firstLine="200"/>
              <w:jc w:val="right"/>
              <w:rPr>
                <w:rFonts w:cs="Arial"/>
                <w:sz w:val="20"/>
                <w:szCs w:val="20"/>
              </w:rPr>
            </w:pPr>
            <w:r w:rsidRPr="002C4FFF">
              <w:rPr>
                <w:rFonts w:cs="Arial"/>
                <w:sz w:val="20"/>
                <w:szCs w:val="20"/>
              </w:rPr>
              <w:t>10,5%</w:t>
            </w:r>
          </w:p>
        </w:tc>
      </w:tr>
      <w:tr w:rsidR="002C4FFF" w:rsidRPr="00AC713D" w14:paraId="689CCD17" w14:textId="77777777" w:rsidTr="002C4FFF">
        <w:trPr>
          <w:trHeight w:val="270"/>
        </w:trPr>
        <w:tc>
          <w:tcPr>
            <w:tcW w:w="2766" w:type="pct"/>
            <w:tcBorders>
              <w:top w:val="nil"/>
              <w:left w:val="nil"/>
              <w:bottom w:val="single" w:sz="4" w:space="0" w:color="9C9D9F"/>
              <w:right w:val="nil"/>
            </w:tcBorders>
            <w:shd w:val="clear" w:color="auto" w:fill="auto"/>
            <w:vAlign w:val="center"/>
            <w:hideMark/>
          </w:tcPr>
          <w:p w14:paraId="2D6B7C1F" w14:textId="77777777" w:rsidR="002C4FFF" w:rsidRPr="00AC713D" w:rsidRDefault="002C4FFF" w:rsidP="00E959DA">
            <w:pPr>
              <w:spacing w:before="0" w:beforeAutospacing="0" w:after="0" w:afterAutospacing="0"/>
              <w:jc w:val="left"/>
              <w:rPr>
                <w:rFonts w:cs="Arial"/>
                <w:sz w:val="20"/>
                <w:szCs w:val="20"/>
              </w:rPr>
            </w:pPr>
            <w:r w:rsidRPr="00AC713D">
              <w:rPr>
                <w:rFonts w:cs="Arial"/>
                <w:sz w:val="20"/>
                <w:szCs w:val="20"/>
              </w:rPr>
              <w:t>Daň z příjmů – (náklad)/výnos</w:t>
            </w:r>
          </w:p>
        </w:tc>
        <w:tc>
          <w:tcPr>
            <w:tcW w:w="1191" w:type="pct"/>
            <w:tcBorders>
              <w:top w:val="nil"/>
              <w:left w:val="nil"/>
              <w:bottom w:val="single" w:sz="4" w:space="0" w:color="9C9D9F"/>
              <w:right w:val="nil"/>
            </w:tcBorders>
            <w:shd w:val="clear" w:color="auto" w:fill="auto"/>
            <w:noWrap/>
            <w:vAlign w:val="center"/>
          </w:tcPr>
          <w:p w14:paraId="0F8569D6" w14:textId="7A0023D0" w:rsidR="002C4FFF" w:rsidRPr="00E959DA" w:rsidRDefault="002C4FFF" w:rsidP="00E959DA">
            <w:pPr>
              <w:spacing w:before="0" w:beforeAutospacing="0" w:after="0" w:afterAutospacing="0"/>
              <w:ind w:firstLineChars="100" w:firstLine="200"/>
              <w:jc w:val="right"/>
              <w:rPr>
                <w:rFonts w:cs="Arial"/>
                <w:sz w:val="20"/>
                <w:szCs w:val="20"/>
              </w:rPr>
            </w:pPr>
            <w:r w:rsidRPr="002C4FFF">
              <w:rPr>
                <w:rFonts w:cs="Arial"/>
                <w:sz w:val="20"/>
                <w:szCs w:val="20"/>
              </w:rPr>
              <w:t>-54,6</w:t>
            </w:r>
          </w:p>
        </w:tc>
        <w:tc>
          <w:tcPr>
            <w:tcW w:w="1043" w:type="pct"/>
            <w:tcBorders>
              <w:top w:val="nil"/>
              <w:left w:val="nil"/>
              <w:bottom w:val="single" w:sz="4" w:space="0" w:color="9C9D9F"/>
              <w:right w:val="nil"/>
            </w:tcBorders>
            <w:shd w:val="clear" w:color="auto" w:fill="auto"/>
            <w:noWrap/>
            <w:vAlign w:val="center"/>
          </w:tcPr>
          <w:p w14:paraId="0C39EF8B" w14:textId="726AD55A" w:rsidR="002C4FFF" w:rsidRPr="00E959DA" w:rsidRDefault="002C4FFF" w:rsidP="00E959DA">
            <w:pPr>
              <w:spacing w:before="0" w:beforeAutospacing="0" w:after="0" w:afterAutospacing="0"/>
              <w:ind w:firstLineChars="100" w:firstLine="200"/>
              <w:jc w:val="right"/>
              <w:rPr>
                <w:rFonts w:cs="Arial"/>
                <w:sz w:val="20"/>
                <w:szCs w:val="20"/>
              </w:rPr>
            </w:pPr>
            <w:r w:rsidRPr="002C4FFF">
              <w:rPr>
                <w:rFonts w:cs="Arial"/>
                <w:sz w:val="20"/>
                <w:szCs w:val="20"/>
              </w:rPr>
              <w:t>-25,7%</w:t>
            </w:r>
          </w:p>
        </w:tc>
      </w:tr>
      <w:tr w:rsidR="002C4FFF" w:rsidRPr="00AC713D" w14:paraId="2DD4A7C6" w14:textId="77777777" w:rsidTr="002C4FFF">
        <w:trPr>
          <w:trHeight w:val="270"/>
        </w:trPr>
        <w:tc>
          <w:tcPr>
            <w:tcW w:w="2766" w:type="pct"/>
            <w:tcBorders>
              <w:top w:val="nil"/>
              <w:left w:val="nil"/>
              <w:bottom w:val="single" w:sz="4" w:space="0" w:color="9C9D9F"/>
              <w:right w:val="nil"/>
            </w:tcBorders>
            <w:shd w:val="clear" w:color="auto" w:fill="auto"/>
            <w:vAlign w:val="center"/>
            <w:hideMark/>
          </w:tcPr>
          <w:p w14:paraId="6274C99D" w14:textId="77777777" w:rsidR="002C4FFF" w:rsidRPr="00AC713D" w:rsidRDefault="002C4FFF" w:rsidP="00E959DA">
            <w:pPr>
              <w:spacing w:before="0" w:beforeAutospacing="0" w:after="0" w:afterAutospacing="0"/>
              <w:jc w:val="left"/>
              <w:rPr>
                <w:rFonts w:cs="Arial"/>
                <w:b/>
                <w:bCs/>
                <w:sz w:val="20"/>
                <w:szCs w:val="20"/>
              </w:rPr>
            </w:pPr>
            <w:r w:rsidRPr="00AC713D">
              <w:rPr>
                <w:rFonts w:cs="Arial"/>
                <w:b/>
                <w:bCs/>
                <w:sz w:val="20"/>
                <w:szCs w:val="20"/>
              </w:rPr>
              <w:t>Čistý zisk</w:t>
            </w:r>
          </w:p>
        </w:tc>
        <w:tc>
          <w:tcPr>
            <w:tcW w:w="1191" w:type="pct"/>
            <w:tcBorders>
              <w:top w:val="nil"/>
              <w:left w:val="nil"/>
              <w:bottom w:val="single" w:sz="4" w:space="0" w:color="9C9D9F"/>
              <w:right w:val="nil"/>
            </w:tcBorders>
            <w:shd w:val="clear" w:color="auto" w:fill="auto"/>
            <w:noWrap/>
            <w:vAlign w:val="center"/>
          </w:tcPr>
          <w:p w14:paraId="35677935" w14:textId="5C9F9501" w:rsidR="002C4FFF" w:rsidRPr="00E959DA" w:rsidRDefault="002C4FFF" w:rsidP="00E959DA">
            <w:pPr>
              <w:spacing w:before="0" w:beforeAutospacing="0" w:after="0" w:afterAutospacing="0"/>
              <w:ind w:firstLineChars="100" w:firstLine="201"/>
              <w:jc w:val="right"/>
              <w:rPr>
                <w:rFonts w:cs="Arial"/>
                <w:b/>
                <w:bCs/>
                <w:sz w:val="20"/>
                <w:szCs w:val="20"/>
              </w:rPr>
            </w:pPr>
            <w:r w:rsidRPr="002C4FFF">
              <w:rPr>
                <w:rFonts w:cs="Arial"/>
                <w:b/>
                <w:bCs/>
                <w:sz w:val="20"/>
                <w:szCs w:val="20"/>
              </w:rPr>
              <w:t>9,3</w:t>
            </w:r>
          </w:p>
        </w:tc>
        <w:tc>
          <w:tcPr>
            <w:tcW w:w="1043" w:type="pct"/>
            <w:tcBorders>
              <w:top w:val="nil"/>
              <w:left w:val="nil"/>
              <w:bottom w:val="single" w:sz="4" w:space="0" w:color="9C9D9F"/>
              <w:right w:val="nil"/>
            </w:tcBorders>
            <w:shd w:val="clear" w:color="auto" w:fill="auto"/>
            <w:noWrap/>
            <w:vAlign w:val="center"/>
          </w:tcPr>
          <w:p w14:paraId="5DA1B2AE" w14:textId="71241FB3" w:rsidR="002C4FFF" w:rsidRPr="00E959DA" w:rsidRDefault="002C4FFF" w:rsidP="00E959DA">
            <w:pPr>
              <w:spacing w:before="0" w:beforeAutospacing="0" w:after="0" w:afterAutospacing="0"/>
              <w:ind w:firstLineChars="100" w:firstLine="201"/>
              <w:jc w:val="right"/>
              <w:rPr>
                <w:rFonts w:cs="Arial"/>
                <w:b/>
                <w:bCs/>
                <w:sz w:val="20"/>
                <w:szCs w:val="20"/>
              </w:rPr>
            </w:pPr>
            <w:r w:rsidRPr="002C4FFF">
              <w:rPr>
                <w:rFonts w:cs="Arial"/>
                <w:b/>
                <w:bCs/>
                <w:sz w:val="20"/>
                <w:szCs w:val="20"/>
              </w:rPr>
              <w:t>-96,2%</w:t>
            </w:r>
          </w:p>
        </w:tc>
      </w:tr>
      <w:tr w:rsidR="002C4FFF" w:rsidRPr="00AC713D" w14:paraId="50E5AA34" w14:textId="77777777" w:rsidTr="002C4FFF">
        <w:trPr>
          <w:trHeight w:val="109"/>
        </w:trPr>
        <w:tc>
          <w:tcPr>
            <w:tcW w:w="2766" w:type="pct"/>
            <w:tcBorders>
              <w:top w:val="nil"/>
              <w:left w:val="nil"/>
              <w:bottom w:val="nil"/>
              <w:right w:val="nil"/>
            </w:tcBorders>
            <w:shd w:val="clear" w:color="auto" w:fill="auto"/>
            <w:vAlign w:val="center"/>
            <w:hideMark/>
          </w:tcPr>
          <w:p w14:paraId="52353351" w14:textId="77777777" w:rsidR="002C4FFF" w:rsidRPr="00AC713D" w:rsidRDefault="002C4FFF" w:rsidP="00E959DA">
            <w:pPr>
              <w:spacing w:before="0" w:beforeAutospacing="0" w:after="0" w:afterAutospacing="0"/>
              <w:ind w:firstLineChars="100" w:firstLine="201"/>
              <w:jc w:val="right"/>
              <w:rPr>
                <w:rFonts w:cs="Arial"/>
                <w:b/>
                <w:bCs/>
                <w:sz w:val="20"/>
                <w:szCs w:val="20"/>
              </w:rPr>
            </w:pPr>
          </w:p>
        </w:tc>
        <w:tc>
          <w:tcPr>
            <w:tcW w:w="1191" w:type="pct"/>
            <w:tcBorders>
              <w:top w:val="nil"/>
              <w:left w:val="nil"/>
              <w:bottom w:val="nil"/>
              <w:right w:val="nil"/>
            </w:tcBorders>
            <w:shd w:val="clear" w:color="auto" w:fill="auto"/>
            <w:noWrap/>
            <w:vAlign w:val="center"/>
          </w:tcPr>
          <w:p w14:paraId="5DFE82D7" w14:textId="77777777" w:rsidR="002C4FFF" w:rsidRPr="00E959DA" w:rsidRDefault="002C4FFF" w:rsidP="00E959DA">
            <w:pPr>
              <w:spacing w:before="0" w:beforeAutospacing="0" w:after="0" w:afterAutospacing="0"/>
              <w:jc w:val="left"/>
              <w:rPr>
                <w:rFonts w:cs="Arial"/>
                <w:sz w:val="20"/>
                <w:szCs w:val="20"/>
              </w:rPr>
            </w:pPr>
          </w:p>
        </w:tc>
        <w:tc>
          <w:tcPr>
            <w:tcW w:w="1043" w:type="pct"/>
            <w:tcBorders>
              <w:top w:val="nil"/>
              <w:left w:val="nil"/>
              <w:bottom w:val="nil"/>
              <w:right w:val="nil"/>
            </w:tcBorders>
            <w:shd w:val="clear" w:color="auto" w:fill="auto"/>
            <w:noWrap/>
            <w:vAlign w:val="center"/>
          </w:tcPr>
          <w:p w14:paraId="07EE58D6" w14:textId="77777777" w:rsidR="002C4FFF" w:rsidRPr="00727D8B" w:rsidRDefault="002C4FFF" w:rsidP="00E959DA">
            <w:pPr>
              <w:spacing w:before="0" w:beforeAutospacing="0" w:after="0" w:afterAutospacing="0"/>
              <w:ind w:firstLineChars="100" w:firstLine="200"/>
              <w:jc w:val="right"/>
              <w:rPr>
                <w:rFonts w:cs="Arial"/>
                <w:sz w:val="20"/>
                <w:szCs w:val="20"/>
              </w:rPr>
            </w:pPr>
          </w:p>
        </w:tc>
      </w:tr>
      <w:tr w:rsidR="002C4FFF" w:rsidRPr="00AC713D" w14:paraId="3D247B9C" w14:textId="77777777" w:rsidTr="002C4FFF">
        <w:trPr>
          <w:trHeight w:val="270"/>
        </w:trPr>
        <w:tc>
          <w:tcPr>
            <w:tcW w:w="2766" w:type="pct"/>
            <w:tcBorders>
              <w:top w:val="single" w:sz="4" w:space="0" w:color="9C9D9F"/>
              <w:left w:val="nil"/>
              <w:bottom w:val="single" w:sz="4" w:space="0" w:color="9C9D9F"/>
              <w:right w:val="nil"/>
            </w:tcBorders>
            <w:shd w:val="clear" w:color="auto" w:fill="auto"/>
            <w:vAlign w:val="center"/>
            <w:hideMark/>
          </w:tcPr>
          <w:p w14:paraId="15BF60BD" w14:textId="77777777" w:rsidR="002C4FFF" w:rsidRPr="00AC713D" w:rsidRDefault="002C4FFF" w:rsidP="00E959DA">
            <w:pPr>
              <w:spacing w:before="0" w:beforeAutospacing="0" w:after="0" w:afterAutospacing="0"/>
              <w:jc w:val="left"/>
              <w:rPr>
                <w:rFonts w:cs="Arial"/>
                <w:sz w:val="20"/>
                <w:szCs w:val="20"/>
              </w:rPr>
            </w:pPr>
            <w:r w:rsidRPr="00AC713D">
              <w:rPr>
                <w:rFonts w:cs="Arial"/>
                <w:sz w:val="20"/>
                <w:szCs w:val="20"/>
              </w:rPr>
              <w:t>Čistý dluh</w:t>
            </w:r>
          </w:p>
        </w:tc>
        <w:tc>
          <w:tcPr>
            <w:tcW w:w="1191" w:type="pct"/>
            <w:tcBorders>
              <w:top w:val="single" w:sz="4" w:space="0" w:color="9C9D9F"/>
              <w:left w:val="nil"/>
              <w:bottom w:val="single" w:sz="4" w:space="0" w:color="9C9D9F"/>
              <w:right w:val="nil"/>
            </w:tcBorders>
            <w:shd w:val="clear" w:color="auto" w:fill="auto"/>
            <w:noWrap/>
            <w:vAlign w:val="center"/>
          </w:tcPr>
          <w:p w14:paraId="69EEEFF3" w14:textId="51BDFD4D" w:rsidR="002C4FFF" w:rsidRPr="00E959DA" w:rsidRDefault="002C4FFF" w:rsidP="00E959DA">
            <w:pPr>
              <w:spacing w:before="0" w:beforeAutospacing="0" w:after="0" w:afterAutospacing="0"/>
              <w:ind w:firstLineChars="100" w:firstLine="200"/>
              <w:jc w:val="right"/>
              <w:rPr>
                <w:rFonts w:cs="Arial"/>
                <w:sz w:val="20"/>
                <w:szCs w:val="20"/>
              </w:rPr>
            </w:pPr>
            <w:r w:rsidRPr="002C4FFF">
              <w:rPr>
                <w:rFonts w:cs="Arial"/>
                <w:sz w:val="20"/>
                <w:szCs w:val="20"/>
              </w:rPr>
              <w:t>4 777,8</w:t>
            </w:r>
          </w:p>
        </w:tc>
        <w:tc>
          <w:tcPr>
            <w:tcW w:w="1043" w:type="pct"/>
            <w:tcBorders>
              <w:top w:val="single" w:sz="4" w:space="0" w:color="9C9D9F"/>
              <w:left w:val="nil"/>
              <w:bottom w:val="single" w:sz="4" w:space="0" w:color="9C9D9F"/>
              <w:right w:val="nil"/>
            </w:tcBorders>
            <w:shd w:val="clear" w:color="auto" w:fill="auto"/>
            <w:noWrap/>
            <w:vAlign w:val="center"/>
          </w:tcPr>
          <w:p w14:paraId="0E782D73" w14:textId="00AB568E" w:rsidR="002C4FFF" w:rsidRPr="00E959DA" w:rsidRDefault="002C4FFF" w:rsidP="00E959DA">
            <w:pPr>
              <w:spacing w:before="0" w:beforeAutospacing="0" w:after="0" w:afterAutospacing="0"/>
              <w:ind w:firstLineChars="100" w:firstLine="200"/>
              <w:jc w:val="right"/>
              <w:rPr>
                <w:rFonts w:cs="Arial"/>
                <w:sz w:val="20"/>
                <w:szCs w:val="20"/>
              </w:rPr>
            </w:pPr>
            <w:r w:rsidRPr="002C4FFF">
              <w:rPr>
                <w:rFonts w:cs="Arial"/>
                <w:sz w:val="20"/>
                <w:szCs w:val="20"/>
              </w:rPr>
              <w:t>14,7%</w:t>
            </w:r>
          </w:p>
        </w:tc>
      </w:tr>
      <w:tr w:rsidR="002C4FFF" w:rsidRPr="00AC713D" w14:paraId="4D2173FF" w14:textId="77777777" w:rsidTr="002C4FFF">
        <w:trPr>
          <w:trHeight w:val="270"/>
        </w:trPr>
        <w:tc>
          <w:tcPr>
            <w:tcW w:w="2766" w:type="pct"/>
            <w:tcBorders>
              <w:top w:val="nil"/>
              <w:left w:val="nil"/>
              <w:bottom w:val="single" w:sz="4" w:space="0" w:color="9C9D9F"/>
              <w:right w:val="nil"/>
            </w:tcBorders>
            <w:shd w:val="clear" w:color="auto" w:fill="auto"/>
            <w:vAlign w:val="center"/>
            <w:hideMark/>
          </w:tcPr>
          <w:p w14:paraId="3BA6F427" w14:textId="77777777" w:rsidR="002C4FFF" w:rsidRPr="00AC713D" w:rsidRDefault="002C4FFF" w:rsidP="00E959DA">
            <w:pPr>
              <w:spacing w:before="0" w:beforeAutospacing="0" w:after="0" w:afterAutospacing="0"/>
              <w:jc w:val="left"/>
              <w:rPr>
                <w:rFonts w:cs="Arial"/>
                <w:sz w:val="20"/>
                <w:szCs w:val="20"/>
              </w:rPr>
            </w:pPr>
            <w:r w:rsidRPr="00AC713D">
              <w:rPr>
                <w:rFonts w:cs="Arial"/>
                <w:sz w:val="20"/>
                <w:szCs w:val="20"/>
              </w:rPr>
              <w:t>Investice do hmotného a nehmotného majetku (CAPEX)</w:t>
            </w:r>
          </w:p>
        </w:tc>
        <w:tc>
          <w:tcPr>
            <w:tcW w:w="1191" w:type="pct"/>
            <w:tcBorders>
              <w:top w:val="nil"/>
              <w:left w:val="nil"/>
              <w:bottom w:val="single" w:sz="4" w:space="0" w:color="9C9D9F"/>
              <w:right w:val="nil"/>
            </w:tcBorders>
            <w:shd w:val="clear" w:color="auto" w:fill="auto"/>
            <w:noWrap/>
            <w:vAlign w:val="center"/>
          </w:tcPr>
          <w:p w14:paraId="0EF145E7" w14:textId="69B9017C" w:rsidR="002C4FFF" w:rsidRPr="00E959DA" w:rsidRDefault="002C4FFF" w:rsidP="00E959DA">
            <w:pPr>
              <w:spacing w:before="0" w:beforeAutospacing="0" w:after="0" w:afterAutospacing="0"/>
              <w:ind w:firstLineChars="100" w:firstLine="200"/>
              <w:jc w:val="right"/>
              <w:rPr>
                <w:rFonts w:cs="Arial"/>
                <w:sz w:val="20"/>
                <w:szCs w:val="20"/>
              </w:rPr>
            </w:pPr>
            <w:r w:rsidRPr="002C4FFF">
              <w:rPr>
                <w:rFonts w:cs="Arial"/>
                <w:sz w:val="20"/>
                <w:szCs w:val="20"/>
              </w:rPr>
              <w:t>127,4</w:t>
            </w:r>
          </w:p>
        </w:tc>
        <w:tc>
          <w:tcPr>
            <w:tcW w:w="1043" w:type="pct"/>
            <w:tcBorders>
              <w:top w:val="nil"/>
              <w:left w:val="nil"/>
              <w:bottom w:val="single" w:sz="4" w:space="0" w:color="9C9D9F"/>
              <w:right w:val="nil"/>
            </w:tcBorders>
            <w:shd w:val="clear" w:color="auto" w:fill="auto"/>
            <w:noWrap/>
            <w:vAlign w:val="center"/>
          </w:tcPr>
          <w:p w14:paraId="59135834" w14:textId="797ADEB1" w:rsidR="002C4FFF" w:rsidRPr="00E959DA" w:rsidRDefault="002C4FFF" w:rsidP="00E959DA">
            <w:pPr>
              <w:spacing w:before="0" w:beforeAutospacing="0" w:after="0" w:afterAutospacing="0"/>
              <w:ind w:firstLineChars="100" w:firstLine="200"/>
              <w:jc w:val="right"/>
              <w:rPr>
                <w:rFonts w:cs="Arial"/>
                <w:sz w:val="20"/>
                <w:szCs w:val="20"/>
              </w:rPr>
            </w:pPr>
            <w:r w:rsidRPr="002C4FFF">
              <w:rPr>
                <w:rFonts w:cs="Arial"/>
                <w:sz w:val="20"/>
                <w:szCs w:val="20"/>
              </w:rPr>
              <w:t>-50,7%</w:t>
            </w:r>
          </w:p>
        </w:tc>
      </w:tr>
      <w:tr w:rsidR="002C4FFF" w:rsidRPr="00AC713D" w14:paraId="2553B757" w14:textId="77777777" w:rsidTr="002C4FFF">
        <w:trPr>
          <w:trHeight w:val="270"/>
        </w:trPr>
        <w:tc>
          <w:tcPr>
            <w:tcW w:w="2766" w:type="pct"/>
            <w:tcBorders>
              <w:top w:val="nil"/>
              <w:left w:val="nil"/>
              <w:bottom w:val="nil"/>
              <w:right w:val="nil"/>
            </w:tcBorders>
            <w:shd w:val="clear" w:color="auto" w:fill="auto"/>
            <w:vAlign w:val="center"/>
            <w:hideMark/>
          </w:tcPr>
          <w:p w14:paraId="176BDBF9" w14:textId="77777777" w:rsidR="002C4FFF" w:rsidRPr="00AC713D" w:rsidRDefault="002C4FFF" w:rsidP="0035058C">
            <w:pPr>
              <w:spacing w:before="0" w:beforeAutospacing="0" w:after="0" w:afterAutospacing="0"/>
              <w:ind w:firstLineChars="100" w:firstLine="200"/>
              <w:jc w:val="right"/>
              <w:rPr>
                <w:rFonts w:cs="Arial"/>
                <w:sz w:val="20"/>
                <w:szCs w:val="20"/>
              </w:rPr>
            </w:pPr>
          </w:p>
        </w:tc>
        <w:tc>
          <w:tcPr>
            <w:tcW w:w="1191" w:type="pct"/>
            <w:tcBorders>
              <w:top w:val="nil"/>
              <w:left w:val="nil"/>
              <w:bottom w:val="nil"/>
              <w:right w:val="nil"/>
            </w:tcBorders>
            <w:shd w:val="clear" w:color="auto" w:fill="auto"/>
            <w:noWrap/>
            <w:vAlign w:val="center"/>
            <w:hideMark/>
          </w:tcPr>
          <w:p w14:paraId="1FE2AD3C" w14:textId="77777777" w:rsidR="002C4FFF" w:rsidRPr="00AC713D" w:rsidRDefault="002C4FFF" w:rsidP="0035058C">
            <w:pPr>
              <w:spacing w:before="0" w:beforeAutospacing="0" w:after="0" w:afterAutospacing="0"/>
              <w:jc w:val="left"/>
              <w:rPr>
                <w:rFonts w:cs="Arial"/>
                <w:sz w:val="20"/>
                <w:szCs w:val="20"/>
              </w:rPr>
            </w:pPr>
          </w:p>
        </w:tc>
        <w:tc>
          <w:tcPr>
            <w:tcW w:w="1043" w:type="pct"/>
            <w:tcBorders>
              <w:top w:val="nil"/>
              <w:left w:val="nil"/>
              <w:bottom w:val="nil"/>
              <w:right w:val="nil"/>
            </w:tcBorders>
            <w:shd w:val="clear" w:color="auto" w:fill="auto"/>
            <w:noWrap/>
            <w:vAlign w:val="center"/>
            <w:hideMark/>
          </w:tcPr>
          <w:p w14:paraId="561C9F1A" w14:textId="77777777" w:rsidR="002C4FFF" w:rsidRPr="00AC713D" w:rsidRDefault="002C4FFF" w:rsidP="0035058C">
            <w:pPr>
              <w:spacing w:before="0" w:beforeAutospacing="0" w:after="0" w:afterAutospacing="0"/>
              <w:ind w:firstLineChars="100" w:firstLine="200"/>
              <w:jc w:val="right"/>
              <w:rPr>
                <w:rFonts w:cs="Arial"/>
                <w:sz w:val="20"/>
                <w:szCs w:val="20"/>
              </w:rPr>
            </w:pPr>
          </w:p>
        </w:tc>
      </w:tr>
      <w:tr w:rsidR="002C4FFF" w:rsidRPr="00AC713D" w14:paraId="469FDEE9" w14:textId="77777777" w:rsidTr="002C4FFF">
        <w:trPr>
          <w:trHeight w:val="270"/>
        </w:trPr>
        <w:tc>
          <w:tcPr>
            <w:tcW w:w="2766" w:type="pct"/>
            <w:tcBorders>
              <w:top w:val="nil"/>
              <w:left w:val="nil"/>
              <w:bottom w:val="nil"/>
              <w:right w:val="nil"/>
            </w:tcBorders>
            <w:shd w:val="clear" w:color="000000" w:fill="9C9D9F"/>
            <w:vAlign w:val="center"/>
            <w:hideMark/>
          </w:tcPr>
          <w:p w14:paraId="17AD3C6E" w14:textId="77777777" w:rsidR="002C4FFF" w:rsidRPr="00AC713D" w:rsidRDefault="002C4FFF" w:rsidP="0035058C">
            <w:pPr>
              <w:spacing w:before="0" w:beforeAutospacing="0" w:after="0" w:afterAutospacing="0"/>
              <w:jc w:val="left"/>
              <w:rPr>
                <w:rFonts w:cs="Arial"/>
                <w:b/>
                <w:bCs/>
                <w:sz w:val="20"/>
                <w:szCs w:val="20"/>
              </w:rPr>
            </w:pPr>
            <w:r w:rsidRPr="00AC713D">
              <w:rPr>
                <w:rFonts w:cs="Arial"/>
                <w:b/>
                <w:bCs/>
                <w:sz w:val="20"/>
                <w:szCs w:val="20"/>
              </w:rPr>
              <w:t>Poměrové ukazatele ziskovosti</w:t>
            </w:r>
          </w:p>
        </w:tc>
        <w:tc>
          <w:tcPr>
            <w:tcW w:w="1191" w:type="pct"/>
            <w:tcBorders>
              <w:top w:val="nil"/>
              <w:left w:val="nil"/>
              <w:bottom w:val="nil"/>
              <w:right w:val="nil"/>
            </w:tcBorders>
            <w:shd w:val="clear" w:color="000000" w:fill="9C9D9F"/>
            <w:noWrap/>
            <w:vAlign w:val="center"/>
            <w:hideMark/>
          </w:tcPr>
          <w:p w14:paraId="6BF407CC" w14:textId="77777777" w:rsidR="002C4FFF" w:rsidRPr="00AC713D" w:rsidRDefault="002C4FFF" w:rsidP="00FD214B">
            <w:pPr>
              <w:spacing w:before="0" w:beforeAutospacing="0" w:after="0" w:afterAutospacing="0"/>
              <w:ind w:firstLineChars="100" w:firstLine="201"/>
              <w:jc w:val="right"/>
              <w:rPr>
                <w:rFonts w:cs="Arial"/>
                <w:b/>
                <w:bCs/>
                <w:sz w:val="20"/>
                <w:szCs w:val="20"/>
              </w:rPr>
            </w:pPr>
            <w:r w:rsidRPr="00AC713D">
              <w:rPr>
                <w:rFonts w:cs="Arial"/>
                <w:b/>
                <w:bCs/>
                <w:sz w:val="20"/>
                <w:szCs w:val="20"/>
              </w:rPr>
              <w:t> </w:t>
            </w:r>
          </w:p>
        </w:tc>
        <w:tc>
          <w:tcPr>
            <w:tcW w:w="1043" w:type="pct"/>
            <w:tcBorders>
              <w:top w:val="nil"/>
              <w:left w:val="nil"/>
              <w:bottom w:val="nil"/>
              <w:right w:val="nil"/>
            </w:tcBorders>
            <w:shd w:val="clear" w:color="000000" w:fill="9C9D9F"/>
            <w:noWrap/>
            <w:vAlign w:val="center"/>
            <w:hideMark/>
          </w:tcPr>
          <w:p w14:paraId="0BDC1406" w14:textId="77777777" w:rsidR="002C4FFF" w:rsidRPr="00AC713D" w:rsidRDefault="002C4FFF" w:rsidP="00FD214B">
            <w:pPr>
              <w:spacing w:before="0" w:beforeAutospacing="0" w:after="0" w:afterAutospacing="0"/>
              <w:ind w:firstLineChars="100" w:firstLine="201"/>
              <w:jc w:val="right"/>
              <w:rPr>
                <w:rFonts w:cs="Arial"/>
                <w:b/>
                <w:bCs/>
                <w:sz w:val="20"/>
                <w:szCs w:val="20"/>
              </w:rPr>
            </w:pPr>
            <w:r w:rsidRPr="00AC713D">
              <w:rPr>
                <w:rFonts w:cs="Arial"/>
                <w:b/>
                <w:bCs/>
                <w:sz w:val="20"/>
                <w:szCs w:val="20"/>
              </w:rPr>
              <w:t> </w:t>
            </w:r>
          </w:p>
        </w:tc>
      </w:tr>
      <w:tr w:rsidR="002C4FFF" w:rsidRPr="00AC713D" w14:paraId="75A24FC9" w14:textId="77777777" w:rsidTr="002C4FFF">
        <w:trPr>
          <w:trHeight w:val="270"/>
        </w:trPr>
        <w:tc>
          <w:tcPr>
            <w:tcW w:w="2766" w:type="pct"/>
            <w:tcBorders>
              <w:top w:val="nil"/>
              <w:left w:val="nil"/>
              <w:bottom w:val="single" w:sz="4" w:space="0" w:color="9C9D9F"/>
              <w:right w:val="nil"/>
            </w:tcBorders>
            <w:shd w:val="clear" w:color="auto" w:fill="auto"/>
            <w:vAlign w:val="center"/>
            <w:hideMark/>
          </w:tcPr>
          <w:p w14:paraId="7E376B74" w14:textId="77777777" w:rsidR="002C4FFF" w:rsidRPr="00AC713D" w:rsidRDefault="002C4FFF" w:rsidP="00E959DA">
            <w:pPr>
              <w:spacing w:before="0" w:beforeAutospacing="0" w:after="0" w:afterAutospacing="0"/>
              <w:jc w:val="left"/>
              <w:rPr>
                <w:rFonts w:cs="Arial"/>
                <w:sz w:val="20"/>
                <w:szCs w:val="20"/>
              </w:rPr>
            </w:pPr>
            <w:r w:rsidRPr="00AC713D">
              <w:rPr>
                <w:rFonts w:cs="Arial"/>
                <w:sz w:val="20"/>
                <w:szCs w:val="20"/>
              </w:rPr>
              <w:t>Marže EBITDA</w:t>
            </w:r>
          </w:p>
        </w:tc>
        <w:tc>
          <w:tcPr>
            <w:tcW w:w="1191" w:type="pct"/>
            <w:tcBorders>
              <w:top w:val="nil"/>
              <w:left w:val="nil"/>
              <w:bottom w:val="single" w:sz="4" w:space="0" w:color="9C9D9F"/>
              <w:right w:val="nil"/>
            </w:tcBorders>
            <w:shd w:val="clear" w:color="auto" w:fill="auto"/>
            <w:noWrap/>
            <w:vAlign w:val="center"/>
          </w:tcPr>
          <w:p w14:paraId="2F22470A" w14:textId="26E5BDC5" w:rsidR="002C4FFF" w:rsidRPr="00E959DA" w:rsidRDefault="002C4FFF" w:rsidP="00E959DA">
            <w:pPr>
              <w:spacing w:before="0" w:beforeAutospacing="0" w:after="0" w:afterAutospacing="0"/>
              <w:ind w:firstLineChars="100" w:firstLine="200"/>
              <w:jc w:val="right"/>
              <w:rPr>
                <w:rFonts w:cs="Arial"/>
                <w:sz w:val="20"/>
                <w:szCs w:val="20"/>
              </w:rPr>
            </w:pPr>
            <w:r w:rsidRPr="002C4FFF">
              <w:rPr>
                <w:rFonts w:cs="Arial"/>
                <w:sz w:val="20"/>
                <w:szCs w:val="20"/>
              </w:rPr>
              <w:t>19,7%</w:t>
            </w:r>
          </w:p>
        </w:tc>
        <w:tc>
          <w:tcPr>
            <w:tcW w:w="1043" w:type="pct"/>
            <w:tcBorders>
              <w:top w:val="nil"/>
              <w:left w:val="nil"/>
              <w:bottom w:val="single" w:sz="4" w:space="0" w:color="9C9D9F"/>
              <w:right w:val="nil"/>
            </w:tcBorders>
            <w:shd w:val="clear" w:color="auto" w:fill="auto"/>
            <w:noWrap/>
            <w:vAlign w:val="center"/>
          </w:tcPr>
          <w:p w14:paraId="510C14E3" w14:textId="56ADEFC1" w:rsidR="002C4FFF" w:rsidRPr="00E959DA" w:rsidRDefault="002C4FFF" w:rsidP="00E959DA">
            <w:pPr>
              <w:spacing w:before="0" w:beforeAutospacing="0" w:after="0" w:afterAutospacing="0"/>
              <w:ind w:firstLineChars="100" w:firstLine="200"/>
              <w:jc w:val="right"/>
              <w:rPr>
                <w:rFonts w:cs="Arial"/>
                <w:sz w:val="20"/>
                <w:szCs w:val="20"/>
              </w:rPr>
            </w:pPr>
            <w:r w:rsidRPr="002C4FFF">
              <w:rPr>
                <w:rFonts w:cs="Arial"/>
                <w:sz w:val="20"/>
                <w:szCs w:val="20"/>
              </w:rPr>
              <w:t>0,5 p.b.</w:t>
            </w:r>
          </w:p>
        </w:tc>
      </w:tr>
      <w:tr w:rsidR="002C4FFF" w:rsidRPr="00AC713D" w14:paraId="3CB5CCA8" w14:textId="77777777" w:rsidTr="002C4FFF">
        <w:trPr>
          <w:trHeight w:val="270"/>
        </w:trPr>
        <w:tc>
          <w:tcPr>
            <w:tcW w:w="2766" w:type="pct"/>
            <w:tcBorders>
              <w:top w:val="nil"/>
              <w:left w:val="nil"/>
              <w:bottom w:val="single" w:sz="4" w:space="0" w:color="9C9D9F"/>
              <w:right w:val="nil"/>
            </w:tcBorders>
            <w:shd w:val="clear" w:color="auto" w:fill="auto"/>
            <w:vAlign w:val="center"/>
            <w:hideMark/>
          </w:tcPr>
          <w:p w14:paraId="6EDBC7BB" w14:textId="77777777" w:rsidR="002C4FFF" w:rsidRPr="00AC713D" w:rsidRDefault="002C4FFF" w:rsidP="00E959DA">
            <w:pPr>
              <w:spacing w:before="0" w:beforeAutospacing="0" w:after="0" w:afterAutospacing="0"/>
              <w:jc w:val="left"/>
              <w:rPr>
                <w:rFonts w:cs="Arial"/>
                <w:sz w:val="20"/>
                <w:szCs w:val="20"/>
              </w:rPr>
            </w:pPr>
            <w:r w:rsidRPr="00AC713D">
              <w:rPr>
                <w:rFonts w:cs="Arial"/>
                <w:sz w:val="20"/>
                <w:szCs w:val="20"/>
              </w:rPr>
              <w:t>Marže provozního zisku</w:t>
            </w:r>
          </w:p>
        </w:tc>
        <w:tc>
          <w:tcPr>
            <w:tcW w:w="1191" w:type="pct"/>
            <w:tcBorders>
              <w:top w:val="nil"/>
              <w:left w:val="nil"/>
              <w:bottom w:val="single" w:sz="4" w:space="0" w:color="9C9D9F"/>
              <w:right w:val="nil"/>
            </w:tcBorders>
            <w:shd w:val="clear" w:color="auto" w:fill="auto"/>
            <w:noWrap/>
            <w:vAlign w:val="center"/>
          </w:tcPr>
          <w:p w14:paraId="008A3890" w14:textId="0EC992ED" w:rsidR="002C4FFF" w:rsidRPr="00E959DA" w:rsidRDefault="002C4FFF" w:rsidP="00E959DA">
            <w:pPr>
              <w:spacing w:before="0" w:beforeAutospacing="0" w:after="0" w:afterAutospacing="0"/>
              <w:ind w:firstLineChars="100" w:firstLine="200"/>
              <w:jc w:val="right"/>
              <w:rPr>
                <w:rFonts w:cs="Arial"/>
                <w:sz w:val="20"/>
                <w:szCs w:val="20"/>
              </w:rPr>
            </w:pPr>
            <w:r w:rsidRPr="002C4FFF">
              <w:rPr>
                <w:rFonts w:cs="Arial"/>
                <w:sz w:val="20"/>
                <w:szCs w:val="20"/>
              </w:rPr>
              <w:t>11,0%</w:t>
            </w:r>
          </w:p>
        </w:tc>
        <w:tc>
          <w:tcPr>
            <w:tcW w:w="1043" w:type="pct"/>
            <w:tcBorders>
              <w:top w:val="nil"/>
              <w:left w:val="nil"/>
              <w:bottom w:val="single" w:sz="4" w:space="0" w:color="9C9D9F"/>
              <w:right w:val="nil"/>
            </w:tcBorders>
            <w:shd w:val="clear" w:color="auto" w:fill="auto"/>
            <w:noWrap/>
            <w:vAlign w:val="center"/>
          </w:tcPr>
          <w:p w14:paraId="51A8A7E1" w14:textId="66163B47" w:rsidR="002C4FFF" w:rsidRPr="00E959DA" w:rsidRDefault="002C4FFF" w:rsidP="00E959DA">
            <w:pPr>
              <w:spacing w:before="0" w:beforeAutospacing="0" w:after="0" w:afterAutospacing="0"/>
              <w:ind w:firstLineChars="100" w:firstLine="200"/>
              <w:jc w:val="right"/>
              <w:rPr>
                <w:rFonts w:cs="Arial"/>
                <w:sz w:val="20"/>
                <w:szCs w:val="20"/>
              </w:rPr>
            </w:pPr>
            <w:r w:rsidRPr="002C4FFF">
              <w:rPr>
                <w:rFonts w:cs="Arial"/>
                <w:sz w:val="20"/>
                <w:szCs w:val="20"/>
              </w:rPr>
              <w:t>-0,2 p.b.</w:t>
            </w:r>
          </w:p>
        </w:tc>
      </w:tr>
      <w:tr w:rsidR="002C4FFF" w:rsidRPr="00AC713D" w14:paraId="589AE6E3" w14:textId="77777777" w:rsidTr="002C4FFF">
        <w:trPr>
          <w:trHeight w:val="270"/>
        </w:trPr>
        <w:tc>
          <w:tcPr>
            <w:tcW w:w="2766" w:type="pct"/>
            <w:tcBorders>
              <w:top w:val="nil"/>
              <w:left w:val="nil"/>
              <w:bottom w:val="single" w:sz="4" w:space="0" w:color="9C9D9F"/>
              <w:right w:val="nil"/>
            </w:tcBorders>
            <w:shd w:val="clear" w:color="auto" w:fill="auto"/>
            <w:vAlign w:val="center"/>
            <w:hideMark/>
          </w:tcPr>
          <w:p w14:paraId="25792DBD" w14:textId="77777777" w:rsidR="002C4FFF" w:rsidRPr="00AC713D" w:rsidRDefault="002C4FFF" w:rsidP="00E959DA">
            <w:pPr>
              <w:spacing w:before="0" w:beforeAutospacing="0" w:after="0" w:afterAutospacing="0"/>
              <w:jc w:val="left"/>
              <w:rPr>
                <w:rFonts w:cs="Arial"/>
                <w:sz w:val="20"/>
                <w:szCs w:val="20"/>
              </w:rPr>
            </w:pPr>
            <w:r w:rsidRPr="00AC713D">
              <w:rPr>
                <w:rFonts w:cs="Arial"/>
                <w:sz w:val="20"/>
                <w:szCs w:val="20"/>
              </w:rPr>
              <w:t>Marže čistého zisku</w:t>
            </w:r>
          </w:p>
        </w:tc>
        <w:tc>
          <w:tcPr>
            <w:tcW w:w="1191" w:type="pct"/>
            <w:tcBorders>
              <w:top w:val="nil"/>
              <w:left w:val="nil"/>
              <w:bottom w:val="single" w:sz="4" w:space="0" w:color="9C9D9F"/>
              <w:right w:val="nil"/>
            </w:tcBorders>
            <w:shd w:val="clear" w:color="auto" w:fill="auto"/>
            <w:noWrap/>
            <w:vAlign w:val="center"/>
          </w:tcPr>
          <w:p w14:paraId="34DC63EF" w14:textId="12F60A84" w:rsidR="002C4FFF" w:rsidRPr="00E959DA" w:rsidRDefault="002C4FFF" w:rsidP="00E959DA">
            <w:pPr>
              <w:spacing w:before="0" w:beforeAutospacing="0" w:after="0" w:afterAutospacing="0"/>
              <w:ind w:firstLineChars="100" w:firstLine="200"/>
              <w:jc w:val="right"/>
              <w:rPr>
                <w:rFonts w:cs="Arial"/>
                <w:sz w:val="20"/>
                <w:szCs w:val="20"/>
              </w:rPr>
            </w:pPr>
            <w:r w:rsidRPr="002C4FFF">
              <w:rPr>
                <w:rFonts w:cs="Arial"/>
                <w:sz w:val="20"/>
                <w:szCs w:val="20"/>
              </w:rPr>
              <w:t>0,3%</w:t>
            </w:r>
          </w:p>
        </w:tc>
        <w:tc>
          <w:tcPr>
            <w:tcW w:w="1043" w:type="pct"/>
            <w:tcBorders>
              <w:top w:val="nil"/>
              <w:left w:val="nil"/>
              <w:bottom w:val="single" w:sz="4" w:space="0" w:color="9C9D9F"/>
              <w:right w:val="nil"/>
            </w:tcBorders>
            <w:shd w:val="clear" w:color="auto" w:fill="auto"/>
            <w:noWrap/>
            <w:vAlign w:val="center"/>
          </w:tcPr>
          <w:p w14:paraId="05F28B1D" w14:textId="03FE3197" w:rsidR="002C4FFF" w:rsidRPr="00E959DA" w:rsidRDefault="002C4FFF" w:rsidP="00E959DA">
            <w:pPr>
              <w:spacing w:before="0" w:beforeAutospacing="0" w:after="0" w:afterAutospacing="0"/>
              <w:ind w:firstLineChars="100" w:firstLine="200"/>
              <w:jc w:val="right"/>
              <w:rPr>
                <w:rFonts w:cs="Arial"/>
                <w:sz w:val="20"/>
                <w:szCs w:val="20"/>
              </w:rPr>
            </w:pPr>
            <w:r w:rsidRPr="002C4FFF">
              <w:rPr>
                <w:rFonts w:cs="Arial"/>
                <w:sz w:val="20"/>
                <w:szCs w:val="20"/>
              </w:rPr>
              <w:t>-7,5 p.b.</w:t>
            </w:r>
          </w:p>
        </w:tc>
      </w:tr>
      <w:tr w:rsidR="002C4FFF" w:rsidRPr="00AC713D" w14:paraId="07F2C997" w14:textId="77777777" w:rsidTr="002C4FFF">
        <w:trPr>
          <w:trHeight w:val="270"/>
        </w:trPr>
        <w:tc>
          <w:tcPr>
            <w:tcW w:w="2766" w:type="pct"/>
            <w:tcBorders>
              <w:top w:val="nil"/>
              <w:left w:val="nil"/>
              <w:bottom w:val="nil"/>
              <w:right w:val="nil"/>
            </w:tcBorders>
            <w:shd w:val="clear" w:color="auto" w:fill="auto"/>
            <w:vAlign w:val="center"/>
            <w:hideMark/>
          </w:tcPr>
          <w:p w14:paraId="4998766B" w14:textId="77777777" w:rsidR="002C4FFF" w:rsidRPr="00AC713D" w:rsidRDefault="002C4FFF" w:rsidP="0035058C">
            <w:pPr>
              <w:spacing w:before="0" w:beforeAutospacing="0" w:after="0" w:afterAutospacing="0"/>
              <w:ind w:firstLineChars="100" w:firstLine="200"/>
              <w:jc w:val="right"/>
              <w:rPr>
                <w:rFonts w:cs="Arial"/>
                <w:sz w:val="20"/>
                <w:szCs w:val="20"/>
              </w:rPr>
            </w:pPr>
          </w:p>
        </w:tc>
        <w:tc>
          <w:tcPr>
            <w:tcW w:w="1191" w:type="pct"/>
            <w:tcBorders>
              <w:top w:val="nil"/>
              <w:left w:val="nil"/>
              <w:bottom w:val="nil"/>
              <w:right w:val="nil"/>
            </w:tcBorders>
            <w:shd w:val="clear" w:color="auto" w:fill="auto"/>
            <w:noWrap/>
            <w:vAlign w:val="center"/>
            <w:hideMark/>
          </w:tcPr>
          <w:p w14:paraId="7903CC8C" w14:textId="77777777" w:rsidR="002C4FFF" w:rsidRPr="00AC713D" w:rsidRDefault="002C4FFF" w:rsidP="0035058C">
            <w:pPr>
              <w:spacing w:before="0" w:beforeAutospacing="0" w:after="0" w:afterAutospacing="0"/>
              <w:jc w:val="left"/>
              <w:rPr>
                <w:rFonts w:cs="Arial"/>
                <w:sz w:val="20"/>
                <w:szCs w:val="20"/>
              </w:rPr>
            </w:pPr>
          </w:p>
        </w:tc>
        <w:tc>
          <w:tcPr>
            <w:tcW w:w="1043" w:type="pct"/>
            <w:tcBorders>
              <w:top w:val="nil"/>
              <w:left w:val="nil"/>
              <w:bottom w:val="nil"/>
              <w:right w:val="nil"/>
            </w:tcBorders>
            <w:shd w:val="clear" w:color="auto" w:fill="auto"/>
            <w:noWrap/>
            <w:vAlign w:val="center"/>
            <w:hideMark/>
          </w:tcPr>
          <w:p w14:paraId="21CB035C" w14:textId="77777777" w:rsidR="002C4FFF" w:rsidRPr="00AC713D" w:rsidRDefault="002C4FFF" w:rsidP="0035058C">
            <w:pPr>
              <w:spacing w:before="0" w:beforeAutospacing="0" w:after="0" w:afterAutospacing="0"/>
              <w:ind w:firstLineChars="100" w:firstLine="200"/>
              <w:jc w:val="right"/>
              <w:rPr>
                <w:rFonts w:cs="Arial"/>
                <w:sz w:val="20"/>
                <w:szCs w:val="20"/>
              </w:rPr>
            </w:pPr>
          </w:p>
        </w:tc>
      </w:tr>
      <w:tr w:rsidR="002C4FFF" w:rsidRPr="00AC713D" w14:paraId="46DB0675" w14:textId="77777777" w:rsidTr="002C4FFF">
        <w:trPr>
          <w:trHeight w:val="270"/>
        </w:trPr>
        <w:tc>
          <w:tcPr>
            <w:tcW w:w="2766" w:type="pct"/>
            <w:tcBorders>
              <w:top w:val="nil"/>
              <w:left w:val="nil"/>
              <w:bottom w:val="nil"/>
              <w:right w:val="nil"/>
            </w:tcBorders>
            <w:shd w:val="clear" w:color="000000" w:fill="9C9D9F"/>
            <w:vAlign w:val="center"/>
            <w:hideMark/>
          </w:tcPr>
          <w:p w14:paraId="082C50B8" w14:textId="77777777" w:rsidR="002C4FFF" w:rsidRPr="00AC713D" w:rsidRDefault="002C4FFF" w:rsidP="0035058C">
            <w:pPr>
              <w:spacing w:before="0" w:beforeAutospacing="0" w:after="0" w:afterAutospacing="0"/>
              <w:jc w:val="left"/>
              <w:rPr>
                <w:rFonts w:cs="Arial"/>
                <w:b/>
                <w:bCs/>
                <w:sz w:val="20"/>
                <w:szCs w:val="20"/>
              </w:rPr>
            </w:pPr>
            <w:r w:rsidRPr="00AC713D">
              <w:rPr>
                <w:rFonts w:cs="Arial"/>
                <w:b/>
                <w:bCs/>
                <w:sz w:val="20"/>
                <w:szCs w:val="20"/>
              </w:rPr>
              <w:t>Provozní ukazatele</w:t>
            </w:r>
          </w:p>
        </w:tc>
        <w:tc>
          <w:tcPr>
            <w:tcW w:w="1191" w:type="pct"/>
            <w:tcBorders>
              <w:top w:val="nil"/>
              <w:left w:val="nil"/>
              <w:bottom w:val="nil"/>
              <w:right w:val="nil"/>
            </w:tcBorders>
            <w:shd w:val="clear" w:color="000000" w:fill="9C9D9F"/>
            <w:noWrap/>
            <w:vAlign w:val="center"/>
            <w:hideMark/>
          </w:tcPr>
          <w:p w14:paraId="2721526D" w14:textId="77777777" w:rsidR="002C4FFF" w:rsidRPr="00AC713D" w:rsidRDefault="002C4FFF" w:rsidP="00FD214B">
            <w:pPr>
              <w:spacing w:before="0" w:beforeAutospacing="0" w:after="0" w:afterAutospacing="0"/>
              <w:ind w:firstLineChars="100" w:firstLine="201"/>
              <w:jc w:val="right"/>
              <w:rPr>
                <w:rFonts w:cs="Arial"/>
                <w:b/>
                <w:bCs/>
                <w:sz w:val="20"/>
                <w:szCs w:val="20"/>
              </w:rPr>
            </w:pPr>
            <w:r w:rsidRPr="00AC713D">
              <w:rPr>
                <w:rFonts w:cs="Arial"/>
                <w:b/>
                <w:bCs/>
                <w:sz w:val="20"/>
                <w:szCs w:val="20"/>
              </w:rPr>
              <w:t> </w:t>
            </w:r>
          </w:p>
        </w:tc>
        <w:tc>
          <w:tcPr>
            <w:tcW w:w="1043" w:type="pct"/>
            <w:tcBorders>
              <w:top w:val="nil"/>
              <w:left w:val="nil"/>
              <w:bottom w:val="nil"/>
              <w:right w:val="nil"/>
            </w:tcBorders>
            <w:shd w:val="clear" w:color="000000" w:fill="9C9D9F"/>
            <w:noWrap/>
            <w:vAlign w:val="center"/>
            <w:hideMark/>
          </w:tcPr>
          <w:p w14:paraId="4463E030" w14:textId="77777777" w:rsidR="002C4FFF" w:rsidRPr="00AC713D" w:rsidRDefault="002C4FFF" w:rsidP="00FD214B">
            <w:pPr>
              <w:spacing w:before="0" w:beforeAutospacing="0" w:after="0" w:afterAutospacing="0"/>
              <w:ind w:firstLineChars="100" w:firstLine="201"/>
              <w:jc w:val="right"/>
              <w:rPr>
                <w:rFonts w:cs="Arial"/>
                <w:b/>
                <w:bCs/>
                <w:sz w:val="20"/>
                <w:szCs w:val="20"/>
              </w:rPr>
            </w:pPr>
            <w:r w:rsidRPr="00AC713D">
              <w:rPr>
                <w:rFonts w:cs="Arial"/>
                <w:b/>
                <w:bCs/>
                <w:sz w:val="20"/>
                <w:szCs w:val="20"/>
              </w:rPr>
              <w:t> </w:t>
            </w:r>
          </w:p>
        </w:tc>
      </w:tr>
      <w:tr w:rsidR="002C4FFF" w:rsidRPr="00AC713D" w14:paraId="3EE7B70F" w14:textId="77777777" w:rsidTr="002C4FFF">
        <w:trPr>
          <w:trHeight w:val="270"/>
        </w:trPr>
        <w:tc>
          <w:tcPr>
            <w:tcW w:w="2766" w:type="pct"/>
            <w:tcBorders>
              <w:top w:val="single" w:sz="4" w:space="0" w:color="9C9D9F"/>
              <w:left w:val="nil"/>
              <w:bottom w:val="single" w:sz="4" w:space="0" w:color="9C9D9F"/>
              <w:right w:val="nil"/>
            </w:tcBorders>
            <w:shd w:val="clear" w:color="auto" w:fill="auto"/>
            <w:vAlign w:val="center"/>
            <w:hideMark/>
          </w:tcPr>
          <w:p w14:paraId="5B937FDB" w14:textId="77777777" w:rsidR="002C4FFF" w:rsidRPr="00AC713D" w:rsidRDefault="002C4FFF" w:rsidP="0035058C">
            <w:pPr>
              <w:spacing w:before="0" w:beforeAutospacing="0" w:after="0" w:afterAutospacing="0"/>
              <w:jc w:val="left"/>
              <w:rPr>
                <w:rFonts w:cs="Arial"/>
                <w:sz w:val="20"/>
                <w:szCs w:val="20"/>
              </w:rPr>
            </w:pPr>
            <w:r w:rsidRPr="00AC713D">
              <w:rPr>
                <w:rFonts w:cs="Arial"/>
                <w:sz w:val="20"/>
                <w:szCs w:val="20"/>
              </w:rPr>
              <w:t>Výroba v tunách</w:t>
            </w:r>
          </w:p>
        </w:tc>
        <w:tc>
          <w:tcPr>
            <w:tcW w:w="1191" w:type="pct"/>
            <w:tcBorders>
              <w:top w:val="single" w:sz="4" w:space="0" w:color="9C9D9F"/>
              <w:left w:val="nil"/>
              <w:bottom w:val="single" w:sz="4" w:space="0" w:color="9C9D9F"/>
              <w:right w:val="nil"/>
            </w:tcBorders>
            <w:shd w:val="clear" w:color="auto" w:fill="auto"/>
            <w:noWrap/>
            <w:vAlign w:val="center"/>
            <w:hideMark/>
          </w:tcPr>
          <w:p w14:paraId="449CEE18" w14:textId="2F7249AD" w:rsidR="002C4FFF" w:rsidRPr="00AC713D" w:rsidRDefault="002C4FFF" w:rsidP="0035058C">
            <w:pPr>
              <w:spacing w:before="0" w:beforeAutospacing="0" w:after="0" w:afterAutospacing="0"/>
              <w:ind w:firstLineChars="100" w:firstLine="200"/>
              <w:jc w:val="right"/>
              <w:rPr>
                <w:rFonts w:cs="Arial"/>
                <w:sz w:val="20"/>
                <w:szCs w:val="20"/>
              </w:rPr>
            </w:pPr>
            <w:r w:rsidRPr="00AC713D">
              <w:rPr>
                <w:rFonts w:cs="Arial"/>
                <w:sz w:val="20"/>
                <w:szCs w:val="20"/>
              </w:rPr>
              <w:t>61 476</w:t>
            </w:r>
          </w:p>
        </w:tc>
        <w:tc>
          <w:tcPr>
            <w:tcW w:w="1043" w:type="pct"/>
            <w:tcBorders>
              <w:top w:val="single" w:sz="4" w:space="0" w:color="9C9D9F"/>
              <w:left w:val="nil"/>
              <w:bottom w:val="single" w:sz="4" w:space="0" w:color="9C9D9F"/>
              <w:right w:val="nil"/>
            </w:tcBorders>
            <w:shd w:val="clear" w:color="auto" w:fill="auto"/>
            <w:noWrap/>
            <w:vAlign w:val="center"/>
            <w:hideMark/>
          </w:tcPr>
          <w:p w14:paraId="5366DA05" w14:textId="4E813189" w:rsidR="002C4FFF" w:rsidRPr="00AC713D" w:rsidRDefault="002C4FFF" w:rsidP="0035058C">
            <w:pPr>
              <w:spacing w:before="0" w:beforeAutospacing="0" w:after="0" w:afterAutospacing="0"/>
              <w:ind w:firstLineChars="100" w:firstLine="200"/>
              <w:jc w:val="right"/>
              <w:rPr>
                <w:rFonts w:cs="Arial"/>
                <w:sz w:val="20"/>
                <w:szCs w:val="20"/>
              </w:rPr>
            </w:pPr>
            <w:r w:rsidRPr="00AC713D">
              <w:rPr>
                <w:rFonts w:cs="Arial"/>
                <w:sz w:val="20"/>
                <w:szCs w:val="20"/>
              </w:rPr>
              <w:t>15,5%</w:t>
            </w:r>
          </w:p>
        </w:tc>
      </w:tr>
      <w:tr w:rsidR="002C4FFF" w:rsidRPr="00AC713D" w14:paraId="154C9604" w14:textId="77777777" w:rsidTr="002C4FFF">
        <w:trPr>
          <w:trHeight w:val="270"/>
        </w:trPr>
        <w:tc>
          <w:tcPr>
            <w:tcW w:w="2766" w:type="pct"/>
            <w:tcBorders>
              <w:top w:val="nil"/>
              <w:left w:val="nil"/>
              <w:bottom w:val="single" w:sz="4" w:space="0" w:color="9C9D9F"/>
              <w:right w:val="nil"/>
            </w:tcBorders>
            <w:shd w:val="clear" w:color="auto" w:fill="auto"/>
            <w:vAlign w:val="center"/>
            <w:hideMark/>
          </w:tcPr>
          <w:p w14:paraId="5A667EDC" w14:textId="77777777" w:rsidR="002C4FFF" w:rsidRPr="00AC713D" w:rsidRDefault="002C4FFF" w:rsidP="0035058C">
            <w:pPr>
              <w:spacing w:before="0" w:beforeAutospacing="0" w:after="0" w:afterAutospacing="0"/>
              <w:jc w:val="left"/>
              <w:rPr>
                <w:rFonts w:cs="Arial"/>
                <w:sz w:val="20"/>
                <w:szCs w:val="20"/>
              </w:rPr>
            </w:pPr>
            <w:r w:rsidRPr="00AC713D">
              <w:rPr>
                <w:rFonts w:cs="Arial"/>
                <w:sz w:val="20"/>
                <w:szCs w:val="20"/>
              </w:rPr>
              <w:t>Počet zaměstnanců - na konci období</w:t>
            </w:r>
          </w:p>
        </w:tc>
        <w:tc>
          <w:tcPr>
            <w:tcW w:w="1191" w:type="pct"/>
            <w:tcBorders>
              <w:top w:val="nil"/>
              <w:left w:val="nil"/>
              <w:bottom w:val="single" w:sz="4" w:space="0" w:color="9C9D9F"/>
              <w:right w:val="nil"/>
            </w:tcBorders>
            <w:shd w:val="clear" w:color="auto" w:fill="auto"/>
            <w:noWrap/>
            <w:vAlign w:val="center"/>
            <w:hideMark/>
          </w:tcPr>
          <w:p w14:paraId="291D918B" w14:textId="04DBDF47" w:rsidR="002C4FFF" w:rsidRPr="00AC713D" w:rsidRDefault="002C4FFF" w:rsidP="0035058C">
            <w:pPr>
              <w:spacing w:before="0" w:beforeAutospacing="0" w:after="0" w:afterAutospacing="0"/>
              <w:ind w:firstLineChars="100" w:firstLine="200"/>
              <w:jc w:val="right"/>
              <w:rPr>
                <w:rFonts w:cs="Arial"/>
                <w:sz w:val="20"/>
                <w:szCs w:val="20"/>
              </w:rPr>
            </w:pPr>
            <w:r w:rsidRPr="00AC713D">
              <w:rPr>
                <w:rFonts w:cs="Arial"/>
                <w:sz w:val="20"/>
                <w:szCs w:val="20"/>
              </w:rPr>
              <w:t>704</w:t>
            </w:r>
          </w:p>
        </w:tc>
        <w:tc>
          <w:tcPr>
            <w:tcW w:w="1043" w:type="pct"/>
            <w:tcBorders>
              <w:top w:val="nil"/>
              <w:left w:val="nil"/>
              <w:bottom w:val="single" w:sz="4" w:space="0" w:color="9C9D9F"/>
              <w:right w:val="nil"/>
            </w:tcBorders>
            <w:shd w:val="clear" w:color="auto" w:fill="auto"/>
            <w:noWrap/>
            <w:vAlign w:val="center"/>
            <w:hideMark/>
          </w:tcPr>
          <w:p w14:paraId="6E65503E" w14:textId="02114D9C" w:rsidR="002C4FFF" w:rsidRPr="00AC713D" w:rsidRDefault="002C4FFF" w:rsidP="0035058C">
            <w:pPr>
              <w:spacing w:before="0" w:beforeAutospacing="0" w:after="0" w:afterAutospacing="0"/>
              <w:ind w:firstLineChars="100" w:firstLine="200"/>
              <w:jc w:val="right"/>
              <w:rPr>
                <w:rFonts w:cs="Arial"/>
                <w:sz w:val="20"/>
                <w:szCs w:val="20"/>
              </w:rPr>
            </w:pPr>
            <w:r w:rsidRPr="00AC713D">
              <w:rPr>
                <w:rFonts w:cs="Arial"/>
                <w:sz w:val="20"/>
                <w:szCs w:val="20"/>
              </w:rPr>
              <w:t>13,5%</w:t>
            </w:r>
          </w:p>
        </w:tc>
      </w:tr>
      <w:tr w:rsidR="002C4FFF" w:rsidRPr="00AC713D" w14:paraId="32162128" w14:textId="77777777" w:rsidTr="002C4FFF">
        <w:trPr>
          <w:trHeight w:val="270"/>
        </w:trPr>
        <w:tc>
          <w:tcPr>
            <w:tcW w:w="2766" w:type="pct"/>
            <w:tcBorders>
              <w:top w:val="nil"/>
              <w:left w:val="nil"/>
              <w:bottom w:val="single" w:sz="4" w:space="0" w:color="9C9D9F"/>
              <w:right w:val="nil"/>
            </w:tcBorders>
            <w:shd w:val="clear" w:color="auto" w:fill="auto"/>
            <w:vAlign w:val="center"/>
            <w:hideMark/>
          </w:tcPr>
          <w:p w14:paraId="3623CB14" w14:textId="77777777" w:rsidR="002C4FFF" w:rsidRPr="00AC713D" w:rsidRDefault="002C4FFF" w:rsidP="0035058C">
            <w:pPr>
              <w:spacing w:before="0" w:beforeAutospacing="0" w:after="0" w:afterAutospacing="0"/>
              <w:jc w:val="left"/>
              <w:rPr>
                <w:rFonts w:cs="Arial"/>
                <w:sz w:val="20"/>
                <w:szCs w:val="20"/>
              </w:rPr>
            </w:pPr>
            <w:r w:rsidRPr="00AC713D">
              <w:rPr>
                <w:rFonts w:cs="Arial"/>
                <w:sz w:val="20"/>
                <w:szCs w:val="20"/>
              </w:rPr>
              <w:t>Počet zaměstnanců - průměr</w:t>
            </w:r>
          </w:p>
        </w:tc>
        <w:tc>
          <w:tcPr>
            <w:tcW w:w="1191" w:type="pct"/>
            <w:tcBorders>
              <w:top w:val="nil"/>
              <w:left w:val="nil"/>
              <w:bottom w:val="single" w:sz="4" w:space="0" w:color="9C9D9F"/>
              <w:right w:val="nil"/>
            </w:tcBorders>
            <w:shd w:val="clear" w:color="auto" w:fill="auto"/>
            <w:noWrap/>
            <w:vAlign w:val="center"/>
            <w:hideMark/>
          </w:tcPr>
          <w:p w14:paraId="16329DE1" w14:textId="7CDC2348" w:rsidR="002C4FFF" w:rsidRPr="00AC713D" w:rsidRDefault="002C4FFF" w:rsidP="0035058C">
            <w:pPr>
              <w:spacing w:before="0" w:beforeAutospacing="0" w:after="0" w:afterAutospacing="0"/>
              <w:ind w:firstLineChars="100" w:firstLine="200"/>
              <w:jc w:val="right"/>
              <w:rPr>
                <w:rFonts w:cs="Arial"/>
                <w:sz w:val="20"/>
                <w:szCs w:val="20"/>
              </w:rPr>
            </w:pPr>
            <w:r w:rsidRPr="00AC713D">
              <w:rPr>
                <w:rFonts w:cs="Arial"/>
                <w:sz w:val="20"/>
                <w:szCs w:val="20"/>
              </w:rPr>
              <w:t>694</w:t>
            </w:r>
          </w:p>
        </w:tc>
        <w:tc>
          <w:tcPr>
            <w:tcW w:w="1043" w:type="pct"/>
            <w:tcBorders>
              <w:top w:val="nil"/>
              <w:left w:val="nil"/>
              <w:bottom w:val="single" w:sz="4" w:space="0" w:color="9C9D9F"/>
              <w:right w:val="nil"/>
            </w:tcBorders>
            <w:shd w:val="clear" w:color="auto" w:fill="auto"/>
            <w:noWrap/>
            <w:vAlign w:val="center"/>
            <w:hideMark/>
          </w:tcPr>
          <w:p w14:paraId="2EDF6B86" w14:textId="24428F13" w:rsidR="002C4FFF" w:rsidRPr="00AC713D" w:rsidRDefault="002C4FFF" w:rsidP="003776C4">
            <w:pPr>
              <w:spacing w:before="0" w:beforeAutospacing="0" w:after="0" w:afterAutospacing="0"/>
              <w:ind w:firstLineChars="100" w:firstLine="200"/>
              <w:jc w:val="right"/>
              <w:rPr>
                <w:rFonts w:cs="Arial"/>
                <w:sz w:val="20"/>
                <w:szCs w:val="20"/>
              </w:rPr>
            </w:pPr>
            <w:r w:rsidRPr="00AC713D">
              <w:rPr>
                <w:rFonts w:cs="Arial"/>
                <w:sz w:val="20"/>
                <w:szCs w:val="20"/>
              </w:rPr>
              <w:t>13,2%</w:t>
            </w:r>
          </w:p>
        </w:tc>
      </w:tr>
      <w:tr w:rsidR="002C4FFF" w:rsidRPr="00AC713D" w14:paraId="66F6E098" w14:textId="77777777" w:rsidTr="002C4FFF">
        <w:trPr>
          <w:trHeight w:val="270"/>
        </w:trPr>
        <w:tc>
          <w:tcPr>
            <w:tcW w:w="2766" w:type="pct"/>
            <w:tcBorders>
              <w:top w:val="nil"/>
              <w:left w:val="nil"/>
              <w:bottom w:val="nil"/>
              <w:right w:val="nil"/>
            </w:tcBorders>
            <w:shd w:val="clear" w:color="auto" w:fill="auto"/>
            <w:vAlign w:val="center"/>
            <w:hideMark/>
          </w:tcPr>
          <w:p w14:paraId="1602B9CD" w14:textId="77777777" w:rsidR="002C4FFF" w:rsidRPr="00AC713D" w:rsidRDefault="002C4FFF" w:rsidP="0035058C">
            <w:pPr>
              <w:spacing w:before="0" w:beforeAutospacing="0" w:after="0" w:afterAutospacing="0"/>
              <w:ind w:firstLineChars="100" w:firstLine="200"/>
              <w:jc w:val="right"/>
              <w:rPr>
                <w:rFonts w:cs="Arial"/>
                <w:sz w:val="20"/>
                <w:szCs w:val="20"/>
              </w:rPr>
            </w:pPr>
          </w:p>
        </w:tc>
        <w:tc>
          <w:tcPr>
            <w:tcW w:w="1191" w:type="pct"/>
            <w:tcBorders>
              <w:top w:val="nil"/>
              <w:left w:val="nil"/>
              <w:bottom w:val="nil"/>
              <w:right w:val="nil"/>
            </w:tcBorders>
            <w:shd w:val="clear" w:color="auto" w:fill="auto"/>
            <w:noWrap/>
            <w:vAlign w:val="center"/>
            <w:hideMark/>
          </w:tcPr>
          <w:p w14:paraId="019E9EC8" w14:textId="77777777" w:rsidR="002C4FFF" w:rsidRPr="00AC713D" w:rsidRDefault="002C4FFF" w:rsidP="0035058C">
            <w:pPr>
              <w:spacing w:before="0" w:beforeAutospacing="0" w:after="0" w:afterAutospacing="0"/>
              <w:jc w:val="left"/>
              <w:rPr>
                <w:rFonts w:cs="Arial"/>
                <w:sz w:val="20"/>
                <w:szCs w:val="20"/>
              </w:rPr>
            </w:pPr>
          </w:p>
        </w:tc>
        <w:tc>
          <w:tcPr>
            <w:tcW w:w="1043" w:type="pct"/>
            <w:tcBorders>
              <w:top w:val="nil"/>
              <w:left w:val="nil"/>
              <w:bottom w:val="nil"/>
              <w:right w:val="nil"/>
            </w:tcBorders>
            <w:shd w:val="clear" w:color="auto" w:fill="auto"/>
            <w:noWrap/>
            <w:vAlign w:val="center"/>
            <w:hideMark/>
          </w:tcPr>
          <w:p w14:paraId="3D3DFFB3" w14:textId="77777777" w:rsidR="002C4FFF" w:rsidRPr="00AC713D" w:rsidRDefault="002C4FFF" w:rsidP="0035058C">
            <w:pPr>
              <w:spacing w:before="0" w:beforeAutospacing="0" w:after="0" w:afterAutospacing="0"/>
              <w:ind w:firstLineChars="100" w:firstLine="200"/>
              <w:jc w:val="right"/>
              <w:rPr>
                <w:rFonts w:cs="Arial"/>
                <w:sz w:val="20"/>
                <w:szCs w:val="20"/>
              </w:rPr>
            </w:pPr>
          </w:p>
        </w:tc>
      </w:tr>
      <w:tr w:rsidR="002C4FFF" w:rsidRPr="00AC713D" w14:paraId="146D4AAF" w14:textId="77777777" w:rsidTr="002C4FFF">
        <w:trPr>
          <w:trHeight w:val="270"/>
        </w:trPr>
        <w:tc>
          <w:tcPr>
            <w:tcW w:w="2766" w:type="pct"/>
            <w:tcBorders>
              <w:top w:val="nil"/>
              <w:left w:val="nil"/>
              <w:bottom w:val="nil"/>
              <w:right w:val="nil"/>
            </w:tcBorders>
            <w:shd w:val="clear" w:color="000000" w:fill="9C9D9F"/>
            <w:vAlign w:val="center"/>
            <w:hideMark/>
          </w:tcPr>
          <w:p w14:paraId="28131F08" w14:textId="77777777" w:rsidR="002C4FFF" w:rsidRPr="00AC713D" w:rsidRDefault="002C4FFF" w:rsidP="0035058C">
            <w:pPr>
              <w:spacing w:before="0" w:beforeAutospacing="0" w:after="0" w:afterAutospacing="0"/>
              <w:jc w:val="left"/>
              <w:rPr>
                <w:rFonts w:cs="Arial"/>
                <w:b/>
                <w:bCs/>
                <w:sz w:val="20"/>
                <w:szCs w:val="20"/>
              </w:rPr>
            </w:pPr>
            <w:r w:rsidRPr="00AC713D">
              <w:rPr>
                <w:rFonts w:cs="Arial"/>
                <w:b/>
                <w:bCs/>
                <w:sz w:val="20"/>
                <w:szCs w:val="20"/>
              </w:rPr>
              <w:t>Měnové kurzy</w:t>
            </w:r>
          </w:p>
        </w:tc>
        <w:tc>
          <w:tcPr>
            <w:tcW w:w="1191" w:type="pct"/>
            <w:tcBorders>
              <w:top w:val="nil"/>
              <w:left w:val="nil"/>
              <w:bottom w:val="nil"/>
              <w:right w:val="nil"/>
            </w:tcBorders>
            <w:shd w:val="clear" w:color="000000" w:fill="9C9D9F"/>
            <w:noWrap/>
            <w:vAlign w:val="center"/>
            <w:hideMark/>
          </w:tcPr>
          <w:p w14:paraId="009A3A65" w14:textId="77777777" w:rsidR="002C4FFF" w:rsidRPr="00AC713D" w:rsidRDefault="002C4FFF" w:rsidP="00FD214B">
            <w:pPr>
              <w:spacing w:before="0" w:beforeAutospacing="0" w:after="0" w:afterAutospacing="0"/>
              <w:ind w:firstLineChars="100" w:firstLine="201"/>
              <w:jc w:val="right"/>
              <w:rPr>
                <w:rFonts w:cs="Arial"/>
                <w:b/>
                <w:bCs/>
                <w:sz w:val="20"/>
                <w:szCs w:val="20"/>
              </w:rPr>
            </w:pPr>
            <w:r w:rsidRPr="00AC713D">
              <w:rPr>
                <w:rFonts w:cs="Arial"/>
                <w:b/>
                <w:bCs/>
                <w:sz w:val="20"/>
                <w:szCs w:val="20"/>
              </w:rPr>
              <w:t> </w:t>
            </w:r>
          </w:p>
        </w:tc>
        <w:tc>
          <w:tcPr>
            <w:tcW w:w="1043" w:type="pct"/>
            <w:tcBorders>
              <w:top w:val="nil"/>
              <w:left w:val="nil"/>
              <w:bottom w:val="nil"/>
              <w:right w:val="nil"/>
            </w:tcBorders>
            <w:shd w:val="clear" w:color="000000" w:fill="9C9D9F"/>
            <w:noWrap/>
            <w:vAlign w:val="center"/>
            <w:hideMark/>
          </w:tcPr>
          <w:p w14:paraId="37BEE8EB" w14:textId="77777777" w:rsidR="002C4FFF" w:rsidRPr="00AC713D" w:rsidRDefault="002C4FFF" w:rsidP="00FD214B">
            <w:pPr>
              <w:spacing w:before="0" w:beforeAutospacing="0" w:after="0" w:afterAutospacing="0"/>
              <w:ind w:firstLineChars="100" w:firstLine="201"/>
              <w:jc w:val="right"/>
              <w:rPr>
                <w:rFonts w:cs="Arial"/>
                <w:b/>
                <w:bCs/>
                <w:sz w:val="20"/>
                <w:szCs w:val="20"/>
              </w:rPr>
            </w:pPr>
            <w:r w:rsidRPr="00AC713D">
              <w:rPr>
                <w:rFonts w:cs="Arial"/>
                <w:b/>
                <w:bCs/>
                <w:sz w:val="20"/>
                <w:szCs w:val="20"/>
              </w:rPr>
              <w:t> </w:t>
            </w:r>
          </w:p>
        </w:tc>
      </w:tr>
      <w:tr w:rsidR="002C4FFF" w:rsidRPr="00AC713D" w14:paraId="303C8FAA" w14:textId="77777777" w:rsidTr="002C4FFF">
        <w:trPr>
          <w:trHeight w:val="270"/>
        </w:trPr>
        <w:tc>
          <w:tcPr>
            <w:tcW w:w="2766" w:type="pct"/>
            <w:tcBorders>
              <w:top w:val="nil"/>
              <w:left w:val="nil"/>
              <w:bottom w:val="single" w:sz="4" w:space="0" w:color="9C9D9F"/>
              <w:right w:val="nil"/>
            </w:tcBorders>
            <w:shd w:val="clear" w:color="auto" w:fill="auto"/>
            <w:vAlign w:val="center"/>
            <w:hideMark/>
          </w:tcPr>
          <w:p w14:paraId="3FD6D9C4" w14:textId="77777777" w:rsidR="002C4FFF" w:rsidRPr="00AC713D" w:rsidRDefault="002C4FFF" w:rsidP="00F97A49">
            <w:pPr>
              <w:spacing w:before="0" w:beforeAutospacing="0" w:after="0" w:afterAutospacing="0"/>
              <w:jc w:val="left"/>
              <w:rPr>
                <w:rFonts w:cs="Arial"/>
                <w:sz w:val="20"/>
                <w:szCs w:val="20"/>
              </w:rPr>
            </w:pPr>
            <w:r w:rsidRPr="00AC713D">
              <w:rPr>
                <w:rFonts w:cs="Arial"/>
                <w:sz w:val="20"/>
                <w:szCs w:val="20"/>
              </w:rPr>
              <w:t>EUR/CZK - průměr</w:t>
            </w:r>
          </w:p>
        </w:tc>
        <w:tc>
          <w:tcPr>
            <w:tcW w:w="1191" w:type="pct"/>
            <w:tcBorders>
              <w:top w:val="nil"/>
              <w:left w:val="nil"/>
              <w:bottom w:val="single" w:sz="4" w:space="0" w:color="9C9D9F"/>
              <w:right w:val="nil"/>
            </w:tcBorders>
            <w:shd w:val="clear" w:color="auto" w:fill="auto"/>
            <w:noWrap/>
            <w:vAlign w:val="center"/>
            <w:hideMark/>
          </w:tcPr>
          <w:p w14:paraId="306D04E7" w14:textId="5CD0C9CB" w:rsidR="002C4FFF" w:rsidRPr="00AC713D" w:rsidRDefault="002C4FFF" w:rsidP="00F97A49">
            <w:pPr>
              <w:spacing w:before="0" w:beforeAutospacing="0" w:after="0" w:afterAutospacing="0"/>
              <w:ind w:firstLineChars="100" w:firstLine="200"/>
              <w:jc w:val="right"/>
              <w:rPr>
                <w:rFonts w:cs="Arial"/>
                <w:sz w:val="20"/>
                <w:szCs w:val="20"/>
              </w:rPr>
            </w:pPr>
            <w:r w:rsidRPr="00AC713D">
              <w:rPr>
                <w:sz w:val="20"/>
                <w:szCs w:val="20"/>
              </w:rPr>
              <w:t>26,326</w:t>
            </w:r>
          </w:p>
        </w:tc>
        <w:tc>
          <w:tcPr>
            <w:tcW w:w="1043" w:type="pct"/>
            <w:tcBorders>
              <w:top w:val="nil"/>
              <w:left w:val="nil"/>
              <w:bottom w:val="single" w:sz="4" w:space="0" w:color="9C9D9F"/>
              <w:right w:val="nil"/>
            </w:tcBorders>
            <w:shd w:val="clear" w:color="auto" w:fill="auto"/>
            <w:noWrap/>
            <w:vAlign w:val="center"/>
            <w:hideMark/>
          </w:tcPr>
          <w:p w14:paraId="6161DD72" w14:textId="50DA4C4F" w:rsidR="002C4FFF" w:rsidRPr="00AC713D" w:rsidRDefault="002C4FFF" w:rsidP="00F97A49">
            <w:pPr>
              <w:spacing w:before="0" w:beforeAutospacing="0" w:after="0" w:afterAutospacing="0"/>
              <w:ind w:firstLineChars="100" w:firstLine="200"/>
              <w:jc w:val="right"/>
              <w:rPr>
                <w:rFonts w:cs="Arial"/>
                <w:sz w:val="20"/>
                <w:szCs w:val="20"/>
              </w:rPr>
            </w:pPr>
            <w:r w:rsidRPr="00AC713D">
              <w:rPr>
                <w:sz w:val="20"/>
                <w:szCs w:val="20"/>
              </w:rPr>
              <w:t>2,5%</w:t>
            </w:r>
          </w:p>
        </w:tc>
      </w:tr>
      <w:tr w:rsidR="002C4FFF" w:rsidRPr="00AC713D" w14:paraId="03AAB9C5" w14:textId="77777777" w:rsidTr="002C4FFF">
        <w:trPr>
          <w:trHeight w:val="270"/>
        </w:trPr>
        <w:tc>
          <w:tcPr>
            <w:tcW w:w="2766" w:type="pct"/>
            <w:tcBorders>
              <w:top w:val="nil"/>
              <w:left w:val="nil"/>
              <w:bottom w:val="single" w:sz="4" w:space="0" w:color="9C9D9F"/>
              <w:right w:val="nil"/>
            </w:tcBorders>
            <w:shd w:val="clear" w:color="auto" w:fill="auto"/>
            <w:vAlign w:val="center"/>
            <w:hideMark/>
          </w:tcPr>
          <w:p w14:paraId="1E603D9C" w14:textId="77777777" w:rsidR="002C4FFF" w:rsidRPr="00AC713D" w:rsidRDefault="002C4FFF" w:rsidP="00F97A49">
            <w:pPr>
              <w:spacing w:before="0" w:beforeAutospacing="0" w:after="0" w:afterAutospacing="0"/>
              <w:jc w:val="left"/>
              <w:rPr>
                <w:rFonts w:cs="Arial"/>
                <w:sz w:val="20"/>
                <w:szCs w:val="20"/>
              </w:rPr>
            </w:pPr>
            <w:r w:rsidRPr="00AC713D">
              <w:rPr>
                <w:rFonts w:cs="Arial"/>
                <w:sz w:val="20"/>
                <w:szCs w:val="20"/>
              </w:rPr>
              <w:t>EUR/CZK - na konci období</w:t>
            </w:r>
          </w:p>
        </w:tc>
        <w:tc>
          <w:tcPr>
            <w:tcW w:w="1191" w:type="pct"/>
            <w:tcBorders>
              <w:top w:val="nil"/>
              <w:left w:val="nil"/>
              <w:bottom w:val="single" w:sz="4" w:space="0" w:color="9C9D9F"/>
              <w:right w:val="nil"/>
            </w:tcBorders>
            <w:shd w:val="clear" w:color="auto" w:fill="auto"/>
            <w:noWrap/>
            <w:vAlign w:val="center"/>
            <w:hideMark/>
          </w:tcPr>
          <w:p w14:paraId="6D283CC5" w14:textId="42331532" w:rsidR="002C4FFF" w:rsidRPr="00AC713D" w:rsidRDefault="002C4FFF" w:rsidP="00F97A49">
            <w:pPr>
              <w:spacing w:before="0" w:beforeAutospacing="0" w:after="0" w:afterAutospacing="0"/>
              <w:ind w:firstLineChars="100" w:firstLine="200"/>
              <w:jc w:val="right"/>
              <w:rPr>
                <w:rFonts w:cs="Arial"/>
                <w:sz w:val="20"/>
                <w:szCs w:val="20"/>
              </w:rPr>
            </w:pPr>
            <w:r w:rsidRPr="00AC713D">
              <w:rPr>
                <w:sz w:val="20"/>
                <w:szCs w:val="20"/>
              </w:rPr>
              <w:t>26,740</w:t>
            </w:r>
          </w:p>
        </w:tc>
        <w:tc>
          <w:tcPr>
            <w:tcW w:w="1043" w:type="pct"/>
            <w:tcBorders>
              <w:top w:val="nil"/>
              <w:left w:val="nil"/>
              <w:bottom w:val="single" w:sz="4" w:space="0" w:color="9C9D9F"/>
              <w:right w:val="nil"/>
            </w:tcBorders>
            <w:shd w:val="clear" w:color="auto" w:fill="auto"/>
            <w:noWrap/>
            <w:vAlign w:val="center"/>
            <w:hideMark/>
          </w:tcPr>
          <w:p w14:paraId="3BB04D20" w14:textId="3CC0E6B9" w:rsidR="002C4FFF" w:rsidRPr="00AC713D" w:rsidRDefault="002C4FFF" w:rsidP="00F97A49">
            <w:pPr>
              <w:spacing w:before="0" w:beforeAutospacing="0" w:after="0" w:afterAutospacing="0"/>
              <w:ind w:firstLineChars="100" w:firstLine="200"/>
              <w:jc w:val="right"/>
              <w:rPr>
                <w:rFonts w:cs="Arial"/>
                <w:sz w:val="20"/>
                <w:szCs w:val="20"/>
              </w:rPr>
            </w:pPr>
            <w:r w:rsidRPr="00AC713D">
              <w:rPr>
                <w:sz w:val="20"/>
                <w:szCs w:val="20"/>
              </w:rPr>
              <w:t>5,1%</w:t>
            </w:r>
          </w:p>
        </w:tc>
      </w:tr>
      <w:tr w:rsidR="002C4FFF" w:rsidRPr="00AC713D" w14:paraId="211B9A31" w14:textId="77777777" w:rsidTr="002C4FFF">
        <w:trPr>
          <w:trHeight w:val="270"/>
        </w:trPr>
        <w:tc>
          <w:tcPr>
            <w:tcW w:w="2766" w:type="pct"/>
            <w:tcBorders>
              <w:top w:val="nil"/>
              <w:left w:val="nil"/>
              <w:bottom w:val="single" w:sz="4" w:space="0" w:color="9C9D9F"/>
              <w:right w:val="nil"/>
            </w:tcBorders>
            <w:shd w:val="clear" w:color="auto" w:fill="auto"/>
            <w:vAlign w:val="center"/>
            <w:hideMark/>
          </w:tcPr>
          <w:p w14:paraId="47A57ADB" w14:textId="77777777" w:rsidR="002C4FFF" w:rsidRPr="00AC713D" w:rsidRDefault="002C4FFF" w:rsidP="00F97A49">
            <w:pPr>
              <w:spacing w:before="0" w:beforeAutospacing="0" w:after="0" w:afterAutospacing="0"/>
              <w:jc w:val="left"/>
              <w:rPr>
                <w:rFonts w:cs="Arial"/>
                <w:sz w:val="20"/>
                <w:szCs w:val="20"/>
              </w:rPr>
            </w:pPr>
            <w:r w:rsidRPr="00AC713D">
              <w:rPr>
                <w:rFonts w:cs="Arial"/>
                <w:sz w:val="20"/>
                <w:szCs w:val="20"/>
              </w:rPr>
              <w:t>USD/CZK - průměr</w:t>
            </w:r>
          </w:p>
        </w:tc>
        <w:tc>
          <w:tcPr>
            <w:tcW w:w="1191" w:type="pct"/>
            <w:tcBorders>
              <w:top w:val="nil"/>
              <w:left w:val="nil"/>
              <w:bottom w:val="single" w:sz="4" w:space="0" w:color="9C9D9F"/>
              <w:right w:val="nil"/>
            </w:tcBorders>
            <w:shd w:val="clear" w:color="auto" w:fill="auto"/>
            <w:noWrap/>
            <w:vAlign w:val="center"/>
            <w:hideMark/>
          </w:tcPr>
          <w:p w14:paraId="3266F78E" w14:textId="6B916F24" w:rsidR="002C4FFF" w:rsidRPr="00AC713D" w:rsidRDefault="002C4FFF" w:rsidP="00F97A49">
            <w:pPr>
              <w:spacing w:before="0" w:beforeAutospacing="0" w:after="0" w:afterAutospacing="0"/>
              <w:ind w:firstLineChars="100" w:firstLine="200"/>
              <w:jc w:val="right"/>
              <w:rPr>
                <w:rFonts w:cs="Arial"/>
                <w:sz w:val="20"/>
                <w:szCs w:val="20"/>
              </w:rPr>
            </w:pPr>
            <w:r w:rsidRPr="00AC713D">
              <w:rPr>
                <w:sz w:val="20"/>
                <w:szCs w:val="20"/>
              </w:rPr>
              <w:t>23,895</w:t>
            </w:r>
          </w:p>
        </w:tc>
        <w:tc>
          <w:tcPr>
            <w:tcW w:w="1043" w:type="pct"/>
            <w:tcBorders>
              <w:top w:val="nil"/>
              <w:left w:val="nil"/>
              <w:bottom w:val="single" w:sz="4" w:space="0" w:color="9C9D9F"/>
              <w:right w:val="nil"/>
            </w:tcBorders>
            <w:shd w:val="clear" w:color="auto" w:fill="auto"/>
            <w:noWrap/>
            <w:vAlign w:val="center"/>
            <w:hideMark/>
          </w:tcPr>
          <w:p w14:paraId="3333CDD1" w14:textId="4561B97B" w:rsidR="002C4FFF" w:rsidRPr="00AC713D" w:rsidRDefault="002C4FFF" w:rsidP="00F97A49">
            <w:pPr>
              <w:spacing w:before="0" w:beforeAutospacing="0" w:after="0" w:afterAutospacing="0"/>
              <w:ind w:firstLineChars="100" w:firstLine="200"/>
              <w:jc w:val="right"/>
              <w:rPr>
                <w:rFonts w:cs="Arial"/>
                <w:sz w:val="20"/>
                <w:szCs w:val="20"/>
              </w:rPr>
            </w:pPr>
            <w:r w:rsidRPr="00AC713D">
              <w:rPr>
                <w:sz w:val="20"/>
                <w:szCs w:val="20"/>
              </w:rPr>
              <w:t>5,1%</w:t>
            </w:r>
          </w:p>
        </w:tc>
      </w:tr>
      <w:tr w:rsidR="002C4FFF" w:rsidRPr="00AC713D" w14:paraId="3856CD11" w14:textId="77777777" w:rsidTr="002C4FFF">
        <w:trPr>
          <w:trHeight w:val="285"/>
        </w:trPr>
        <w:tc>
          <w:tcPr>
            <w:tcW w:w="2766" w:type="pct"/>
            <w:tcBorders>
              <w:top w:val="nil"/>
              <w:left w:val="nil"/>
              <w:bottom w:val="single" w:sz="4" w:space="0" w:color="9C9D9F"/>
              <w:right w:val="nil"/>
            </w:tcBorders>
            <w:shd w:val="clear" w:color="auto" w:fill="auto"/>
            <w:vAlign w:val="center"/>
            <w:hideMark/>
          </w:tcPr>
          <w:p w14:paraId="3AF711BC" w14:textId="77777777" w:rsidR="002C4FFF" w:rsidRPr="00AC713D" w:rsidRDefault="002C4FFF" w:rsidP="00F97A49">
            <w:pPr>
              <w:spacing w:before="0" w:beforeAutospacing="0" w:after="0" w:afterAutospacing="0"/>
              <w:jc w:val="left"/>
              <w:rPr>
                <w:rFonts w:cs="Arial"/>
                <w:sz w:val="20"/>
                <w:szCs w:val="20"/>
              </w:rPr>
            </w:pPr>
            <w:r w:rsidRPr="00AC713D">
              <w:rPr>
                <w:rFonts w:cs="Arial"/>
                <w:sz w:val="20"/>
                <w:szCs w:val="20"/>
              </w:rPr>
              <w:t>USD/CZK - na konci období</w:t>
            </w:r>
          </w:p>
        </w:tc>
        <w:tc>
          <w:tcPr>
            <w:tcW w:w="1191" w:type="pct"/>
            <w:tcBorders>
              <w:top w:val="nil"/>
              <w:left w:val="nil"/>
              <w:bottom w:val="single" w:sz="4" w:space="0" w:color="9C9D9F"/>
              <w:right w:val="nil"/>
            </w:tcBorders>
            <w:shd w:val="clear" w:color="auto" w:fill="auto"/>
            <w:noWrap/>
            <w:vAlign w:val="center"/>
            <w:hideMark/>
          </w:tcPr>
          <w:p w14:paraId="33701B29" w14:textId="6F718224" w:rsidR="002C4FFF" w:rsidRPr="00AC713D" w:rsidRDefault="002C4FFF" w:rsidP="00F97A49">
            <w:pPr>
              <w:spacing w:before="0" w:beforeAutospacing="0" w:after="0" w:afterAutospacing="0"/>
              <w:ind w:firstLineChars="100" w:firstLine="200"/>
              <w:jc w:val="right"/>
              <w:rPr>
                <w:rFonts w:cs="Arial"/>
                <w:sz w:val="20"/>
                <w:szCs w:val="20"/>
              </w:rPr>
            </w:pPr>
            <w:r w:rsidRPr="00AC713D">
              <w:rPr>
                <w:sz w:val="20"/>
                <w:szCs w:val="20"/>
              </w:rPr>
              <w:t>23,879</w:t>
            </w:r>
          </w:p>
        </w:tc>
        <w:tc>
          <w:tcPr>
            <w:tcW w:w="1043" w:type="pct"/>
            <w:tcBorders>
              <w:top w:val="nil"/>
              <w:left w:val="nil"/>
              <w:bottom w:val="single" w:sz="4" w:space="0" w:color="9C9D9F"/>
              <w:right w:val="nil"/>
            </w:tcBorders>
            <w:shd w:val="clear" w:color="auto" w:fill="auto"/>
            <w:noWrap/>
            <w:vAlign w:val="center"/>
            <w:hideMark/>
          </w:tcPr>
          <w:p w14:paraId="6ECEC0C5" w14:textId="709A7F95" w:rsidR="002C4FFF" w:rsidRPr="00AC713D" w:rsidRDefault="002C4FFF" w:rsidP="00F97A49">
            <w:pPr>
              <w:spacing w:before="0" w:beforeAutospacing="0" w:after="0" w:afterAutospacing="0"/>
              <w:ind w:firstLineChars="100" w:firstLine="200"/>
              <w:jc w:val="right"/>
              <w:rPr>
                <w:rFonts w:cs="Arial"/>
                <w:sz w:val="20"/>
                <w:szCs w:val="20"/>
              </w:rPr>
            </w:pPr>
            <w:r w:rsidRPr="00AC713D">
              <w:rPr>
                <w:sz w:val="20"/>
                <w:szCs w:val="20"/>
              </w:rPr>
              <w:t>6,8%</w:t>
            </w:r>
          </w:p>
        </w:tc>
      </w:tr>
      <w:tr w:rsidR="002C4FFF" w:rsidRPr="00AC713D" w14:paraId="17B9F273" w14:textId="77777777" w:rsidTr="002C4FFF">
        <w:trPr>
          <w:trHeight w:val="300"/>
        </w:trPr>
        <w:tc>
          <w:tcPr>
            <w:tcW w:w="2766" w:type="pct"/>
            <w:tcBorders>
              <w:top w:val="nil"/>
              <w:left w:val="nil"/>
              <w:bottom w:val="single" w:sz="4" w:space="0" w:color="9C9D9F"/>
              <w:right w:val="nil"/>
            </w:tcBorders>
            <w:shd w:val="clear" w:color="auto" w:fill="auto"/>
            <w:vAlign w:val="center"/>
            <w:hideMark/>
          </w:tcPr>
          <w:p w14:paraId="7505C83C" w14:textId="77777777" w:rsidR="002C4FFF" w:rsidRPr="00AC713D" w:rsidRDefault="002C4FFF" w:rsidP="00F97A49">
            <w:pPr>
              <w:spacing w:before="0" w:beforeAutospacing="0" w:after="0" w:afterAutospacing="0"/>
              <w:jc w:val="left"/>
              <w:rPr>
                <w:rFonts w:cs="Arial"/>
                <w:sz w:val="20"/>
                <w:szCs w:val="20"/>
              </w:rPr>
            </w:pPr>
            <w:r w:rsidRPr="00AC713D">
              <w:rPr>
                <w:rFonts w:cs="Arial"/>
                <w:sz w:val="20"/>
                <w:szCs w:val="20"/>
              </w:rPr>
              <w:t>ZAR/CZK - průměr</w:t>
            </w:r>
          </w:p>
        </w:tc>
        <w:tc>
          <w:tcPr>
            <w:tcW w:w="1191" w:type="pct"/>
            <w:tcBorders>
              <w:top w:val="nil"/>
              <w:left w:val="nil"/>
              <w:bottom w:val="single" w:sz="4" w:space="0" w:color="9C9D9F"/>
              <w:right w:val="nil"/>
            </w:tcBorders>
            <w:shd w:val="clear" w:color="auto" w:fill="auto"/>
            <w:noWrap/>
            <w:vAlign w:val="center"/>
            <w:hideMark/>
          </w:tcPr>
          <w:p w14:paraId="79DF9570" w14:textId="0AE4F22F" w:rsidR="002C4FFF" w:rsidRPr="00AC713D" w:rsidRDefault="002C4FFF" w:rsidP="00F97A49">
            <w:pPr>
              <w:spacing w:before="0" w:beforeAutospacing="0" w:after="0" w:afterAutospacing="0"/>
              <w:ind w:firstLineChars="100" w:firstLine="200"/>
              <w:jc w:val="right"/>
              <w:rPr>
                <w:rFonts w:cs="Arial"/>
                <w:sz w:val="20"/>
                <w:szCs w:val="20"/>
              </w:rPr>
            </w:pPr>
            <w:r w:rsidRPr="00AC713D">
              <w:rPr>
                <w:sz w:val="20"/>
                <w:szCs w:val="20"/>
              </w:rPr>
              <w:t>1,446</w:t>
            </w:r>
          </w:p>
        </w:tc>
        <w:tc>
          <w:tcPr>
            <w:tcW w:w="1043" w:type="pct"/>
            <w:tcBorders>
              <w:top w:val="nil"/>
              <w:left w:val="nil"/>
              <w:bottom w:val="single" w:sz="4" w:space="0" w:color="9C9D9F"/>
              <w:right w:val="nil"/>
            </w:tcBorders>
            <w:shd w:val="clear" w:color="auto" w:fill="auto"/>
            <w:noWrap/>
            <w:vAlign w:val="center"/>
            <w:hideMark/>
          </w:tcPr>
          <w:p w14:paraId="1174DC68" w14:textId="0C2BBD3C" w:rsidR="002C4FFF" w:rsidRPr="00AC713D" w:rsidRDefault="002C4FFF" w:rsidP="00F97A49">
            <w:pPr>
              <w:spacing w:before="0" w:beforeAutospacing="0" w:after="0" w:afterAutospacing="0"/>
              <w:ind w:firstLineChars="100" w:firstLine="200"/>
              <w:jc w:val="right"/>
              <w:rPr>
                <w:rFonts w:cs="Arial"/>
                <w:sz w:val="20"/>
                <w:szCs w:val="20"/>
              </w:rPr>
            </w:pPr>
            <w:r w:rsidRPr="00AC713D">
              <w:rPr>
                <w:sz w:val="20"/>
                <w:szCs w:val="20"/>
              </w:rPr>
              <w:t>-9,7%</w:t>
            </w:r>
          </w:p>
        </w:tc>
      </w:tr>
      <w:tr w:rsidR="002C4FFF" w:rsidRPr="00AC713D" w14:paraId="3CB1093A" w14:textId="77777777" w:rsidTr="002C4FFF">
        <w:trPr>
          <w:trHeight w:val="300"/>
        </w:trPr>
        <w:tc>
          <w:tcPr>
            <w:tcW w:w="2766" w:type="pct"/>
            <w:tcBorders>
              <w:top w:val="nil"/>
              <w:left w:val="nil"/>
              <w:bottom w:val="single" w:sz="4" w:space="0" w:color="9C9D9F"/>
              <w:right w:val="nil"/>
            </w:tcBorders>
            <w:shd w:val="clear" w:color="auto" w:fill="auto"/>
            <w:vAlign w:val="center"/>
            <w:hideMark/>
          </w:tcPr>
          <w:p w14:paraId="5396DF9F" w14:textId="77777777" w:rsidR="002C4FFF" w:rsidRPr="00AC713D" w:rsidRDefault="002C4FFF" w:rsidP="00F97A49">
            <w:pPr>
              <w:spacing w:before="0" w:beforeAutospacing="0" w:after="0" w:afterAutospacing="0"/>
              <w:jc w:val="left"/>
              <w:rPr>
                <w:rFonts w:cs="Arial"/>
                <w:sz w:val="20"/>
                <w:szCs w:val="20"/>
              </w:rPr>
            </w:pPr>
            <w:r w:rsidRPr="00AC713D">
              <w:rPr>
                <w:rFonts w:cs="Arial"/>
                <w:sz w:val="20"/>
                <w:szCs w:val="20"/>
              </w:rPr>
              <w:t>ZAR/CZK - na konci období</w:t>
            </w:r>
          </w:p>
        </w:tc>
        <w:tc>
          <w:tcPr>
            <w:tcW w:w="1191" w:type="pct"/>
            <w:tcBorders>
              <w:top w:val="nil"/>
              <w:left w:val="nil"/>
              <w:bottom w:val="single" w:sz="4" w:space="0" w:color="9C9D9F"/>
              <w:right w:val="nil"/>
            </w:tcBorders>
            <w:shd w:val="clear" w:color="auto" w:fill="auto"/>
            <w:noWrap/>
            <w:vAlign w:val="center"/>
            <w:hideMark/>
          </w:tcPr>
          <w:p w14:paraId="5E0DB94A" w14:textId="45332651" w:rsidR="002C4FFF" w:rsidRPr="00AC713D" w:rsidRDefault="002C4FFF" w:rsidP="00F97A49">
            <w:pPr>
              <w:spacing w:before="0" w:beforeAutospacing="0" w:after="0" w:afterAutospacing="0"/>
              <w:ind w:firstLineChars="100" w:firstLine="200"/>
              <w:jc w:val="right"/>
              <w:rPr>
                <w:rFonts w:cs="Arial"/>
                <w:sz w:val="20"/>
                <w:szCs w:val="20"/>
              </w:rPr>
            </w:pPr>
            <w:r w:rsidRPr="00AC713D">
              <w:rPr>
                <w:sz w:val="20"/>
                <w:szCs w:val="20"/>
              </w:rPr>
              <w:t>1,375</w:t>
            </w:r>
          </w:p>
        </w:tc>
        <w:tc>
          <w:tcPr>
            <w:tcW w:w="1043" w:type="pct"/>
            <w:tcBorders>
              <w:top w:val="nil"/>
              <w:left w:val="nil"/>
              <w:bottom w:val="single" w:sz="4" w:space="0" w:color="9C9D9F"/>
              <w:right w:val="nil"/>
            </w:tcBorders>
            <w:shd w:val="clear" w:color="auto" w:fill="auto"/>
            <w:noWrap/>
            <w:vAlign w:val="center"/>
            <w:hideMark/>
          </w:tcPr>
          <w:p w14:paraId="4F8A469D" w14:textId="5651D6A7" w:rsidR="002C4FFF" w:rsidRPr="00AC713D" w:rsidRDefault="002C4FFF" w:rsidP="00F97A49">
            <w:pPr>
              <w:spacing w:before="0" w:beforeAutospacing="0" w:after="0" w:afterAutospacing="0"/>
              <w:ind w:firstLineChars="100" w:firstLine="200"/>
              <w:jc w:val="right"/>
              <w:rPr>
                <w:rFonts w:cs="Arial"/>
                <w:sz w:val="20"/>
                <w:szCs w:val="20"/>
              </w:rPr>
            </w:pPr>
            <w:r w:rsidRPr="00AC713D">
              <w:rPr>
                <w:sz w:val="20"/>
                <w:szCs w:val="20"/>
              </w:rPr>
              <w:t>-12,9%</w:t>
            </w:r>
          </w:p>
        </w:tc>
      </w:tr>
    </w:tbl>
    <w:p w14:paraId="06B0F74F" w14:textId="77777777" w:rsidR="000C292F" w:rsidRPr="00AC713D" w:rsidRDefault="000C292F" w:rsidP="000C292F">
      <w:pPr>
        <w:rPr>
          <w:rFonts w:cs="Arial"/>
        </w:rPr>
      </w:pPr>
    </w:p>
    <w:p w14:paraId="2EA19E65" w14:textId="1C73BD03" w:rsidR="000C292F" w:rsidRPr="00AC713D" w:rsidRDefault="00D62F44" w:rsidP="000C292F">
      <w:pPr>
        <w:rPr>
          <w:rFonts w:cs="Arial"/>
        </w:rPr>
        <w:sectPr w:rsidR="000C292F" w:rsidRPr="00AC713D" w:rsidSect="00E431E6">
          <w:pgSz w:w="11906" w:h="16838"/>
          <w:pgMar w:top="1417" w:right="1417" w:bottom="1417" w:left="1417" w:header="708" w:footer="708" w:gutter="0"/>
          <w:cols w:space="708"/>
          <w:docGrid w:linePitch="360"/>
        </w:sectPr>
      </w:pPr>
      <w:r w:rsidRPr="00AC713D">
        <w:rPr>
          <w:rFonts w:cs="Arial"/>
        </w:rPr>
        <w:br/>
      </w:r>
    </w:p>
    <w:p w14:paraId="094650A0" w14:textId="1AEEF2C0" w:rsidR="000C292F" w:rsidRPr="00AC713D" w:rsidRDefault="006A0F68" w:rsidP="000C292F">
      <w:pPr>
        <w:rPr>
          <w:rFonts w:cs="Arial"/>
          <w:b/>
          <w:color w:val="FF0000"/>
        </w:rPr>
      </w:pPr>
      <w:r w:rsidRPr="00AC713D">
        <w:rPr>
          <w:rFonts w:cs="Arial"/>
          <w:b/>
          <w:color w:val="2A7FC6"/>
        </w:rPr>
        <w:lastRenderedPageBreak/>
        <w:t xml:space="preserve">PFNonwovens a.s. oznamuje své neauditované konsolidované finanční výsledky za první pololetí roku končící 30. červnem </w:t>
      </w:r>
      <w:r w:rsidR="002C796A" w:rsidRPr="00AC713D">
        <w:rPr>
          <w:rFonts w:cs="Arial"/>
          <w:b/>
          <w:color w:val="2A7FC6"/>
        </w:rPr>
        <w:t xml:space="preserve">2020 </w:t>
      </w:r>
      <w:r w:rsidR="004D52B4">
        <w:rPr>
          <w:rFonts w:cs="Arial"/>
          <w:b/>
          <w:color w:val="2A7FC6"/>
        </w:rPr>
        <w:t>připravené v </w:t>
      </w:r>
      <w:r w:rsidRPr="00AC713D">
        <w:rPr>
          <w:rFonts w:cs="Arial"/>
          <w:b/>
          <w:color w:val="2A7FC6"/>
        </w:rPr>
        <w:t>souladu s mezinárodními standardy finančního výkaznictví (IFRS).</w:t>
      </w:r>
    </w:p>
    <w:p w14:paraId="3C99EA7C" w14:textId="4DB93932" w:rsidR="002C4FFF" w:rsidRDefault="006A0F68" w:rsidP="006A0F68">
      <w:pPr>
        <w:pStyle w:val="Normlnweb"/>
        <w:rPr>
          <w:rFonts w:cs="Arial"/>
        </w:rPr>
      </w:pPr>
      <w:r w:rsidRPr="007B08E0">
        <w:rPr>
          <w:rFonts w:cs="Arial"/>
        </w:rPr>
        <w:t xml:space="preserve">EBITDA ve výši </w:t>
      </w:r>
      <w:r w:rsidR="002C4FFF">
        <w:rPr>
          <w:rFonts w:cs="Arial"/>
        </w:rPr>
        <w:t>659,6</w:t>
      </w:r>
      <w:r w:rsidRPr="007B08E0">
        <w:rPr>
          <w:rFonts w:cs="Arial"/>
        </w:rPr>
        <w:t xml:space="preserve"> milionů Kč dosažená v prvním pololetí </w:t>
      </w:r>
      <w:r w:rsidR="002C4FFF">
        <w:rPr>
          <w:rFonts w:cs="Arial"/>
        </w:rPr>
        <w:t>naplnila spodní hranici očekáváníObjem prodeje a výroby v tunách meziročně vzrostl a to především díky nově spuštěné lince v </w:t>
      </w:r>
      <w:r w:rsidR="004F2568">
        <w:rPr>
          <w:rFonts w:cs="Arial"/>
        </w:rPr>
        <w:t xml:space="preserve">České </w:t>
      </w:r>
      <w:r w:rsidR="002C4FFF">
        <w:rPr>
          <w:rFonts w:cs="Arial"/>
        </w:rPr>
        <w:t>republice v červnu 2019 a následnému uvedení další linky</w:t>
      </w:r>
      <w:r w:rsidR="00443D8F">
        <w:rPr>
          <w:rFonts w:cs="Arial"/>
        </w:rPr>
        <w:t xml:space="preserve"> v </w:t>
      </w:r>
      <w:r w:rsidR="004F2568">
        <w:rPr>
          <w:rFonts w:cs="Arial"/>
        </w:rPr>
        <w:t xml:space="preserve">Jihoafrické </w:t>
      </w:r>
      <w:r w:rsidR="00443D8F">
        <w:rPr>
          <w:rFonts w:cs="Arial"/>
        </w:rPr>
        <w:t>republice</w:t>
      </w:r>
      <w:r w:rsidR="002C4FFF">
        <w:rPr>
          <w:rFonts w:cs="Arial"/>
        </w:rPr>
        <w:t xml:space="preserve"> do komerčního provozu v </w:t>
      </w:r>
      <w:r w:rsidR="00F31322">
        <w:rPr>
          <w:rFonts w:cs="Arial"/>
        </w:rPr>
        <w:t xml:space="preserve">listopadu </w:t>
      </w:r>
      <w:r w:rsidR="002C4FFF">
        <w:rPr>
          <w:rFonts w:cs="Arial"/>
        </w:rPr>
        <w:t xml:space="preserve">2019. I přes tyto pozitivní faktory, měly na výsledek hospodaření Skupiny negativní vliv </w:t>
      </w:r>
      <w:r w:rsidR="002C4FFF" w:rsidRPr="002C4FFF">
        <w:rPr>
          <w:rFonts w:cs="Arial"/>
        </w:rPr>
        <w:t>slevy poskytnuté zákazníkům</w:t>
      </w:r>
      <w:r w:rsidR="00443D8F">
        <w:rPr>
          <w:rFonts w:cs="Arial"/>
        </w:rPr>
        <w:t xml:space="preserve"> během vyjednávání kontraktů na </w:t>
      </w:r>
      <w:r w:rsidR="002C4FFF" w:rsidRPr="002C4FFF">
        <w:rPr>
          <w:rFonts w:cs="Arial"/>
        </w:rPr>
        <w:t>roky 2020-2021</w:t>
      </w:r>
      <w:r w:rsidR="002C4FFF">
        <w:rPr>
          <w:rFonts w:cs="Arial"/>
        </w:rPr>
        <w:t xml:space="preserve">. </w:t>
      </w:r>
    </w:p>
    <w:p w14:paraId="04BD81A8" w14:textId="33975C31" w:rsidR="006A0F68" w:rsidRPr="00AC713D" w:rsidRDefault="0058244A" w:rsidP="008B548B">
      <w:pPr>
        <w:pStyle w:val="Normlnweb"/>
        <w:rPr>
          <w:rFonts w:cs="Arial"/>
          <w:highlight w:val="yellow"/>
        </w:rPr>
      </w:pPr>
      <w:r>
        <w:rPr>
          <w:rFonts w:cs="Arial"/>
        </w:rPr>
        <w:t>Z</w:t>
      </w:r>
      <w:r w:rsidR="00443D8F">
        <w:rPr>
          <w:rFonts w:cs="Arial"/>
        </w:rPr>
        <w:t>adlužení Společnosti a poměr čistého dluhu vůči EBITDA dosáhl na konci prvního pololetí hodnoty 3,</w:t>
      </w:r>
      <w:r w:rsidR="006829FD">
        <w:rPr>
          <w:rFonts w:cs="Arial"/>
        </w:rPr>
        <w:t>76</w:t>
      </w:r>
      <w:r w:rsidR="00443D8F">
        <w:rPr>
          <w:rFonts w:cs="Arial"/>
        </w:rPr>
        <w:t>,</w:t>
      </w:r>
      <w:r w:rsidR="006A0F68" w:rsidRPr="007B08E0">
        <w:rPr>
          <w:rFonts w:cs="Arial"/>
        </w:rPr>
        <w:t>“</w:t>
      </w:r>
      <w:r w:rsidR="006A0F68" w:rsidRPr="00AC713D">
        <w:rPr>
          <w:rFonts w:cs="Arial"/>
        </w:rPr>
        <w:t xml:space="preserve"> sdělil Marian Rašík, finanční ředitel a člen představenstva společnosti PFNonwovens a.s.</w:t>
      </w:r>
    </w:p>
    <w:p w14:paraId="6FA42B54" w14:textId="77777777" w:rsidR="000C292F" w:rsidRPr="00AC713D" w:rsidRDefault="000C292F" w:rsidP="000C292F">
      <w:pPr>
        <w:pStyle w:val="Nadpis1"/>
        <w:spacing w:before="100" w:after="100"/>
        <w:rPr>
          <w:rFonts w:cs="Arial"/>
        </w:rPr>
        <w:sectPr w:rsidR="000C292F" w:rsidRPr="00AC713D" w:rsidSect="004D52B4">
          <w:pgSz w:w="11906" w:h="16838"/>
          <w:pgMar w:top="1417" w:right="1417" w:bottom="1417" w:left="1417" w:header="708" w:footer="708" w:gutter="0"/>
          <w:cols w:space="708"/>
          <w:docGrid w:linePitch="360"/>
        </w:sectPr>
      </w:pPr>
      <w:bookmarkStart w:id="10" w:name="_Toc269907486"/>
    </w:p>
    <w:p w14:paraId="081F1E0B" w14:textId="414ACCBD" w:rsidR="000C292F" w:rsidRPr="00AC713D" w:rsidRDefault="000C292F" w:rsidP="000C292F">
      <w:pPr>
        <w:pStyle w:val="Nadpis1"/>
        <w:spacing w:before="100" w:after="100"/>
        <w:jc w:val="left"/>
        <w:rPr>
          <w:rFonts w:cs="Arial"/>
        </w:rPr>
      </w:pPr>
      <w:bookmarkStart w:id="11" w:name="_Toc47644460"/>
      <w:r w:rsidRPr="00AC713D">
        <w:rPr>
          <w:rFonts w:cs="Arial"/>
        </w:rPr>
        <w:lastRenderedPageBreak/>
        <w:t xml:space="preserve">Mezitímní zpráva o podnikání za první pololetí </w:t>
      </w:r>
      <w:bookmarkEnd w:id="10"/>
      <w:r w:rsidR="002C796A" w:rsidRPr="00AC713D">
        <w:rPr>
          <w:rFonts w:cs="Arial"/>
        </w:rPr>
        <w:t>2020</w:t>
      </w:r>
      <w:bookmarkEnd w:id="11"/>
    </w:p>
    <w:p w14:paraId="2CD04E76" w14:textId="77777777" w:rsidR="000C292F" w:rsidRPr="00AC713D" w:rsidRDefault="000C292F" w:rsidP="000C292F">
      <w:pPr>
        <w:rPr>
          <w:rFonts w:cs="Arial"/>
        </w:rPr>
      </w:pPr>
    </w:p>
    <w:p w14:paraId="4E5EBCC3" w14:textId="77777777" w:rsidR="000C292F" w:rsidRPr="00AC713D" w:rsidRDefault="000C292F" w:rsidP="000C292F">
      <w:pPr>
        <w:rPr>
          <w:rFonts w:cs="Arial"/>
        </w:rPr>
        <w:sectPr w:rsidR="000C292F" w:rsidRPr="00AC713D" w:rsidSect="00E431E6">
          <w:pgSz w:w="11906" w:h="16838"/>
          <w:pgMar w:top="1417" w:right="1417" w:bottom="1417" w:left="1417" w:header="708" w:footer="708" w:gutter="0"/>
          <w:cols w:space="708"/>
          <w:docGrid w:linePitch="360"/>
        </w:sectPr>
      </w:pPr>
    </w:p>
    <w:p w14:paraId="237C7203" w14:textId="6A4D85AE" w:rsidR="000C292F" w:rsidRPr="00AC713D" w:rsidRDefault="000C292F" w:rsidP="000C292F">
      <w:pPr>
        <w:pStyle w:val="Nadpis2"/>
        <w:spacing w:before="100" w:after="100"/>
        <w:rPr>
          <w:rFonts w:cs="Arial"/>
        </w:rPr>
      </w:pPr>
      <w:bookmarkStart w:id="12" w:name="_Toc269907487"/>
      <w:bookmarkStart w:id="13" w:name="_Toc47644461"/>
      <w:r w:rsidRPr="00AC713D">
        <w:rPr>
          <w:rFonts w:cs="Arial"/>
        </w:rPr>
        <w:lastRenderedPageBreak/>
        <w:t xml:space="preserve">Finanční výsledky za první pololetí </w:t>
      </w:r>
      <w:bookmarkEnd w:id="12"/>
      <w:r w:rsidR="002C796A" w:rsidRPr="00AC713D">
        <w:rPr>
          <w:rFonts w:cs="Arial"/>
        </w:rPr>
        <w:t>2020</w:t>
      </w:r>
      <w:bookmarkEnd w:id="13"/>
    </w:p>
    <w:p w14:paraId="3BA37968" w14:textId="1C626678" w:rsidR="00857912" w:rsidRDefault="00857912" w:rsidP="000C292F">
      <w:pPr>
        <w:pStyle w:val="Nadpis4"/>
        <w:rPr>
          <w:rFonts w:cs="Arial"/>
        </w:rPr>
      </w:pPr>
      <w:r>
        <w:rPr>
          <w:rFonts w:cs="Arial"/>
        </w:rPr>
        <w:t xml:space="preserve">Vliv </w:t>
      </w:r>
      <w:r w:rsidR="00AA7280">
        <w:rPr>
          <w:rFonts w:cs="Arial"/>
        </w:rPr>
        <w:t>COVID</w:t>
      </w:r>
      <w:r>
        <w:rPr>
          <w:rFonts w:cs="Arial"/>
        </w:rPr>
        <w:t>-19 na finanční výsledky Společnosti</w:t>
      </w:r>
    </w:p>
    <w:p w14:paraId="3F38DD75" w14:textId="0D181DB2" w:rsidR="00857912" w:rsidRDefault="004B53CC" w:rsidP="002C4FFF">
      <w:r>
        <w:t xml:space="preserve">První pololetí roku 2020 bylo charakteristické celosvětovým rozšířením pandemie </w:t>
      </w:r>
      <w:r w:rsidR="00AA7280">
        <w:t>COVID</w:t>
      </w:r>
      <w:r>
        <w:t>-19 a přijetí nouzových opatření proti dalšímu šíření nákazy, které měly významný vliv na výkonost světové ekonomiky.</w:t>
      </w:r>
    </w:p>
    <w:p w14:paraId="060B8343" w14:textId="0987954A" w:rsidR="004B53CC" w:rsidRDefault="004B53CC" w:rsidP="002C4FFF">
      <w:r>
        <w:t xml:space="preserve">Ačkoliv </w:t>
      </w:r>
      <w:r w:rsidR="005C05AE">
        <w:t>všechny země</w:t>
      </w:r>
      <w:r>
        <w:t>, ve kterých má Skupina umístěné své výrobní závody</w:t>
      </w:r>
      <w:r w:rsidR="005C05AE">
        <w:t xml:space="preserve">, byly zasaženy nákazou </w:t>
      </w:r>
      <w:r w:rsidR="00AA7280">
        <w:t>COVID</w:t>
      </w:r>
      <w:r w:rsidR="005C05AE">
        <w:t>-19 a byla přijata značná omezení veřejných a</w:t>
      </w:r>
      <w:r w:rsidR="004D52B4">
        <w:t> </w:t>
      </w:r>
      <w:r w:rsidR="005C05AE">
        <w:t>podnikatelských aktivit, neměla tyto omezení významný vliv na běžný provoz Společnosti a její finanční výsledky.</w:t>
      </w:r>
    </w:p>
    <w:p w14:paraId="379ACCAD" w14:textId="2F4BF119" w:rsidR="004D52B4" w:rsidRPr="00857912" w:rsidRDefault="004D52B4" w:rsidP="002C4FFF">
      <w:r>
        <w:t xml:space="preserve">V souvislosti, že nebyla Skupina výrazněji ovlivněna pandemii, neučinilo vedení Skupiny žádné změny ve svých finančních výkazech. </w:t>
      </w:r>
    </w:p>
    <w:p w14:paraId="782EA983" w14:textId="6430B52D" w:rsidR="000C292F" w:rsidRPr="00AC713D" w:rsidRDefault="000C292F" w:rsidP="000C292F">
      <w:pPr>
        <w:pStyle w:val="Nadpis4"/>
        <w:rPr>
          <w:rFonts w:cs="Arial"/>
        </w:rPr>
      </w:pPr>
      <w:r w:rsidRPr="00AC713D">
        <w:rPr>
          <w:rFonts w:cs="Arial"/>
        </w:rPr>
        <w:t>Výnosy, náklady a EBITDA</w:t>
      </w:r>
    </w:p>
    <w:p w14:paraId="5F709337" w14:textId="6D970168" w:rsidR="000561B4" w:rsidRPr="00AC713D" w:rsidRDefault="000C292F" w:rsidP="00452D1B">
      <w:pPr>
        <w:rPr>
          <w:rFonts w:cs="Arial"/>
        </w:rPr>
      </w:pPr>
      <w:r w:rsidRPr="00AC713D">
        <w:rPr>
          <w:rFonts w:cs="Arial"/>
        </w:rPr>
        <w:t>V první polovině roku 20</w:t>
      </w:r>
      <w:r w:rsidR="00E959DA">
        <w:rPr>
          <w:rFonts w:cs="Arial"/>
        </w:rPr>
        <w:t>20</w:t>
      </w:r>
      <w:r w:rsidRPr="00AC713D">
        <w:rPr>
          <w:rFonts w:cs="Arial"/>
        </w:rPr>
        <w:t xml:space="preserve"> dosáhly konsolidované výnosy </w:t>
      </w:r>
      <w:r w:rsidR="00F56824" w:rsidRPr="00AC713D">
        <w:rPr>
          <w:rFonts w:cs="Arial"/>
        </w:rPr>
        <w:t xml:space="preserve">3 </w:t>
      </w:r>
      <w:r w:rsidR="00E959DA">
        <w:rPr>
          <w:rFonts w:cs="Arial"/>
        </w:rPr>
        <w:t>347</w:t>
      </w:r>
      <w:r w:rsidRPr="00AC713D">
        <w:rPr>
          <w:rFonts w:cs="Arial"/>
        </w:rPr>
        <w:t>,</w:t>
      </w:r>
      <w:r w:rsidR="00F56824" w:rsidRPr="00AC713D">
        <w:rPr>
          <w:rFonts w:cs="Arial"/>
        </w:rPr>
        <w:t>3</w:t>
      </w:r>
      <w:r w:rsidRPr="00AC713D">
        <w:rPr>
          <w:rFonts w:cs="Arial"/>
        </w:rPr>
        <w:t xml:space="preserve"> milionu </w:t>
      </w:r>
      <w:r w:rsidR="00D63F98" w:rsidRPr="00AC713D">
        <w:rPr>
          <w:rFonts w:cs="Arial"/>
        </w:rPr>
        <w:t>Kč</w:t>
      </w:r>
      <w:r w:rsidR="0058244A">
        <w:rPr>
          <w:rFonts w:cs="Arial"/>
        </w:rPr>
        <w:t>.</w:t>
      </w:r>
      <w:r w:rsidR="0035058C" w:rsidRPr="00AC713D">
        <w:rPr>
          <w:rFonts w:cs="Arial"/>
        </w:rPr>
        <w:t xml:space="preserve"> </w:t>
      </w:r>
      <w:r w:rsidR="00D63F98" w:rsidRPr="00AC713D">
        <w:rPr>
          <w:rFonts w:cs="Arial"/>
        </w:rPr>
        <w:t xml:space="preserve">Objem prodejů v tunách meziročně </w:t>
      </w:r>
      <w:r w:rsidR="000561B4" w:rsidRPr="00AC713D">
        <w:rPr>
          <w:rFonts w:cs="Arial"/>
        </w:rPr>
        <w:t>vzrostl</w:t>
      </w:r>
      <w:r w:rsidR="00D63F98" w:rsidRPr="00AC713D">
        <w:rPr>
          <w:rFonts w:cs="Arial"/>
        </w:rPr>
        <w:t xml:space="preserve">. </w:t>
      </w:r>
      <w:r w:rsidR="00452D1B" w:rsidRPr="00AC713D">
        <w:rPr>
          <w:rFonts w:cs="Arial"/>
        </w:rPr>
        <w:t xml:space="preserve">Vývoj cen polymerů měl na meziroční vývoj tržeb </w:t>
      </w:r>
      <w:r w:rsidR="00E959DA">
        <w:rPr>
          <w:rFonts w:cs="Arial"/>
        </w:rPr>
        <w:t>negativní</w:t>
      </w:r>
      <w:r w:rsidR="00452D1B" w:rsidRPr="00AC713D">
        <w:rPr>
          <w:rFonts w:cs="Arial"/>
        </w:rPr>
        <w:t xml:space="preserve"> vliv. </w:t>
      </w:r>
      <w:r w:rsidR="00E959DA">
        <w:rPr>
          <w:rFonts w:cs="Arial"/>
        </w:rPr>
        <w:t>Pozitivní</w:t>
      </w:r>
      <w:r w:rsidR="00E959DA" w:rsidRPr="00AC713D">
        <w:rPr>
          <w:rFonts w:cs="Arial"/>
        </w:rPr>
        <w:t xml:space="preserve"> </w:t>
      </w:r>
      <w:r w:rsidR="00452D1B" w:rsidRPr="00AC713D">
        <w:rPr>
          <w:rFonts w:cs="Arial"/>
        </w:rPr>
        <w:t xml:space="preserve">vliv na </w:t>
      </w:r>
      <w:r w:rsidR="00D63F98" w:rsidRPr="00AC713D">
        <w:rPr>
          <w:rFonts w:cs="Arial"/>
        </w:rPr>
        <w:t>tržb</w:t>
      </w:r>
      <w:r w:rsidR="00452D1B" w:rsidRPr="00AC713D">
        <w:rPr>
          <w:rFonts w:cs="Arial"/>
        </w:rPr>
        <w:t>y měl meziroční dopad úprav z titulu IFRS 15, na</w:t>
      </w:r>
      <w:r w:rsidR="00603330">
        <w:rPr>
          <w:rFonts w:cs="Arial"/>
        </w:rPr>
        <w:t> </w:t>
      </w:r>
      <w:r w:rsidR="00452D1B" w:rsidRPr="00AC713D">
        <w:rPr>
          <w:rFonts w:cs="Arial"/>
        </w:rPr>
        <w:t>základě kterého Skupina vykazuje do výnosů výrobky, které jsou vyrobeny na</w:t>
      </w:r>
      <w:r w:rsidR="00603330">
        <w:rPr>
          <w:rFonts w:cs="Arial"/>
        </w:rPr>
        <w:t> </w:t>
      </w:r>
      <w:r w:rsidR="00452D1B" w:rsidRPr="00AC713D">
        <w:rPr>
          <w:rFonts w:cs="Arial"/>
        </w:rPr>
        <w:t>zakázku pro konkrétního zákazníka okamžitě po v</w:t>
      </w:r>
      <w:r w:rsidR="006D57EC" w:rsidRPr="00AC713D">
        <w:rPr>
          <w:rFonts w:cs="Arial"/>
        </w:rPr>
        <w:t>y</w:t>
      </w:r>
      <w:r w:rsidR="00452D1B" w:rsidRPr="00AC713D">
        <w:rPr>
          <w:rFonts w:cs="Arial"/>
        </w:rPr>
        <w:t>robení daného výrobku</w:t>
      </w:r>
      <w:r w:rsidR="00D63F98" w:rsidRPr="00AC713D">
        <w:rPr>
          <w:rFonts w:cs="Arial"/>
        </w:rPr>
        <w:t xml:space="preserve">. </w:t>
      </w:r>
      <w:r w:rsidR="00E959DA">
        <w:rPr>
          <w:rFonts w:cs="Arial"/>
        </w:rPr>
        <w:t>Na růst tržeb mělo také pozitivní vliv oslabení měnového kurzu české koruny vůči euru.</w:t>
      </w:r>
    </w:p>
    <w:p w14:paraId="4DD189D3" w14:textId="775BEED6" w:rsidR="000C292F" w:rsidRPr="00AC713D" w:rsidRDefault="000561B4" w:rsidP="000561B4">
      <w:pPr>
        <w:rPr>
          <w:rFonts w:cs="Arial"/>
        </w:rPr>
      </w:pPr>
      <w:r w:rsidRPr="00AC713D">
        <w:rPr>
          <w:rFonts w:cs="Arial"/>
        </w:rPr>
        <w:t xml:space="preserve">Celkové konsolidované provozní náklady bez odpisů (netto) v prvním pololetí roku </w:t>
      </w:r>
      <w:r w:rsidR="00E959DA" w:rsidRPr="00AC713D">
        <w:rPr>
          <w:rFonts w:cs="Arial"/>
        </w:rPr>
        <w:t>20</w:t>
      </w:r>
      <w:r w:rsidR="00E959DA">
        <w:rPr>
          <w:rFonts w:cs="Arial"/>
        </w:rPr>
        <w:t>20</w:t>
      </w:r>
      <w:r w:rsidR="00E959DA" w:rsidRPr="00AC713D">
        <w:rPr>
          <w:rFonts w:cs="Arial"/>
        </w:rPr>
        <w:t xml:space="preserve"> </w:t>
      </w:r>
      <w:r w:rsidRPr="00AC713D">
        <w:rPr>
          <w:rFonts w:cs="Arial"/>
        </w:rPr>
        <w:t xml:space="preserve">meziročně </w:t>
      </w:r>
      <w:r w:rsidR="00452D1B" w:rsidRPr="00AC713D">
        <w:rPr>
          <w:rFonts w:cs="Arial"/>
        </w:rPr>
        <w:t xml:space="preserve">vzrostly </w:t>
      </w:r>
      <w:r w:rsidRPr="00AC713D">
        <w:rPr>
          <w:rFonts w:cs="Arial"/>
        </w:rPr>
        <w:t xml:space="preserve">o </w:t>
      </w:r>
      <w:r w:rsidR="00E959DA">
        <w:rPr>
          <w:rFonts w:cs="Arial"/>
        </w:rPr>
        <w:t>5,3</w:t>
      </w:r>
      <w:r w:rsidRPr="00AC713D">
        <w:rPr>
          <w:rFonts w:cs="Arial"/>
        </w:rPr>
        <w:t xml:space="preserve"> % na částku 2 </w:t>
      </w:r>
      <w:r w:rsidR="00E959DA">
        <w:rPr>
          <w:rFonts w:cs="Arial"/>
        </w:rPr>
        <w:t>687,8</w:t>
      </w:r>
      <w:r w:rsidRPr="00AC713D">
        <w:rPr>
          <w:rFonts w:cs="Arial"/>
        </w:rPr>
        <w:t xml:space="preserve"> milionu Kč. </w:t>
      </w:r>
      <w:r w:rsidR="00D63F98" w:rsidRPr="00AC713D">
        <w:rPr>
          <w:rFonts w:cs="Arial"/>
        </w:rPr>
        <w:cr/>
      </w:r>
      <w:r w:rsidR="00C325FC" w:rsidRPr="00AC713D">
        <w:rPr>
          <w:rFonts w:cs="Arial"/>
        </w:rPr>
        <w:t xml:space="preserve"> </w:t>
      </w:r>
      <w:r w:rsidR="00C325FC" w:rsidRPr="00AC713D">
        <w:rPr>
          <w:rFonts w:cs="Arial"/>
        </w:rPr>
        <w:cr/>
      </w:r>
      <w:r w:rsidR="000C292F" w:rsidRPr="00AC713D">
        <w:rPr>
          <w:rFonts w:cs="Arial"/>
        </w:rPr>
        <w:t>EBITDA dosáhla v prvním pololetí roku 20</w:t>
      </w:r>
      <w:r w:rsidR="00E959DA">
        <w:rPr>
          <w:rFonts w:cs="Arial"/>
        </w:rPr>
        <w:t>20</w:t>
      </w:r>
      <w:r w:rsidR="000C292F" w:rsidRPr="00AC713D">
        <w:rPr>
          <w:rFonts w:cs="Arial"/>
        </w:rPr>
        <w:t xml:space="preserve"> hodnoty </w:t>
      </w:r>
      <w:r w:rsidR="00E959DA">
        <w:rPr>
          <w:rFonts w:cs="Arial"/>
        </w:rPr>
        <w:t>659,6</w:t>
      </w:r>
      <w:r w:rsidR="000C292F" w:rsidRPr="00AC713D">
        <w:rPr>
          <w:rFonts w:cs="Arial"/>
        </w:rPr>
        <w:t xml:space="preserve"> milionu </w:t>
      </w:r>
      <w:r w:rsidR="00C325FC" w:rsidRPr="00AC713D">
        <w:rPr>
          <w:rFonts w:cs="Arial"/>
        </w:rPr>
        <w:t>Kč</w:t>
      </w:r>
      <w:r w:rsidR="000C292F" w:rsidRPr="00AC713D">
        <w:rPr>
          <w:rFonts w:cs="Arial"/>
        </w:rPr>
        <w:t xml:space="preserve">. </w:t>
      </w:r>
      <w:r w:rsidR="003E75E8" w:rsidRPr="00AC713D">
        <w:rPr>
          <w:rFonts w:cs="Arial"/>
        </w:rPr>
        <w:t xml:space="preserve">Hlavním důvodem pro </w:t>
      </w:r>
      <w:r w:rsidR="00727D8B">
        <w:rPr>
          <w:rFonts w:cs="Arial"/>
        </w:rPr>
        <w:t xml:space="preserve">meziroční </w:t>
      </w:r>
      <w:r w:rsidR="00DD780A">
        <w:rPr>
          <w:rFonts w:cs="Arial"/>
        </w:rPr>
        <w:t>nárůst byl vyšší objem výroby a </w:t>
      </w:r>
      <w:r w:rsidR="00727D8B">
        <w:rPr>
          <w:rFonts w:cs="Arial"/>
        </w:rPr>
        <w:t>prodejů v tunách oproti 1.</w:t>
      </w:r>
      <w:r w:rsidR="00603330">
        <w:rPr>
          <w:rFonts w:cs="Arial"/>
        </w:rPr>
        <w:t> </w:t>
      </w:r>
      <w:r w:rsidR="00727D8B">
        <w:rPr>
          <w:rFonts w:cs="Arial"/>
        </w:rPr>
        <w:t xml:space="preserve">pololetí 2019 díky plnému provozu dvou nových linek v České a Jihoafrické republice. </w:t>
      </w:r>
      <w:r w:rsidR="00740B34" w:rsidRPr="00AC713D">
        <w:rPr>
          <w:rFonts w:cs="Arial"/>
        </w:rPr>
        <w:t>M</w:t>
      </w:r>
      <w:r w:rsidRPr="00AC713D">
        <w:rPr>
          <w:rFonts w:cs="Arial"/>
        </w:rPr>
        <w:t>echanismu</w:t>
      </w:r>
      <w:r w:rsidR="00740B34" w:rsidRPr="00AC713D">
        <w:rPr>
          <w:rFonts w:cs="Arial"/>
        </w:rPr>
        <w:t>s</w:t>
      </w:r>
      <w:r w:rsidRPr="00AC713D">
        <w:rPr>
          <w:rFonts w:cs="Arial"/>
        </w:rPr>
        <w:t xml:space="preserve"> přenesení cen vstupních materiálů měl </w:t>
      </w:r>
      <w:r w:rsidR="00740B34" w:rsidRPr="00AC713D">
        <w:rPr>
          <w:rFonts w:cs="Arial"/>
        </w:rPr>
        <w:t xml:space="preserve">meziročně </w:t>
      </w:r>
      <w:r w:rsidRPr="00AC713D">
        <w:rPr>
          <w:rFonts w:cs="Arial"/>
        </w:rPr>
        <w:t xml:space="preserve">rovněž </w:t>
      </w:r>
      <w:r w:rsidR="002E69E6">
        <w:rPr>
          <w:rFonts w:cs="Arial"/>
        </w:rPr>
        <w:t>pozitivní</w:t>
      </w:r>
      <w:r w:rsidR="002E69E6" w:rsidRPr="00AC713D">
        <w:rPr>
          <w:rFonts w:cs="Arial"/>
        </w:rPr>
        <w:t xml:space="preserve"> </w:t>
      </w:r>
      <w:r w:rsidRPr="00AC713D">
        <w:rPr>
          <w:rFonts w:cs="Arial"/>
        </w:rPr>
        <w:t>vliv</w:t>
      </w:r>
      <w:r w:rsidR="00740B34" w:rsidRPr="00AC713D">
        <w:rPr>
          <w:rFonts w:cs="Arial"/>
        </w:rPr>
        <w:t>.</w:t>
      </w:r>
      <w:r w:rsidRPr="00AC713D">
        <w:rPr>
          <w:rFonts w:cs="Arial"/>
        </w:rPr>
        <w:t xml:space="preserve"> </w:t>
      </w:r>
    </w:p>
    <w:p w14:paraId="7AA13BD7" w14:textId="716377D7" w:rsidR="000C292F" w:rsidRPr="00AC713D" w:rsidRDefault="000C292F" w:rsidP="000C292F">
      <w:pPr>
        <w:pStyle w:val="Normlnweb"/>
        <w:rPr>
          <w:rFonts w:cs="Arial"/>
        </w:rPr>
      </w:pPr>
      <w:r w:rsidRPr="00AC713D">
        <w:rPr>
          <w:rFonts w:cs="Arial"/>
        </w:rPr>
        <w:t>EBITDA marže dosáhla v prvním pololetí roku 20</w:t>
      </w:r>
      <w:r w:rsidR="00727D8B">
        <w:rPr>
          <w:rFonts w:cs="Arial"/>
        </w:rPr>
        <w:t>20</w:t>
      </w:r>
      <w:r w:rsidRPr="00AC713D">
        <w:rPr>
          <w:rFonts w:cs="Arial"/>
        </w:rPr>
        <w:t xml:space="preserve"> </w:t>
      </w:r>
      <w:r w:rsidR="00740B34" w:rsidRPr="00AC713D">
        <w:rPr>
          <w:rFonts w:cs="Arial"/>
        </w:rPr>
        <w:t>19</w:t>
      </w:r>
      <w:r w:rsidRPr="00AC713D">
        <w:rPr>
          <w:rFonts w:cs="Arial"/>
        </w:rPr>
        <w:t>,</w:t>
      </w:r>
      <w:r w:rsidR="00727D8B">
        <w:rPr>
          <w:rFonts w:cs="Arial"/>
        </w:rPr>
        <w:t>7</w:t>
      </w:r>
      <w:r w:rsidRPr="00AC713D">
        <w:rPr>
          <w:rFonts w:cs="Arial"/>
        </w:rPr>
        <w:t xml:space="preserve"> %. </w:t>
      </w:r>
    </w:p>
    <w:p w14:paraId="4AA2B272" w14:textId="77777777" w:rsidR="000C292F" w:rsidRPr="00AC713D" w:rsidRDefault="000C292F" w:rsidP="000C292F">
      <w:pPr>
        <w:pStyle w:val="Nadpis4"/>
        <w:rPr>
          <w:rFonts w:cs="Arial"/>
          <w:i/>
        </w:rPr>
      </w:pPr>
      <w:r w:rsidRPr="00AC713D">
        <w:rPr>
          <w:rStyle w:val="Zdraznn"/>
          <w:rFonts w:cs="Arial"/>
          <w:i w:val="0"/>
        </w:rPr>
        <w:t>Provozní náklady</w:t>
      </w:r>
    </w:p>
    <w:p w14:paraId="5EA4AAB6" w14:textId="58EC6208" w:rsidR="000C292F" w:rsidRPr="00AC713D" w:rsidRDefault="000C292F" w:rsidP="00ED611C">
      <w:pPr>
        <w:pStyle w:val="Normlnweb"/>
        <w:rPr>
          <w:rFonts w:cs="Arial"/>
        </w:rPr>
      </w:pPr>
      <w:r w:rsidRPr="00AC713D">
        <w:rPr>
          <w:rFonts w:cs="Arial"/>
        </w:rPr>
        <w:t xml:space="preserve">Celková spotřeba materiálů a ostatní spotřeba dosáhla v první polovině tohoto roku </w:t>
      </w:r>
      <w:r w:rsidR="001F7F70" w:rsidRPr="00AC713D">
        <w:rPr>
          <w:rFonts w:cs="Arial"/>
        </w:rPr>
        <w:t>2</w:t>
      </w:r>
      <w:r w:rsidR="00B041F9">
        <w:rPr>
          <w:rFonts w:cs="Arial"/>
        </w:rPr>
        <w:t> </w:t>
      </w:r>
      <w:r w:rsidR="00727D8B">
        <w:rPr>
          <w:rFonts w:cs="Arial"/>
        </w:rPr>
        <w:t>474,7</w:t>
      </w:r>
      <w:r w:rsidRPr="00AC713D">
        <w:rPr>
          <w:rFonts w:cs="Arial"/>
        </w:rPr>
        <w:t xml:space="preserve"> milionu </w:t>
      </w:r>
      <w:r w:rsidR="001F7F70" w:rsidRPr="00AC713D">
        <w:rPr>
          <w:rFonts w:cs="Arial"/>
        </w:rPr>
        <w:t>Kč</w:t>
      </w:r>
      <w:r w:rsidRPr="00AC713D">
        <w:rPr>
          <w:rFonts w:cs="Arial"/>
        </w:rPr>
        <w:t xml:space="preserve">, tj. meziročně o </w:t>
      </w:r>
      <w:r w:rsidR="00727D8B">
        <w:rPr>
          <w:rFonts w:cs="Arial"/>
        </w:rPr>
        <w:t>5,6</w:t>
      </w:r>
      <w:r w:rsidRPr="00AC713D">
        <w:rPr>
          <w:rFonts w:cs="Arial"/>
        </w:rPr>
        <w:t xml:space="preserve"> % </w:t>
      </w:r>
      <w:r w:rsidR="006E2ACC" w:rsidRPr="00AC713D">
        <w:rPr>
          <w:rFonts w:cs="Arial"/>
        </w:rPr>
        <w:t>více</w:t>
      </w:r>
      <w:r w:rsidRPr="00AC713D">
        <w:rPr>
          <w:rFonts w:cs="Arial"/>
        </w:rPr>
        <w:t>.</w:t>
      </w:r>
    </w:p>
    <w:p w14:paraId="6E35F19D" w14:textId="02919D59" w:rsidR="000C292F" w:rsidRPr="00AC713D" w:rsidRDefault="000C292F" w:rsidP="000C292F">
      <w:pPr>
        <w:pStyle w:val="Normlnweb"/>
        <w:rPr>
          <w:rFonts w:cs="Arial"/>
        </w:rPr>
      </w:pPr>
      <w:r w:rsidRPr="00AC713D">
        <w:rPr>
          <w:rFonts w:cs="Arial"/>
        </w:rPr>
        <w:t xml:space="preserve">Celkové osobní náklady dosáhly v prvním pololetí </w:t>
      </w:r>
      <w:r w:rsidR="00727D8B" w:rsidRPr="00AC713D">
        <w:rPr>
          <w:rFonts w:cs="Arial"/>
        </w:rPr>
        <w:t>20</w:t>
      </w:r>
      <w:r w:rsidR="00727D8B">
        <w:rPr>
          <w:rFonts w:cs="Arial"/>
        </w:rPr>
        <w:t>20</w:t>
      </w:r>
      <w:r w:rsidR="00727D8B" w:rsidRPr="00AC713D">
        <w:rPr>
          <w:rFonts w:cs="Arial"/>
        </w:rPr>
        <w:t xml:space="preserve"> </w:t>
      </w:r>
      <w:r w:rsidR="00727D8B">
        <w:rPr>
          <w:rFonts w:cs="Arial"/>
        </w:rPr>
        <w:t>194,1</w:t>
      </w:r>
      <w:r w:rsidRPr="00AC713D">
        <w:rPr>
          <w:rFonts w:cs="Arial"/>
        </w:rPr>
        <w:t xml:space="preserve"> milionu </w:t>
      </w:r>
      <w:r w:rsidR="001F7F70" w:rsidRPr="00AC713D">
        <w:rPr>
          <w:rFonts w:cs="Arial"/>
        </w:rPr>
        <w:t>Kč</w:t>
      </w:r>
      <w:r w:rsidRPr="00AC713D">
        <w:rPr>
          <w:rFonts w:cs="Arial"/>
        </w:rPr>
        <w:t xml:space="preserve">, tj. meziročně o </w:t>
      </w:r>
      <w:r w:rsidR="00727D8B">
        <w:rPr>
          <w:rFonts w:cs="Arial"/>
        </w:rPr>
        <w:t>5,6</w:t>
      </w:r>
      <w:r w:rsidRPr="00AC713D">
        <w:rPr>
          <w:rFonts w:cs="Arial"/>
        </w:rPr>
        <w:t xml:space="preserve"> % </w:t>
      </w:r>
      <w:r w:rsidR="006E2ACC" w:rsidRPr="00AC713D">
        <w:rPr>
          <w:rFonts w:cs="Arial"/>
        </w:rPr>
        <w:t>více</w:t>
      </w:r>
      <w:r w:rsidRPr="00AC713D">
        <w:rPr>
          <w:rFonts w:cs="Arial"/>
        </w:rPr>
        <w:t xml:space="preserve">. </w:t>
      </w:r>
      <w:r w:rsidR="00727D8B">
        <w:rPr>
          <w:rFonts w:cs="Arial"/>
        </w:rPr>
        <w:t xml:space="preserve">Přecenění opčního akciového plánu nemělo vliv na celkové osobní náklady. </w:t>
      </w:r>
      <w:r w:rsidR="006E2ACC" w:rsidRPr="00AC713D">
        <w:rPr>
          <w:rFonts w:cs="Arial"/>
        </w:rPr>
        <w:t xml:space="preserve">Důvodem pro nárůst osobních nákladů byl zejména růst počtu zaměstnanců v souvislosti se zprovozněním nových linek v závodě v Jihoafrické republice a ve Znojmě. </w:t>
      </w:r>
    </w:p>
    <w:p w14:paraId="26830AA6" w14:textId="2A87CA8B" w:rsidR="000C292F" w:rsidRPr="00AC713D" w:rsidRDefault="000C292F" w:rsidP="000C292F">
      <w:pPr>
        <w:pStyle w:val="Normlnweb"/>
        <w:rPr>
          <w:rFonts w:cs="Arial"/>
        </w:rPr>
      </w:pPr>
      <w:r w:rsidRPr="00AC713D">
        <w:rPr>
          <w:rFonts w:cs="Arial"/>
        </w:rPr>
        <w:t xml:space="preserve">Ostatní provozní náklady (netto) dosáhly v první polovině tohoto roku </w:t>
      </w:r>
      <w:r w:rsidR="00C94E56">
        <w:rPr>
          <w:rFonts w:cs="Arial"/>
        </w:rPr>
        <w:t>19,0</w:t>
      </w:r>
      <w:r w:rsidRPr="00AC713D">
        <w:rPr>
          <w:rFonts w:cs="Arial"/>
        </w:rPr>
        <w:t xml:space="preserve"> milionu </w:t>
      </w:r>
      <w:r w:rsidR="00F22097" w:rsidRPr="00AC713D">
        <w:rPr>
          <w:rFonts w:cs="Arial"/>
        </w:rPr>
        <w:t>Kč</w:t>
      </w:r>
      <w:r w:rsidR="001C4DEC" w:rsidRPr="00AC713D">
        <w:rPr>
          <w:rFonts w:cs="Arial"/>
        </w:rPr>
        <w:t>.</w:t>
      </w:r>
    </w:p>
    <w:p w14:paraId="0C3C4A77" w14:textId="68D73FB8" w:rsidR="000C292F" w:rsidRPr="00AC713D" w:rsidRDefault="000C292F" w:rsidP="006C61A8">
      <w:pPr>
        <w:pStyle w:val="Nadpis4"/>
        <w:rPr>
          <w:rFonts w:cs="Arial"/>
          <w:b w:val="0"/>
        </w:rPr>
      </w:pPr>
      <w:r w:rsidRPr="00AC713D">
        <w:rPr>
          <w:rStyle w:val="Siln"/>
          <w:rFonts w:cs="Arial"/>
          <w:b/>
        </w:rPr>
        <w:t>Odpisy</w:t>
      </w:r>
    </w:p>
    <w:p w14:paraId="000167A3" w14:textId="6C5CB6F7" w:rsidR="000C292F" w:rsidRPr="00AC713D" w:rsidRDefault="000C292F" w:rsidP="001C4DEC">
      <w:pPr>
        <w:pStyle w:val="Normlnweb"/>
        <w:rPr>
          <w:rFonts w:cs="Arial"/>
        </w:rPr>
      </w:pPr>
      <w:r w:rsidRPr="00AC713D">
        <w:rPr>
          <w:rFonts w:cs="Arial"/>
        </w:rPr>
        <w:lastRenderedPageBreak/>
        <w:t xml:space="preserve">Konsolidované odpisy činily v první polovině roku </w:t>
      </w:r>
      <w:r w:rsidR="00C94E56" w:rsidRPr="00AC713D">
        <w:rPr>
          <w:rFonts w:cs="Arial"/>
        </w:rPr>
        <w:t>20</w:t>
      </w:r>
      <w:r w:rsidR="00C94E56">
        <w:rPr>
          <w:rFonts w:cs="Arial"/>
        </w:rPr>
        <w:t>20</w:t>
      </w:r>
      <w:r w:rsidR="00C94E56" w:rsidRPr="00AC713D">
        <w:rPr>
          <w:rFonts w:cs="Arial"/>
        </w:rPr>
        <w:t xml:space="preserve"> </w:t>
      </w:r>
      <w:r w:rsidR="00F22097" w:rsidRPr="00AC713D">
        <w:rPr>
          <w:rFonts w:cs="Arial"/>
        </w:rPr>
        <w:t>2</w:t>
      </w:r>
      <w:r w:rsidR="002E69E6">
        <w:rPr>
          <w:rFonts w:cs="Arial"/>
        </w:rPr>
        <w:t>9</w:t>
      </w:r>
      <w:r w:rsidR="001C4DEC" w:rsidRPr="00AC713D">
        <w:rPr>
          <w:rFonts w:cs="Arial"/>
        </w:rPr>
        <w:t>2</w:t>
      </w:r>
      <w:r w:rsidRPr="00AC713D">
        <w:rPr>
          <w:rFonts w:cs="Arial"/>
        </w:rPr>
        <w:t>,</w:t>
      </w:r>
      <w:r w:rsidR="00C94E56">
        <w:rPr>
          <w:rFonts w:cs="Arial"/>
        </w:rPr>
        <w:t>3</w:t>
      </w:r>
      <w:r w:rsidR="00C94E56" w:rsidRPr="00AC713D">
        <w:rPr>
          <w:rFonts w:cs="Arial"/>
        </w:rPr>
        <w:t xml:space="preserve"> </w:t>
      </w:r>
      <w:r w:rsidRPr="00AC713D">
        <w:rPr>
          <w:rFonts w:cs="Arial"/>
        </w:rPr>
        <w:t xml:space="preserve">milionu </w:t>
      </w:r>
      <w:r w:rsidR="00F22097" w:rsidRPr="00AC713D">
        <w:rPr>
          <w:rFonts w:cs="Arial"/>
        </w:rPr>
        <w:t>Kč</w:t>
      </w:r>
      <w:r w:rsidRPr="00AC713D">
        <w:rPr>
          <w:rFonts w:cs="Arial"/>
        </w:rPr>
        <w:t xml:space="preserve">, meziročně o </w:t>
      </w:r>
      <w:r w:rsidR="00C94E56">
        <w:rPr>
          <w:rFonts w:cs="Arial"/>
        </w:rPr>
        <w:t>15,7</w:t>
      </w:r>
      <w:r w:rsidRPr="00AC713D">
        <w:rPr>
          <w:rFonts w:cs="Arial"/>
        </w:rPr>
        <w:t> % více</w:t>
      </w:r>
      <w:r w:rsidR="006C6249" w:rsidRPr="00AC713D">
        <w:rPr>
          <w:rFonts w:cs="Arial"/>
        </w:rPr>
        <w:t xml:space="preserve">. Důvodem pro meziroční růst odpisů bylo částečně </w:t>
      </w:r>
      <w:r w:rsidR="001C4DEC" w:rsidRPr="00AC713D">
        <w:rPr>
          <w:rFonts w:cs="Arial"/>
        </w:rPr>
        <w:t>posílení USD vůči Kč, což mělo za následek zvýšení odpisů Egyptského výrobního závodu vyjádřených v</w:t>
      </w:r>
      <w:r w:rsidR="006C6249" w:rsidRPr="00AC713D">
        <w:rPr>
          <w:rFonts w:cs="Arial"/>
        </w:rPr>
        <w:t> </w:t>
      </w:r>
      <w:r w:rsidR="001C4DEC" w:rsidRPr="00AC713D">
        <w:rPr>
          <w:rFonts w:cs="Arial"/>
        </w:rPr>
        <w:t>Kč</w:t>
      </w:r>
      <w:r w:rsidR="006C6249" w:rsidRPr="00AC713D">
        <w:rPr>
          <w:rFonts w:cs="Arial"/>
        </w:rPr>
        <w:t xml:space="preserve"> a dále zařazení </w:t>
      </w:r>
      <w:r w:rsidR="004572E8" w:rsidRPr="00AC713D">
        <w:rPr>
          <w:rFonts w:cs="Arial"/>
        </w:rPr>
        <w:t>investice do závodu v JAR na konci 1. pololetí</w:t>
      </w:r>
      <w:r w:rsidR="002E69E6">
        <w:rPr>
          <w:rFonts w:cs="Arial"/>
        </w:rPr>
        <w:t xml:space="preserve"> 2019 a</w:t>
      </w:r>
      <w:r w:rsidR="00603330">
        <w:rPr>
          <w:rFonts w:cs="Arial"/>
        </w:rPr>
        <w:t> </w:t>
      </w:r>
      <w:r w:rsidR="002E69E6">
        <w:rPr>
          <w:rFonts w:cs="Arial"/>
        </w:rPr>
        <w:t>ve</w:t>
      </w:r>
      <w:r w:rsidR="00603330">
        <w:rPr>
          <w:rFonts w:cs="Arial"/>
        </w:rPr>
        <w:t> </w:t>
      </w:r>
      <w:r w:rsidR="00C94E56">
        <w:rPr>
          <w:rFonts w:cs="Arial"/>
        </w:rPr>
        <w:t>Znojmě-Příměticích v druhém pololetí 2019.</w:t>
      </w:r>
      <w:r w:rsidRPr="00AC713D">
        <w:rPr>
          <w:rFonts w:cs="Arial"/>
        </w:rPr>
        <w:t xml:space="preserve"> </w:t>
      </w:r>
    </w:p>
    <w:p w14:paraId="50F198BA" w14:textId="77777777" w:rsidR="000C292F" w:rsidRPr="00AC713D" w:rsidRDefault="000C292F" w:rsidP="000C292F">
      <w:pPr>
        <w:pStyle w:val="Nadpis4"/>
        <w:rPr>
          <w:rFonts w:cs="Arial"/>
          <w:b w:val="0"/>
        </w:rPr>
      </w:pPr>
      <w:r w:rsidRPr="00AC713D">
        <w:rPr>
          <w:rStyle w:val="Siln"/>
          <w:rFonts w:cs="Arial"/>
          <w:b/>
        </w:rPr>
        <w:t>Provozní výsledek</w:t>
      </w:r>
    </w:p>
    <w:p w14:paraId="5F7D0078" w14:textId="4BF97B2A" w:rsidR="000C292F" w:rsidRPr="00AC713D" w:rsidRDefault="000C292F" w:rsidP="000C292F">
      <w:pPr>
        <w:pStyle w:val="Normlnweb"/>
        <w:rPr>
          <w:rFonts w:cs="Arial"/>
        </w:rPr>
      </w:pPr>
      <w:r w:rsidRPr="00AC713D">
        <w:rPr>
          <w:rFonts w:cs="Arial"/>
        </w:rPr>
        <w:t xml:space="preserve">V první polovině roku </w:t>
      </w:r>
      <w:r w:rsidR="00C94E56" w:rsidRPr="00AC713D">
        <w:rPr>
          <w:rFonts w:cs="Arial"/>
        </w:rPr>
        <w:t>20</w:t>
      </w:r>
      <w:r w:rsidR="00C94E56">
        <w:rPr>
          <w:rFonts w:cs="Arial"/>
        </w:rPr>
        <w:t xml:space="preserve">20 </w:t>
      </w:r>
      <w:r w:rsidRPr="00AC713D">
        <w:rPr>
          <w:rFonts w:cs="Arial"/>
        </w:rPr>
        <w:t xml:space="preserve">činil provozní výsledek hospodaření (EBIT) </w:t>
      </w:r>
      <w:r w:rsidR="00C94E56">
        <w:rPr>
          <w:rFonts w:cs="Arial"/>
        </w:rPr>
        <w:t>367,3</w:t>
      </w:r>
      <w:r w:rsidRPr="00AC713D">
        <w:rPr>
          <w:rFonts w:cs="Arial"/>
        </w:rPr>
        <w:t xml:space="preserve"> milionu </w:t>
      </w:r>
      <w:r w:rsidR="00F22097" w:rsidRPr="00AC713D">
        <w:rPr>
          <w:rFonts w:cs="Arial"/>
        </w:rPr>
        <w:t>Kč</w:t>
      </w:r>
      <w:r w:rsidRPr="00AC713D">
        <w:rPr>
          <w:rFonts w:cs="Arial"/>
        </w:rPr>
        <w:t xml:space="preserve">. </w:t>
      </w:r>
    </w:p>
    <w:p w14:paraId="7D90792D" w14:textId="77777777" w:rsidR="000C292F" w:rsidRPr="00AC713D" w:rsidRDefault="000C292F" w:rsidP="000C292F">
      <w:pPr>
        <w:pStyle w:val="Nadpis4"/>
        <w:rPr>
          <w:rStyle w:val="Siln"/>
          <w:rFonts w:cs="Arial"/>
          <w:b/>
          <w:bCs w:val="0"/>
        </w:rPr>
      </w:pPr>
      <w:r w:rsidRPr="00AC713D">
        <w:rPr>
          <w:rStyle w:val="Siln"/>
          <w:rFonts w:cs="Arial"/>
          <w:b/>
        </w:rPr>
        <w:t>Finanční výnosy a náklady</w:t>
      </w:r>
    </w:p>
    <w:p w14:paraId="08FD4F2A" w14:textId="46FF0600" w:rsidR="0019138F" w:rsidRPr="00AC713D" w:rsidRDefault="000C292F" w:rsidP="000C292F">
      <w:pPr>
        <w:pStyle w:val="Normlnweb"/>
        <w:rPr>
          <w:rFonts w:cs="Arial"/>
        </w:rPr>
      </w:pPr>
      <w:r w:rsidRPr="00AC713D">
        <w:rPr>
          <w:rFonts w:cs="Arial"/>
        </w:rPr>
        <w:t>V první polovině roku 201</w:t>
      </w:r>
      <w:r w:rsidR="00D5678B" w:rsidRPr="00AC713D">
        <w:rPr>
          <w:rFonts w:cs="Arial"/>
        </w:rPr>
        <w:t>9</w:t>
      </w:r>
      <w:r w:rsidRPr="00AC713D">
        <w:rPr>
          <w:rFonts w:cs="Arial"/>
        </w:rPr>
        <w:t xml:space="preserve"> dosáhly kurzové zisky a ostatní finanční výnosy/náklady (netto) </w:t>
      </w:r>
      <w:r w:rsidR="002E69E6">
        <w:rPr>
          <w:rFonts w:cs="Arial"/>
        </w:rPr>
        <w:t>náklad</w:t>
      </w:r>
      <w:r w:rsidR="002E69E6" w:rsidRPr="00AC713D">
        <w:rPr>
          <w:rFonts w:cs="Arial"/>
        </w:rPr>
        <w:t xml:space="preserve"> </w:t>
      </w:r>
      <w:r w:rsidR="002E69E6">
        <w:rPr>
          <w:rFonts w:cs="Arial"/>
        </w:rPr>
        <w:t>242,3</w:t>
      </w:r>
      <w:r w:rsidRPr="00AC713D">
        <w:rPr>
          <w:rFonts w:cs="Arial"/>
        </w:rPr>
        <w:t xml:space="preserve"> milionu </w:t>
      </w:r>
      <w:r w:rsidR="00F22097" w:rsidRPr="00AC713D">
        <w:rPr>
          <w:rFonts w:cs="Arial"/>
        </w:rPr>
        <w:t>Kč</w:t>
      </w:r>
      <w:r w:rsidRPr="00AC713D">
        <w:rPr>
          <w:rFonts w:cs="Arial"/>
        </w:rPr>
        <w:t>, v porovnání s </w:t>
      </w:r>
      <w:r w:rsidR="002E69E6">
        <w:rPr>
          <w:rFonts w:cs="Arial"/>
        </w:rPr>
        <w:t>výnosem</w:t>
      </w:r>
      <w:r w:rsidR="002E69E6" w:rsidRPr="00AC713D">
        <w:rPr>
          <w:rFonts w:cs="Arial"/>
        </w:rPr>
        <w:t xml:space="preserve"> </w:t>
      </w:r>
      <w:r w:rsidR="002E69E6">
        <w:rPr>
          <w:rFonts w:cs="Arial"/>
        </w:rPr>
        <w:t>22,4</w:t>
      </w:r>
      <w:r w:rsidRPr="00AC713D">
        <w:rPr>
          <w:rFonts w:cs="Arial"/>
        </w:rPr>
        <w:t xml:space="preserve"> milionu </w:t>
      </w:r>
      <w:r w:rsidR="00F22097" w:rsidRPr="00AC713D">
        <w:rPr>
          <w:rFonts w:cs="Arial"/>
        </w:rPr>
        <w:t xml:space="preserve">Kč </w:t>
      </w:r>
      <w:r w:rsidRPr="00AC713D">
        <w:rPr>
          <w:rFonts w:cs="Arial"/>
        </w:rPr>
        <w:t>dosaženým ve stejném období loňského roku. Tato položka představuje realizované a</w:t>
      </w:r>
      <w:r w:rsidR="006951E8">
        <w:rPr>
          <w:rFonts w:cs="Arial"/>
        </w:rPr>
        <w:t> </w:t>
      </w:r>
      <w:r w:rsidRPr="00AC713D">
        <w:rPr>
          <w:rFonts w:cs="Arial"/>
        </w:rPr>
        <w:t xml:space="preserve">nerealizované kurzové zisky/ztráty a ostatní finanční výnosy a náklady. </w:t>
      </w:r>
    </w:p>
    <w:p w14:paraId="2A85B31A" w14:textId="7037F877" w:rsidR="000C292F" w:rsidRPr="00AC713D" w:rsidRDefault="002E69E6" w:rsidP="000C292F">
      <w:pPr>
        <w:pStyle w:val="Normlnweb"/>
        <w:rPr>
          <w:rFonts w:cs="Arial"/>
        </w:rPr>
      </w:pPr>
      <w:r>
        <w:rPr>
          <w:rFonts w:cs="Arial"/>
        </w:rPr>
        <w:t>Náklad za první pololetí byl zejména způsoben výrazným oslabením české koruny vůči EUR přibližně o 3 % a vůči USD o 5 %</w:t>
      </w:r>
      <w:r w:rsidR="00A446EF" w:rsidRPr="00AC713D">
        <w:rPr>
          <w:rFonts w:cs="Arial"/>
        </w:rPr>
        <w:t xml:space="preserve">, což vedlo k nerealizovaným kurzovým </w:t>
      </w:r>
      <w:r w:rsidR="00A446EF">
        <w:rPr>
          <w:rFonts w:cs="Arial"/>
        </w:rPr>
        <w:t>ztrátám</w:t>
      </w:r>
      <w:r w:rsidR="00A446EF" w:rsidRPr="00AC713D">
        <w:rPr>
          <w:rFonts w:cs="Arial"/>
        </w:rPr>
        <w:t xml:space="preserve"> souvisejícím s přeceněním rozvahových</w:t>
      </w:r>
      <w:r w:rsidR="00A446EF">
        <w:rPr>
          <w:rFonts w:cs="Arial"/>
        </w:rPr>
        <w:t xml:space="preserve"> položek denominovaných v EUR a </w:t>
      </w:r>
      <w:r w:rsidR="00A446EF" w:rsidRPr="00AC713D">
        <w:rPr>
          <w:rFonts w:cs="Arial"/>
        </w:rPr>
        <w:t>to zejména ve vztahu k vnitropodnikové půjčce dceřiné společnosti v</w:t>
      </w:r>
      <w:r w:rsidR="00A446EF">
        <w:rPr>
          <w:rFonts w:cs="Arial"/>
        </w:rPr>
        <w:t> </w:t>
      </w:r>
      <w:r w:rsidR="00A446EF" w:rsidRPr="00AC713D">
        <w:rPr>
          <w:rFonts w:cs="Arial"/>
        </w:rPr>
        <w:t>Egyptě</w:t>
      </w:r>
      <w:r w:rsidR="00A446EF">
        <w:rPr>
          <w:rFonts w:cs="Arial"/>
        </w:rPr>
        <w:t xml:space="preserve">, </w:t>
      </w:r>
      <w:r w:rsidR="00A446EF" w:rsidRPr="00AC713D">
        <w:rPr>
          <w:rFonts w:cs="Arial"/>
        </w:rPr>
        <w:t>resp. u dluhopisů vydaných v EUR</w:t>
      </w:r>
      <w:r w:rsidR="00A446EF">
        <w:rPr>
          <w:rFonts w:cs="Arial"/>
        </w:rPr>
        <w:t xml:space="preserve">. K dalším </w:t>
      </w:r>
      <w:r w:rsidR="00A446EF" w:rsidRPr="00AC713D">
        <w:rPr>
          <w:rFonts w:cs="Arial"/>
        </w:rPr>
        <w:t xml:space="preserve">nerealizovaným kurzovým </w:t>
      </w:r>
      <w:r w:rsidR="00A446EF">
        <w:rPr>
          <w:rFonts w:cs="Arial"/>
        </w:rPr>
        <w:t>ztrátám došlo v důsledku oslabení EUR vůči ZAR, což ovlivnilo vnitropodnikovou půjčku dceřiné společnosti v Jihoafrické republice denominované rovněž v EUR.</w:t>
      </w:r>
      <w:r w:rsidR="009C76C5">
        <w:rPr>
          <w:rFonts w:cs="Arial"/>
        </w:rPr>
        <w:t xml:space="preserve"> Nicméně tyto nerealizované kurzové ztráty nemají vliv na peněžní toky Skupiny.</w:t>
      </w:r>
    </w:p>
    <w:p w14:paraId="6634BABE" w14:textId="42CA339F" w:rsidR="000C292F" w:rsidRPr="00AC713D" w:rsidRDefault="000C292F" w:rsidP="00B30891">
      <w:pPr>
        <w:pStyle w:val="Normlnweb"/>
        <w:rPr>
          <w:rFonts w:cs="Arial"/>
        </w:rPr>
      </w:pPr>
      <w:r w:rsidRPr="00AC713D">
        <w:rPr>
          <w:rFonts w:cs="Arial"/>
        </w:rPr>
        <w:t xml:space="preserve">Úrokové náklady (netto) spojené s obsluhou dluhu činily v první polovině tohoto roku </w:t>
      </w:r>
      <w:r w:rsidR="00A446EF">
        <w:rPr>
          <w:rFonts w:cs="Arial"/>
        </w:rPr>
        <w:t>61,1</w:t>
      </w:r>
      <w:r w:rsidRPr="00AC713D">
        <w:rPr>
          <w:rFonts w:cs="Arial"/>
        </w:rPr>
        <w:t xml:space="preserve"> milionu </w:t>
      </w:r>
      <w:r w:rsidR="00F22097" w:rsidRPr="00AC713D">
        <w:rPr>
          <w:rFonts w:cs="Arial"/>
        </w:rPr>
        <w:t>Kč</w:t>
      </w:r>
      <w:r w:rsidRPr="00AC713D">
        <w:rPr>
          <w:rFonts w:cs="Arial"/>
        </w:rPr>
        <w:t xml:space="preserve">, tj. o </w:t>
      </w:r>
      <w:r w:rsidR="00A446EF">
        <w:rPr>
          <w:rFonts w:cs="Arial"/>
        </w:rPr>
        <w:t>10,5</w:t>
      </w:r>
      <w:r w:rsidR="00A94CA4">
        <w:rPr>
          <w:rFonts w:cs="Arial"/>
        </w:rPr>
        <w:t xml:space="preserve"> </w:t>
      </w:r>
      <w:r w:rsidRPr="00AC713D">
        <w:rPr>
          <w:rFonts w:cs="Arial"/>
        </w:rPr>
        <w:t xml:space="preserve">% </w:t>
      </w:r>
      <w:r w:rsidR="00A446EF">
        <w:rPr>
          <w:rFonts w:cs="Arial"/>
        </w:rPr>
        <w:t>více</w:t>
      </w:r>
      <w:r w:rsidR="00A446EF" w:rsidRPr="00AC713D">
        <w:rPr>
          <w:rFonts w:cs="Arial"/>
        </w:rPr>
        <w:t xml:space="preserve"> </w:t>
      </w:r>
      <w:r w:rsidRPr="00AC713D">
        <w:rPr>
          <w:rFonts w:cs="Arial"/>
        </w:rPr>
        <w:t>ve srovn</w:t>
      </w:r>
      <w:r w:rsidR="00F22097" w:rsidRPr="00AC713D">
        <w:rPr>
          <w:rFonts w:cs="Arial"/>
        </w:rPr>
        <w:t>ání se stejným obdobím roku 201</w:t>
      </w:r>
      <w:r w:rsidR="00A446EF">
        <w:rPr>
          <w:rFonts w:cs="Arial"/>
        </w:rPr>
        <w:t>9</w:t>
      </w:r>
      <w:r w:rsidRPr="00AC713D">
        <w:rPr>
          <w:rFonts w:cs="Arial"/>
        </w:rPr>
        <w:t xml:space="preserve">. </w:t>
      </w:r>
      <w:r w:rsidR="00B30891" w:rsidRPr="00AC713D">
        <w:rPr>
          <w:rFonts w:cs="Arial"/>
        </w:rPr>
        <w:t xml:space="preserve">Důvodem pro </w:t>
      </w:r>
      <w:r w:rsidR="00A446EF">
        <w:rPr>
          <w:rFonts w:cs="Arial"/>
        </w:rPr>
        <w:t>růst</w:t>
      </w:r>
      <w:r w:rsidR="00A446EF" w:rsidRPr="00AC713D">
        <w:rPr>
          <w:rFonts w:cs="Arial"/>
        </w:rPr>
        <w:t xml:space="preserve"> </w:t>
      </w:r>
      <w:r w:rsidR="00B30891" w:rsidRPr="00AC713D">
        <w:rPr>
          <w:rFonts w:cs="Arial"/>
        </w:rPr>
        <w:t xml:space="preserve">úrokových nákladů bylo </w:t>
      </w:r>
      <w:r w:rsidR="00A446EF">
        <w:rPr>
          <w:rFonts w:cs="Arial"/>
        </w:rPr>
        <w:t>oslabení české koruny vůči EUR, což mělo za následek růst úrokových nákladů vnitropodnikových půjček a dluhopisů denominovaných v EUR.</w:t>
      </w:r>
    </w:p>
    <w:p w14:paraId="0FED041C" w14:textId="77777777" w:rsidR="000C292F" w:rsidRPr="00AC713D" w:rsidRDefault="000C292F" w:rsidP="000C292F">
      <w:pPr>
        <w:pStyle w:val="Nadpis4"/>
        <w:rPr>
          <w:rFonts w:cs="Arial"/>
        </w:rPr>
      </w:pPr>
      <w:r w:rsidRPr="00AC713D">
        <w:rPr>
          <w:rFonts w:cs="Arial"/>
        </w:rPr>
        <w:t>Daň z příjmů</w:t>
      </w:r>
    </w:p>
    <w:p w14:paraId="6E60E3CC" w14:textId="7C6B20B0" w:rsidR="000C292F" w:rsidRPr="00AC713D" w:rsidRDefault="000C292F" w:rsidP="000C292F">
      <w:pPr>
        <w:pStyle w:val="Normlnweb"/>
        <w:rPr>
          <w:rFonts w:cs="Arial"/>
        </w:rPr>
      </w:pPr>
      <w:r w:rsidRPr="00AC713D">
        <w:rPr>
          <w:rFonts w:cs="Arial"/>
        </w:rPr>
        <w:t>V první polovině roku 20</w:t>
      </w:r>
      <w:r w:rsidR="00725FEC">
        <w:rPr>
          <w:rFonts w:cs="Arial"/>
        </w:rPr>
        <w:t>20</w:t>
      </w:r>
      <w:r w:rsidRPr="00AC713D">
        <w:rPr>
          <w:rFonts w:cs="Arial"/>
        </w:rPr>
        <w:t xml:space="preserve"> činila daň z příjmů </w:t>
      </w:r>
      <w:r w:rsidR="00725FEC">
        <w:rPr>
          <w:rFonts w:cs="Arial"/>
        </w:rPr>
        <w:t>54,6</w:t>
      </w:r>
      <w:r w:rsidR="00D625E5">
        <w:rPr>
          <w:rFonts w:cs="Arial"/>
        </w:rPr>
        <w:t xml:space="preserve"> </w:t>
      </w:r>
      <w:r w:rsidRPr="00AC713D">
        <w:rPr>
          <w:rFonts w:cs="Arial"/>
        </w:rPr>
        <w:t xml:space="preserve">milionu </w:t>
      </w:r>
      <w:r w:rsidR="007903EC" w:rsidRPr="00AC713D">
        <w:rPr>
          <w:rFonts w:cs="Arial"/>
        </w:rPr>
        <w:t>Kč</w:t>
      </w:r>
      <w:r w:rsidRPr="00AC713D">
        <w:rPr>
          <w:rFonts w:cs="Arial"/>
        </w:rPr>
        <w:t xml:space="preserve">, o </w:t>
      </w:r>
      <w:r w:rsidR="00725FEC">
        <w:rPr>
          <w:rFonts w:cs="Arial"/>
        </w:rPr>
        <w:t>25,7</w:t>
      </w:r>
      <w:r w:rsidRPr="00AC713D">
        <w:rPr>
          <w:rFonts w:cs="Arial"/>
        </w:rPr>
        <w:t xml:space="preserve"> % </w:t>
      </w:r>
      <w:r w:rsidR="00725FEC">
        <w:rPr>
          <w:rFonts w:cs="Arial"/>
        </w:rPr>
        <w:t>méně</w:t>
      </w:r>
      <w:r w:rsidR="00725FEC" w:rsidRPr="00AC713D">
        <w:rPr>
          <w:rFonts w:cs="Arial"/>
        </w:rPr>
        <w:t xml:space="preserve"> </w:t>
      </w:r>
      <w:r w:rsidRPr="00AC713D">
        <w:rPr>
          <w:rFonts w:cs="Arial"/>
        </w:rPr>
        <w:t>než ve</w:t>
      </w:r>
      <w:r w:rsidR="00603330">
        <w:rPr>
          <w:rFonts w:cs="Arial"/>
        </w:rPr>
        <w:t> </w:t>
      </w:r>
      <w:r w:rsidRPr="00AC713D">
        <w:rPr>
          <w:rFonts w:cs="Arial"/>
        </w:rPr>
        <w:t>stejném období roku 201</w:t>
      </w:r>
      <w:r w:rsidR="00725FEC">
        <w:rPr>
          <w:rFonts w:cs="Arial"/>
        </w:rPr>
        <w:t>9</w:t>
      </w:r>
      <w:r w:rsidRPr="00AC713D">
        <w:rPr>
          <w:rFonts w:cs="Arial"/>
        </w:rPr>
        <w:t xml:space="preserve">. Splatná daň dosáhla výše </w:t>
      </w:r>
      <w:r w:rsidR="00B87815">
        <w:rPr>
          <w:rFonts w:cs="Arial"/>
        </w:rPr>
        <w:t>5</w:t>
      </w:r>
      <w:r w:rsidR="00B72821" w:rsidRPr="00AC713D">
        <w:rPr>
          <w:rFonts w:cs="Arial"/>
        </w:rPr>
        <w:t>6</w:t>
      </w:r>
      <w:r w:rsidRPr="00AC713D">
        <w:rPr>
          <w:rFonts w:cs="Arial"/>
        </w:rPr>
        <w:t>,</w:t>
      </w:r>
      <w:r w:rsidR="00B87815">
        <w:rPr>
          <w:rFonts w:cs="Arial"/>
        </w:rPr>
        <w:t>1</w:t>
      </w:r>
      <w:r w:rsidRPr="00AC713D">
        <w:rPr>
          <w:rFonts w:cs="Arial"/>
        </w:rPr>
        <w:t xml:space="preserve"> milionu </w:t>
      </w:r>
      <w:r w:rsidR="009602F7" w:rsidRPr="00AC713D">
        <w:rPr>
          <w:rFonts w:cs="Arial"/>
        </w:rPr>
        <w:t>Kč</w:t>
      </w:r>
      <w:r w:rsidRPr="00AC713D">
        <w:rPr>
          <w:rFonts w:cs="Arial"/>
        </w:rPr>
        <w:t>, změna v</w:t>
      </w:r>
      <w:r w:rsidR="006951E8">
        <w:rPr>
          <w:rFonts w:cs="Arial"/>
        </w:rPr>
        <w:t> </w:t>
      </w:r>
      <w:r w:rsidRPr="00AC713D">
        <w:rPr>
          <w:rFonts w:cs="Arial"/>
        </w:rPr>
        <w:t xml:space="preserve">odložené dani představovala výnos </w:t>
      </w:r>
      <w:r w:rsidR="00B87815">
        <w:rPr>
          <w:rFonts w:cs="Arial"/>
        </w:rPr>
        <w:t>1,5</w:t>
      </w:r>
      <w:r w:rsidRPr="00AC713D">
        <w:rPr>
          <w:rFonts w:cs="Arial"/>
        </w:rPr>
        <w:t xml:space="preserve"> milionu </w:t>
      </w:r>
      <w:r w:rsidR="009602F7" w:rsidRPr="00AC713D">
        <w:rPr>
          <w:rFonts w:cs="Arial"/>
        </w:rPr>
        <w:t>Kč</w:t>
      </w:r>
      <w:r w:rsidRPr="00AC713D">
        <w:rPr>
          <w:rFonts w:cs="Arial"/>
        </w:rPr>
        <w:t xml:space="preserve">. </w:t>
      </w:r>
    </w:p>
    <w:p w14:paraId="16100079" w14:textId="5A9E32CC" w:rsidR="000C292F" w:rsidRPr="00AC713D" w:rsidRDefault="000C292F" w:rsidP="009603DE">
      <w:pPr>
        <w:pStyle w:val="Nadpis4"/>
        <w:rPr>
          <w:rFonts w:cs="Arial"/>
        </w:rPr>
      </w:pPr>
      <w:r w:rsidRPr="00AC713D">
        <w:rPr>
          <w:rFonts w:cs="Arial"/>
        </w:rPr>
        <w:t xml:space="preserve">Čistý zisk </w:t>
      </w:r>
    </w:p>
    <w:p w14:paraId="7EEEE311" w14:textId="41E9FC5F" w:rsidR="000C292F" w:rsidRPr="00AC713D" w:rsidRDefault="000C292F" w:rsidP="000C292F">
      <w:pPr>
        <w:pStyle w:val="Normlnweb"/>
        <w:rPr>
          <w:rFonts w:cs="Arial"/>
        </w:rPr>
      </w:pPr>
      <w:r w:rsidRPr="00AC713D">
        <w:rPr>
          <w:rFonts w:cs="Arial"/>
        </w:rPr>
        <w:t xml:space="preserve">Čistý zisk dosáhl v prvním pololetí roku </w:t>
      </w:r>
      <w:r w:rsidR="00B87815" w:rsidRPr="00AC713D">
        <w:rPr>
          <w:rFonts w:cs="Arial"/>
        </w:rPr>
        <w:t>20</w:t>
      </w:r>
      <w:r w:rsidR="00B87815">
        <w:rPr>
          <w:rFonts w:cs="Arial"/>
        </w:rPr>
        <w:t>20</w:t>
      </w:r>
      <w:r w:rsidR="00B87815" w:rsidRPr="00AC713D">
        <w:rPr>
          <w:rFonts w:cs="Arial"/>
        </w:rPr>
        <w:t xml:space="preserve"> </w:t>
      </w:r>
      <w:r w:rsidRPr="00AC713D">
        <w:rPr>
          <w:rFonts w:cs="Arial"/>
        </w:rPr>
        <w:t xml:space="preserve">hodnoty </w:t>
      </w:r>
      <w:r w:rsidR="00B87815">
        <w:rPr>
          <w:rFonts w:cs="Arial"/>
        </w:rPr>
        <w:t>9,3</w:t>
      </w:r>
      <w:r w:rsidRPr="00AC713D">
        <w:rPr>
          <w:rFonts w:cs="Arial"/>
        </w:rPr>
        <w:t xml:space="preserve"> milionu </w:t>
      </w:r>
      <w:r w:rsidR="007903EC" w:rsidRPr="00AC713D">
        <w:rPr>
          <w:rFonts w:cs="Arial"/>
        </w:rPr>
        <w:t>Kč</w:t>
      </w:r>
      <w:r w:rsidRPr="00AC713D">
        <w:rPr>
          <w:rFonts w:cs="Arial"/>
        </w:rPr>
        <w:t xml:space="preserve">, což je meziročně o </w:t>
      </w:r>
      <w:r w:rsidR="00B87815">
        <w:rPr>
          <w:rFonts w:cs="Arial"/>
        </w:rPr>
        <w:t>96,2</w:t>
      </w:r>
      <w:r w:rsidRPr="00AC713D">
        <w:rPr>
          <w:rFonts w:cs="Arial"/>
        </w:rPr>
        <w:t xml:space="preserve"> % </w:t>
      </w:r>
      <w:r w:rsidR="00CA4DC9" w:rsidRPr="00AC713D">
        <w:rPr>
          <w:rFonts w:cs="Arial"/>
        </w:rPr>
        <w:t>méně</w:t>
      </w:r>
      <w:r w:rsidR="0019666D" w:rsidRPr="00AC713D">
        <w:rPr>
          <w:rFonts w:cs="Arial"/>
        </w:rPr>
        <w:t xml:space="preserve">. </w:t>
      </w:r>
    </w:p>
    <w:p w14:paraId="2D89FD76" w14:textId="77777777" w:rsidR="000C292F" w:rsidRPr="00AC713D" w:rsidRDefault="000C292F" w:rsidP="000C292F">
      <w:pPr>
        <w:pStyle w:val="Nadpis4"/>
        <w:rPr>
          <w:rFonts w:cs="Arial"/>
          <w:b w:val="0"/>
        </w:rPr>
      </w:pPr>
      <w:r w:rsidRPr="00AC713D">
        <w:rPr>
          <w:rStyle w:val="Siln"/>
          <w:rFonts w:cs="Arial"/>
          <w:b/>
        </w:rPr>
        <w:t>Investice</w:t>
      </w:r>
    </w:p>
    <w:p w14:paraId="21CD5C21" w14:textId="41B77E67" w:rsidR="000C292F" w:rsidRPr="00AC713D" w:rsidRDefault="000C292F" w:rsidP="000C292F">
      <w:pPr>
        <w:pStyle w:val="Normlnweb"/>
        <w:rPr>
          <w:rFonts w:cs="Arial"/>
        </w:rPr>
      </w:pPr>
      <w:r w:rsidRPr="00AC713D">
        <w:rPr>
          <w:rFonts w:cs="Arial"/>
        </w:rPr>
        <w:t>V první polovině roku 20</w:t>
      </w:r>
      <w:r w:rsidR="00313F1C">
        <w:rPr>
          <w:rFonts w:cs="Arial"/>
        </w:rPr>
        <w:t>20</w:t>
      </w:r>
      <w:r w:rsidRPr="00AC713D">
        <w:rPr>
          <w:rFonts w:cs="Arial"/>
        </w:rPr>
        <w:t xml:space="preserve"> </w:t>
      </w:r>
      <w:bookmarkStart w:id="14" w:name="OLE_LINK3"/>
      <w:bookmarkStart w:id="15" w:name="OLE_LINK4"/>
      <w:r w:rsidRPr="00AC713D">
        <w:rPr>
          <w:rFonts w:cs="Arial"/>
        </w:rPr>
        <w:t xml:space="preserve">činily konsolidované investiční výdaje </w:t>
      </w:r>
      <w:r w:rsidR="00B87815">
        <w:rPr>
          <w:rFonts w:cs="Arial"/>
        </w:rPr>
        <w:t>127,4</w:t>
      </w:r>
      <w:r w:rsidRPr="00AC713D">
        <w:rPr>
          <w:rFonts w:cs="Arial"/>
        </w:rPr>
        <w:t xml:space="preserve"> milionu </w:t>
      </w:r>
      <w:bookmarkEnd w:id="14"/>
      <w:bookmarkEnd w:id="15"/>
      <w:r w:rsidR="007903EC" w:rsidRPr="00AC713D">
        <w:rPr>
          <w:rFonts w:cs="Arial"/>
        </w:rPr>
        <w:t>Kč</w:t>
      </w:r>
      <w:r w:rsidRPr="00AC713D">
        <w:rPr>
          <w:rFonts w:cs="Arial"/>
        </w:rPr>
        <w:t xml:space="preserve"> oproti </w:t>
      </w:r>
      <w:r w:rsidR="00313F1C">
        <w:rPr>
          <w:rFonts w:cs="Arial"/>
        </w:rPr>
        <w:t>258,4</w:t>
      </w:r>
      <w:r w:rsidRPr="00AC713D">
        <w:rPr>
          <w:rFonts w:cs="Arial"/>
        </w:rPr>
        <w:t xml:space="preserve"> milionu </w:t>
      </w:r>
      <w:r w:rsidR="007903EC" w:rsidRPr="00AC713D">
        <w:rPr>
          <w:rFonts w:cs="Arial"/>
        </w:rPr>
        <w:t xml:space="preserve">Kč </w:t>
      </w:r>
      <w:r w:rsidRPr="00AC713D">
        <w:rPr>
          <w:rFonts w:cs="Arial"/>
        </w:rPr>
        <w:t xml:space="preserve">ve srovnání se stejným obdobím minulého roku. Z této částky připadalo </w:t>
      </w:r>
      <w:r w:rsidR="00313F1C">
        <w:rPr>
          <w:rFonts w:cs="Arial"/>
        </w:rPr>
        <w:t>40,3</w:t>
      </w:r>
      <w:r w:rsidR="00830A7E" w:rsidRPr="00AC713D">
        <w:rPr>
          <w:rFonts w:cs="Arial"/>
        </w:rPr>
        <w:t xml:space="preserve"> </w:t>
      </w:r>
      <w:r w:rsidRPr="00AC713D">
        <w:rPr>
          <w:rFonts w:cs="Arial"/>
        </w:rPr>
        <w:t xml:space="preserve">milionu </w:t>
      </w:r>
      <w:r w:rsidR="007903EC" w:rsidRPr="00AC713D">
        <w:rPr>
          <w:rFonts w:cs="Arial"/>
        </w:rPr>
        <w:t>Kč</w:t>
      </w:r>
      <w:r w:rsidRPr="00AC713D">
        <w:rPr>
          <w:rFonts w:cs="Arial"/>
        </w:rPr>
        <w:t xml:space="preserve"> na investice do rozšíření výrobních a skladovacích kapacit, zbytek představovaly běžné investice. </w:t>
      </w:r>
    </w:p>
    <w:p w14:paraId="5CE9547A" w14:textId="77777777" w:rsidR="000C292F" w:rsidRPr="00AC713D" w:rsidRDefault="000C292F" w:rsidP="000C292F">
      <w:pPr>
        <w:pStyle w:val="Nadpis4"/>
        <w:rPr>
          <w:rFonts w:cs="Arial"/>
          <w:b w:val="0"/>
        </w:rPr>
      </w:pPr>
      <w:r w:rsidRPr="00AC713D">
        <w:rPr>
          <w:rStyle w:val="Siln"/>
          <w:rFonts w:cs="Arial"/>
          <w:b/>
        </w:rPr>
        <w:lastRenderedPageBreak/>
        <w:t>Peníze a zadluženost</w:t>
      </w:r>
    </w:p>
    <w:p w14:paraId="586AE373" w14:textId="622E2C08" w:rsidR="006C61A8" w:rsidRPr="00AC713D" w:rsidRDefault="000C292F" w:rsidP="006C61A8">
      <w:pPr>
        <w:pStyle w:val="Normlnweb"/>
        <w:rPr>
          <w:rFonts w:cs="Arial"/>
        </w:rPr>
      </w:pPr>
      <w:r w:rsidRPr="00AC713D">
        <w:rPr>
          <w:rFonts w:cs="Arial"/>
        </w:rPr>
        <w:t>Celková výše konsolidovaných finančních dluhů (krátkodobých i dlouhodobých) činila k 30. červnu 20</w:t>
      </w:r>
      <w:r w:rsidR="00313F1C">
        <w:rPr>
          <w:rFonts w:cs="Arial"/>
        </w:rPr>
        <w:t>20</w:t>
      </w:r>
      <w:r w:rsidRPr="00AC713D">
        <w:rPr>
          <w:rFonts w:cs="Arial"/>
        </w:rPr>
        <w:t xml:space="preserve"> </w:t>
      </w:r>
      <w:r w:rsidR="00B87815">
        <w:rPr>
          <w:rFonts w:cs="Arial"/>
        </w:rPr>
        <w:t>5 027,8</w:t>
      </w:r>
      <w:r w:rsidRPr="00AC713D">
        <w:rPr>
          <w:rFonts w:cs="Arial"/>
        </w:rPr>
        <w:t xml:space="preserve"> milionů </w:t>
      </w:r>
      <w:r w:rsidR="003405CE" w:rsidRPr="00AC713D">
        <w:rPr>
          <w:rFonts w:cs="Arial"/>
        </w:rPr>
        <w:t>Kč</w:t>
      </w:r>
      <w:r w:rsidRPr="00AC713D">
        <w:rPr>
          <w:rFonts w:cs="Arial"/>
        </w:rPr>
        <w:t xml:space="preserve">. Čistý dluh k 30. červnu </w:t>
      </w:r>
      <w:r w:rsidR="00313F1C" w:rsidRPr="00AC713D">
        <w:rPr>
          <w:rFonts w:cs="Arial"/>
        </w:rPr>
        <w:t>20</w:t>
      </w:r>
      <w:r w:rsidR="00313F1C">
        <w:rPr>
          <w:rFonts w:cs="Arial"/>
        </w:rPr>
        <w:t>20</w:t>
      </w:r>
      <w:r w:rsidR="00313F1C" w:rsidRPr="00AC713D">
        <w:rPr>
          <w:rFonts w:cs="Arial"/>
        </w:rPr>
        <w:t xml:space="preserve"> </w:t>
      </w:r>
      <w:r w:rsidRPr="00AC713D">
        <w:rPr>
          <w:rFonts w:cs="Arial"/>
        </w:rPr>
        <w:t xml:space="preserve">dosáhl výše </w:t>
      </w:r>
      <w:r w:rsidR="003405CE" w:rsidRPr="00AC713D">
        <w:rPr>
          <w:rFonts w:cs="Arial"/>
        </w:rPr>
        <w:t>4</w:t>
      </w:r>
      <w:r w:rsidR="006951E8">
        <w:rPr>
          <w:rFonts w:cs="Arial"/>
        </w:rPr>
        <w:t> </w:t>
      </w:r>
      <w:r w:rsidR="00B87815">
        <w:rPr>
          <w:rFonts w:cs="Arial"/>
        </w:rPr>
        <w:t>777,8</w:t>
      </w:r>
      <w:r w:rsidRPr="00AC713D">
        <w:rPr>
          <w:rFonts w:cs="Arial"/>
        </w:rPr>
        <w:t xml:space="preserve"> milionů </w:t>
      </w:r>
      <w:r w:rsidR="003405CE" w:rsidRPr="00AC713D">
        <w:rPr>
          <w:rFonts w:cs="Arial"/>
        </w:rPr>
        <w:t>Kč</w:t>
      </w:r>
      <w:r w:rsidRPr="00AC713D">
        <w:rPr>
          <w:rFonts w:cs="Arial"/>
        </w:rPr>
        <w:t xml:space="preserve">, což je o </w:t>
      </w:r>
      <w:r w:rsidR="00B87815">
        <w:rPr>
          <w:rFonts w:cs="Arial"/>
        </w:rPr>
        <w:t>0,2</w:t>
      </w:r>
      <w:r w:rsidRPr="00AC713D">
        <w:rPr>
          <w:rFonts w:cs="Arial"/>
        </w:rPr>
        <w:t xml:space="preserve"> % </w:t>
      </w:r>
      <w:r w:rsidR="003405CE" w:rsidRPr="00AC713D">
        <w:rPr>
          <w:rFonts w:cs="Arial"/>
        </w:rPr>
        <w:t>méně v porovnání s 31. prosincem 201</w:t>
      </w:r>
      <w:r w:rsidR="00B87815">
        <w:rPr>
          <w:rFonts w:cs="Arial"/>
        </w:rPr>
        <w:t>9</w:t>
      </w:r>
      <w:r w:rsidR="003405CE" w:rsidRPr="00AC713D">
        <w:rPr>
          <w:rFonts w:cs="Arial"/>
        </w:rPr>
        <w:t>.</w:t>
      </w:r>
      <w:r w:rsidRPr="00AC713D">
        <w:rPr>
          <w:rFonts w:cs="Arial"/>
        </w:rPr>
        <w:t xml:space="preserve"> Poměr</w:t>
      </w:r>
      <w:r w:rsidR="006C61A8" w:rsidRPr="00AC713D">
        <w:rPr>
          <w:rFonts w:cs="Arial"/>
        </w:rPr>
        <w:t xml:space="preserve"> Čistý dluh/EBITDA dosáhl k 30. červnu </w:t>
      </w:r>
      <w:r w:rsidR="00313F1C" w:rsidRPr="00AC713D">
        <w:rPr>
          <w:rFonts w:cs="Arial"/>
        </w:rPr>
        <w:t>20</w:t>
      </w:r>
      <w:r w:rsidR="00313F1C">
        <w:rPr>
          <w:rFonts w:cs="Arial"/>
        </w:rPr>
        <w:t>20</w:t>
      </w:r>
      <w:r w:rsidR="00313F1C" w:rsidRPr="00AC713D">
        <w:rPr>
          <w:rFonts w:cs="Arial"/>
        </w:rPr>
        <w:t xml:space="preserve"> </w:t>
      </w:r>
      <w:r w:rsidR="006C61A8" w:rsidRPr="00AC713D">
        <w:rPr>
          <w:rFonts w:cs="Arial"/>
        </w:rPr>
        <w:t>3</w:t>
      </w:r>
      <w:r w:rsidRPr="00AC713D">
        <w:rPr>
          <w:rFonts w:cs="Arial"/>
        </w:rPr>
        <w:t>,</w:t>
      </w:r>
      <w:r w:rsidR="006829FD">
        <w:rPr>
          <w:rFonts w:cs="Arial"/>
        </w:rPr>
        <w:t>76</w:t>
      </w:r>
      <w:r w:rsidR="00B87815" w:rsidRPr="00AC713D">
        <w:rPr>
          <w:rFonts w:cs="Arial"/>
        </w:rPr>
        <w:t xml:space="preserve"> </w:t>
      </w:r>
      <w:r w:rsidR="006C61A8" w:rsidRPr="00AC713D">
        <w:rPr>
          <w:rFonts w:cs="Arial"/>
        </w:rPr>
        <w:t>násobku</w:t>
      </w:r>
      <w:r w:rsidRPr="00AC713D">
        <w:rPr>
          <w:rFonts w:cs="Arial"/>
        </w:rPr>
        <w:t>.</w:t>
      </w:r>
      <w:bookmarkStart w:id="16" w:name="_Toc269907488"/>
      <w:r w:rsidR="006C61A8" w:rsidRPr="00AC713D">
        <w:rPr>
          <w:rFonts w:cs="Arial"/>
        </w:rPr>
        <w:t xml:space="preserve"> </w:t>
      </w:r>
    </w:p>
    <w:p w14:paraId="75FBAC32" w14:textId="409287CB" w:rsidR="000C292F" w:rsidRPr="00AC713D" w:rsidRDefault="000C292F" w:rsidP="006C61A8">
      <w:pPr>
        <w:pStyle w:val="Nadpis4"/>
        <w:rPr>
          <w:rStyle w:val="Siln"/>
          <w:b/>
        </w:rPr>
      </w:pPr>
      <w:r w:rsidRPr="00AC713D">
        <w:rPr>
          <w:rStyle w:val="Siln"/>
          <w:b/>
        </w:rPr>
        <w:t>Přehled hospodaření Společnosti</w:t>
      </w:r>
      <w:r w:rsidR="008568D6" w:rsidRPr="00AC713D">
        <w:rPr>
          <w:rStyle w:val="Siln"/>
          <w:b/>
        </w:rPr>
        <w:t xml:space="preserve"> </w:t>
      </w:r>
      <w:r w:rsidRPr="00AC713D">
        <w:rPr>
          <w:rStyle w:val="Siln"/>
          <w:b/>
        </w:rPr>
        <w:t>v</w:t>
      </w:r>
      <w:r w:rsidR="00894B01" w:rsidRPr="00AC713D">
        <w:rPr>
          <w:rStyle w:val="Siln"/>
          <w:b/>
        </w:rPr>
        <w:t> </w:t>
      </w:r>
      <w:r w:rsidRPr="00AC713D">
        <w:rPr>
          <w:rStyle w:val="Siln"/>
          <w:b/>
        </w:rPr>
        <w:t xml:space="preserve">prvním pololetí </w:t>
      </w:r>
      <w:bookmarkEnd w:id="16"/>
      <w:r w:rsidR="00857912" w:rsidRPr="00AC713D">
        <w:rPr>
          <w:rStyle w:val="Siln"/>
          <w:b/>
        </w:rPr>
        <w:t>20</w:t>
      </w:r>
      <w:r w:rsidR="00857912">
        <w:rPr>
          <w:rStyle w:val="Siln"/>
          <w:b/>
        </w:rPr>
        <w:t>20</w:t>
      </w:r>
    </w:p>
    <w:p w14:paraId="5309E097" w14:textId="2BB7A0FE" w:rsidR="000C292F" w:rsidRPr="00AC713D" w:rsidRDefault="000C292F" w:rsidP="000C292F">
      <w:pPr>
        <w:pStyle w:val="Normlnweb"/>
        <w:rPr>
          <w:rFonts w:cs="Arial"/>
        </w:rPr>
      </w:pPr>
      <w:r w:rsidRPr="00AC713D">
        <w:rPr>
          <w:rFonts w:cs="Arial"/>
        </w:rPr>
        <w:t>Celková produkce první jakosti dosáhla v</w:t>
      </w:r>
      <w:r w:rsidR="00B43B2C" w:rsidRPr="00AC713D">
        <w:rPr>
          <w:rFonts w:cs="Arial"/>
        </w:rPr>
        <w:t> </w:t>
      </w:r>
      <w:r w:rsidRPr="00AC713D">
        <w:rPr>
          <w:rFonts w:cs="Arial"/>
        </w:rPr>
        <w:t xml:space="preserve">prvním pololetí roku </w:t>
      </w:r>
      <w:r w:rsidR="00857912" w:rsidRPr="00AC713D">
        <w:rPr>
          <w:rFonts w:cs="Arial"/>
        </w:rPr>
        <w:t>20</w:t>
      </w:r>
      <w:r w:rsidR="00857912">
        <w:rPr>
          <w:rFonts w:cs="Arial"/>
        </w:rPr>
        <w:t>20</w:t>
      </w:r>
      <w:r w:rsidR="00857912" w:rsidRPr="00AC713D">
        <w:rPr>
          <w:rFonts w:cs="Arial"/>
        </w:rPr>
        <w:t xml:space="preserve"> </w:t>
      </w:r>
      <w:r w:rsidRPr="00AC713D">
        <w:rPr>
          <w:rFonts w:cs="Arial"/>
        </w:rPr>
        <w:t xml:space="preserve">hodnoty </w:t>
      </w:r>
      <w:r w:rsidR="00857912">
        <w:rPr>
          <w:rFonts w:cs="Arial"/>
        </w:rPr>
        <w:t>61 476</w:t>
      </w:r>
      <w:r w:rsidRPr="00AC713D">
        <w:rPr>
          <w:rFonts w:cs="Arial"/>
        </w:rPr>
        <w:t xml:space="preserve"> tun, což představuje </w:t>
      </w:r>
      <w:r w:rsidR="00857912">
        <w:rPr>
          <w:rFonts w:cs="Arial"/>
        </w:rPr>
        <w:t>nárůst</w:t>
      </w:r>
      <w:r w:rsidR="00857912" w:rsidRPr="00AC713D">
        <w:rPr>
          <w:rFonts w:cs="Arial"/>
        </w:rPr>
        <w:t xml:space="preserve"> </w:t>
      </w:r>
      <w:r w:rsidRPr="00AC713D">
        <w:rPr>
          <w:rFonts w:cs="Arial"/>
        </w:rPr>
        <w:t xml:space="preserve">o </w:t>
      </w:r>
      <w:r w:rsidR="00857912">
        <w:rPr>
          <w:rFonts w:cs="Arial"/>
        </w:rPr>
        <w:t>15,5</w:t>
      </w:r>
      <w:r w:rsidRPr="00AC713D">
        <w:rPr>
          <w:rFonts w:cs="Arial"/>
        </w:rPr>
        <w:t xml:space="preserve"> % ve srovnání s prvním pololetím roku 201</w:t>
      </w:r>
      <w:r w:rsidR="00857912">
        <w:rPr>
          <w:rFonts w:cs="Arial"/>
        </w:rPr>
        <w:t>9</w:t>
      </w:r>
      <w:r w:rsidRPr="00AC713D">
        <w:rPr>
          <w:rFonts w:cs="Arial"/>
        </w:rPr>
        <w:t xml:space="preserve">. </w:t>
      </w:r>
      <w:r w:rsidR="00F30136" w:rsidRPr="00AC713D">
        <w:rPr>
          <w:rFonts w:cs="Arial"/>
        </w:rPr>
        <w:t xml:space="preserve">Hlavním důvodem pro meziroční </w:t>
      </w:r>
      <w:r w:rsidR="00857912">
        <w:rPr>
          <w:rFonts w:cs="Arial"/>
        </w:rPr>
        <w:t>nárůst produkce</w:t>
      </w:r>
      <w:r w:rsidR="00857912" w:rsidRPr="00AC713D">
        <w:rPr>
          <w:rFonts w:cs="Arial"/>
        </w:rPr>
        <w:t xml:space="preserve"> </w:t>
      </w:r>
      <w:r w:rsidR="00857912">
        <w:rPr>
          <w:rFonts w:cs="Arial"/>
        </w:rPr>
        <w:t>bylo především uvedení do</w:t>
      </w:r>
      <w:r w:rsidR="0058244A">
        <w:rPr>
          <w:rFonts w:cs="Arial"/>
        </w:rPr>
        <w:t> </w:t>
      </w:r>
      <w:r w:rsidR="00857912">
        <w:rPr>
          <w:rFonts w:cs="Arial"/>
        </w:rPr>
        <w:t xml:space="preserve">komerčního provozu nové linky v České republice (červen 2019) a poté v Jihoafrické republice (listopad 2019). </w:t>
      </w:r>
      <w:r w:rsidR="0016580F">
        <w:rPr>
          <w:rFonts w:cs="Arial"/>
        </w:rPr>
        <w:t xml:space="preserve">Pandemie </w:t>
      </w:r>
      <w:r w:rsidR="00AA7280">
        <w:rPr>
          <w:rFonts w:cs="Arial"/>
        </w:rPr>
        <w:t>COVID</w:t>
      </w:r>
      <w:r w:rsidR="0016580F">
        <w:rPr>
          <w:rFonts w:cs="Arial"/>
        </w:rPr>
        <w:t>-19 neměla výrazný vliv na</w:t>
      </w:r>
      <w:r w:rsidR="00603330">
        <w:rPr>
          <w:rFonts w:cs="Arial"/>
        </w:rPr>
        <w:t> </w:t>
      </w:r>
      <w:r w:rsidR="0016580F">
        <w:rPr>
          <w:rFonts w:cs="Arial"/>
        </w:rPr>
        <w:t>objem produkce Skupiny</w:t>
      </w:r>
      <w:r w:rsidR="004D52B4">
        <w:rPr>
          <w:rFonts w:cs="Arial"/>
        </w:rPr>
        <w:t>, která byla jak v době pandemie i mimo ni vytížena na</w:t>
      </w:r>
      <w:r w:rsidR="00603330">
        <w:rPr>
          <w:rFonts w:cs="Arial"/>
        </w:rPr>
        <w:t> </w:t>
      </w:r>
      <w:r w:rsidR="004D52B4">
        <w:rPr>
          <w:rFonts w:cs="Arial"/>
        </w:rPr>
        <w:t>100%</w:t>
      </w:r>
      <w:r w:rsidR="0016580F">
        <w:rPr>
          <w:rFonts w:cs="Arial"/>
        </w:rPr>
        <w:t xml:space="preserve">. Výrobní kapacity jsou zaměřeny především na výrobu netkané textilie pro sektor hygieny. Skupina disponuje pouze omezenou kapacitou pro produkci vhodnou pro výrobu ochranných pomůcek (roušky, respirátory, ochranné obleky apod.). Vliv pandemie se pouze projevil v produktovém mixu, kdy byly naplno využity kapacity pro materiály na ochranné pomůcky. </w:t>
      </w:r>
    </w:p>
    <w:p w14:paraId="3CF9E662" w14:textId="3EA7F309" w:rsidR="000C292F" w:rsidRPr="00AC713D" w:rsidRDefault="000C292F" w:rsidP="000C292F">
      <w:pPr>
        <w:pStyle w:val="Normlnweb"/>
        <w:rPr>
          <w:rFonts w:cs="Arial"/>
        </w:rPr>
      </w:pPr>
      <w:r w:rsidRPr="00AC713D">
        <w:rPr>
          <w:rFonts w:cs="Arial"/>
        </w:rPr>
        <w:t>Podíl výnosů z prodeje netkaných textilií určených k výrobě hygienických produktů na</w:t>
      </w:r>
      <w:r w:rsidR="0058244A">
        <w:rPr>
          <w:rFonts w:cs="Arial"/>
        </w:rPr>
        <w:t> </w:t>
      </w:r>
      <w:r w:rsidRPr="00AC713D">
        <w:rPr>
          <w:rFonts w:cs="Arial"/>
        </w:rPr>
        <w:t>celkových výnosech činil v prvním pololetí roku 20</w:t>
      </w:r>
      <w:r w:rsidR="00B87815">
        <w:rPr>
          <w:rFonts w:cs="Arial"/>
        </w:rPr>
        <w:t>20</w:t>
      </w:r>
      <w:r w:rsidRPr="00AC713D">
        <w:rPr>
          <w:rFonts w:cs="Arial"/>
        </w:rPr>
        <w:t xml:space="preserve"> </w:t>
      </w:r>
      <w:r w:rsidR="00B87815">
        <w:rPr>
          <w:rFonts w:cs="Arial"/>
        </w:rPr>
        <w:t>92,2</w:t>
      </w:r>
      <w:r w:rsidRPr="00AC713D">
        <w:rPr>
          <w:rFonts w:cs="Arial"/>
        </w:rPr>
        <w:t xml:space="preserve"> %. </w:t>
      </w:r>
    </w:p>
    <w:p w14:paraId="042D3394" w14:textId="6BE0F1F5" w:rsidR="000C292F" w:rsidRPr="00AC713D" w:rsidRDefault="000C292F" w:rsidP="000C292F">
      <w:pPr>
        <w:pStyle w:val="Normlnweb"/>
        <w:rPr>
          <w:rFonts w:cs="Arial"/>
        </w:rPr>
      </w:pPr>
      <w:r w:rsidRPr="00AC713D">
        <w:rPr>
          <w:rFonts w:cs="Arial"/>
        </w:rPr>
        <w:t>Rozdělení výnosů dle geografie trhů</w:t>
      </w:r>
      <w:r w:rsidRPr="00AC713D">
        <w:rPr>
          <w:rStyle w:val="Znakapoznpodarou"/>
          <w:rFonts w:cs="Arial"/>
        </w:rPr>
        <w:footnoteReference w:id="1"/>
      </w:r>
      <w:r w:rsidRPr="00AC713D">
        <w:rPr>
          <w:rFonts w:cs="Arial"/>
        </w:rPr>
        <w:t xml:space="preserve"> potvrzuje stálou koncentraci odbytu </w:t>
      </w:r>
      <w:r w:rsidR="0019249F" w:rsidRPr="00AC713D">
        <w:rPr>
          <w:rFonts w:cs="Arial"/>
        </w:rPr>
        <w:t>Skupiny</w:t>
      </w:r>
      <w:r w:rsidRPr="00AC713D">
        <w:rPr>
          <w:rFonts w:cs="Arial"/>
        </w:rPr>
        <w:t xml:space="preserve"> na širší oblast Evropy. Výnosy z prodejů do západní Evropy dosáhly v prvním pololetí roku 20</w:t>
      </w:r>
      <w:r w:rsidR="00B87815">
        <w:rPr>
          <w:rFonts w:cs="Arial"/>
        </w:rPr>
        <w:t>20</w:t>
      </w:r>
      <w:r w:rsidRPr="00AC713D">
        <w:rPr>
          <w:rFonts w:cs="Arial"/>
        </w:rPr>
        <w:t xml:space="preserve"> </w:t>
      </w:r>
      <w:r w:rsidR="00B87815">
        <w:rPr>
          <w:rFonts w:cs="Arial"/>
        </w:rPr>
        <w:t xml:space="preserve">34,2 </w:t>
      </w:r>
      <w:r w:rsidRPr="00AC713D">
        <w:rPr>
          <w:rFonts w:cs="Arial"/>
        </w:rPr>
        <w:t>%</w:t>
      </w:r>
      <w:r w:rsidR="009566C6" w:rsidRPr="00AC713D">
        <w:rPr>
          <w:rFonts w:cs="Arial"/>
        </w:rPr>
        <w:t>, v</w:t>
      </w:r>
      <w:r w:rsidRPr="00AC713D">
        <w:rPr>
          <w:rFonts w:cs="Arial"/>
        </w:rPr>
        <w:t xml:space="preserve">ýnosy z prodeje do střední a východní Evropy a Ruska </w:t>
      </w:r>
      <w:r w:rsidR="00B173CE">
        <w:rPr>
          <w:rFonts w:cs="Arial"/>
        </w:rPr>
        <w:t>39,4</w:t>
      </w:r>
      <w:r w:rsidR="009566C6" w:rsidRPr="00AC713D">
        <w:rPr>
          <w:rFonts w:cs="Arial"/>
        </w:rPr>
        <w:t> % a</w:t>
      </w:r>
      <w:r w:rsidR="0058244A">
        <w:rPr>
          <w:rFonts w:cs="Arial"/>
        </w:rPr>
        <w:t> </w:t>
      </w:r>
      <w:r w:rsidR="009566C6" w:rsidRPr="00AC713D">
        <w:rPr>
          <w:rFonts w:cs="Arial"/>
        </w:rPr>
        <w:t>v</w:t>
      </w:r>
      <w:r w:rsidRPr="00AC713D">
        <w:rPr>
          <w:rFonts w:cs="Arial"/>
        </w:rPr>
        <w:t xml:space="preserve">ýnosy z prodeje do ostatních teritorií činily </w:t>
      </w:r>
      <w:r w:rsidR="009566C6" w:rsidRPr="00AC713D">
        <w:rPr>
          <w:rFonts w:cs="Arial"/>
        </w:rPr>
        <w:t xml:space="preserve">zbylých </w:t>
      </w:r>
      <w:r w:rsidR="00B173CE">
        <w:rPr>
          <w:rFonts w:cs="Arial"/>
        </w:rPr>
        <w:t>26,4</w:t>
      </w:r>
      <w:r w:rsidR="009566C6" w:rsidRPr="00AC713D">
        <w:rPr>
          <w:rFonts w:cs="Arial"/>
        </w:rPr>
        <w:t xml:space="preserve"> </w:t>
      </w:r>
      <w:r w:rsidRPr="00AC713D">
        <w:rPr>
          <w:rFonts w:cs="Arial"/>
        </w:rPr>
        <w:t>%.</w:t>
      </w:r>
    </w:p>
    <w:p w14:paraId="552070B5" w14:textId="77777777" w:rsidR="000C292F" w:rsidRPr="00AC713D" w:rsidRDefault="000C292F" w:rsidP="000C292F">
      <w:pPr>
        <w:pStyle w:val="Nadpis2"/>
        <w:rPr>
          <w:rFonts w:cs="Arial"/>
        </w:rPr>
      </w:pPr>
      <w:bookmarkStart w:id="17" w:name="_Toc269907490"/>
      <w:bookmarkStart w:id="18" w:name="_Toc47644462"/>
      <w:bookmarkStart w:id="19" w:name="OLE_LINK1"/>
      <w:bookmarkStart w:id="20" w:name="OLE_LINK2"/>
      <w:bookmarkStart w:id="21" w:name="_Toc165188441"/>
      <w:r w:rsidRPr="00AC713D">
        <w:rPr>
          <w:rFonts w:cs="Arial"/>
        </w:rPr>
        <w:t>Výzkum a vývoj</w:t>
      </w:r>
      <w:bookmarkEnd w:id="17"/>
      <w:bookmarkEnd w:id="18"/>
    </w:p>
    <w:p w14:paraId="5890B595" w14:textId="7299252F" w:rsidR="000C292F" w:rsidRDefault="000C292F" w:rsidP="009602F7">
      <w:pPr>
        <w:rPr>
          <w:rFonts w:cs="Arial"/>
        </w:rPr>
      </w:pPr>
      <w:bookmarkStart w:id="22" w:name="_Toc269111121"/>
      <w:bookmarkStart w:id="23" w:name="_Toc269118394"/>
      <w:bookmarkStart w:id="24" w:name="_Toc269139293"/>
      <w:bookmarkStart w:id="25" w:name="_Toc269111123"/>
      <w:bookmarkStart w:id="26" w:name="_Toc269118396"/>
      <w:bookmarkStart w:id="27" w:name="_Toc269139295"/>
      <w:bookmarkStart w:id="28" w:name="_Toc269111128"/>
      <w:bookmarkStart w:id="29" w:name="_Toc269118401"/>
      <w:bookmarkStart w:id="30" w:name="_Toc269139300"/>
      <w:bookmarkStart w:id="31" w:name="_Toc519774587"/>
      <w:bookmarkStart w:id="32" w:name="_Toc269907491"/>
      <w:bookmarkEnd w:id="19"/>
      <w:bookmarkEnd w:id="20"/>
      <w:bookmarkEnd w:id="22"/>
      <w:bookmarkEnd w:id="23"/>
      <w:bookmarkEnd w:id="24"/>
      <w:bookmarkEnd w:id="25"/>
      <w:bookmarkEnd w:id="26"/>
      <w:bookmarkEnd w:id="27"/>
      <w:bookmarkEnd w:id="28"/>
      <w:bookmarkEnd w:id="29"/>
      <w:bookmarkEnd w:id="30"/>
      <w:r w:rsidRPr="00AC713D">
        <w:rPr>
          <w:rFonts w:cs="Arial"/>
        </w:rPr>
        <w:t>Vývoj nových aplikací, výrobků a</w:t>
      </w:r>
      <w:r w:rsidR="00497D37" w:rsidRPr="00AC713D">
        <w:rPr>
          <w:rFonts w:cs="Arial"/>
        </w:rPr>
        <w:t> </w:t>
      </w:r>
      <w:r w:rsidRPr="00AC713D">
        <w:rPr>
          <w:rFonts w:cs="Arial"/>
        </w:rPr>
        <w:t>optimalizace technologií jsou jednou z</w:t>
      </w:r>
      <w:r w:rsidR="00497D37" w:rsidRPr="00AC713D">
        <w:rPr>
          <w:rFonts w:cs="Arial"/>
        </w:rPr>
        <w:t> </w:t>
      </w:r>
      <w:r w:rsidRPr="00AC713D">
        <w:rPr>
          <w:rFonts w:cs="Arial"/>
        </w:rPr>
        <w:t>klíčových oblastí současné a budoucí strategie Společnosti. Bližší informace pro oblast výzkumu a vývoje jsou k dispozici ve Výroční zprávě za rok 201</w:t>
      </w:r>
      <w:r w:rsidR="002C796A" w:rsidRPr="00AC713D">
        <w:rPr>
          <w:rFonts w:cs="Arial"/>
        </w:rPr>
        <w:t>9</w:t>
      </w:r>
      <w:r w:rsidRPr="00AC713D">
        <w:rPr>
          <w:rFonts w:cs="Arial"/>
        </w:rPr>
        <w:t>.</w:t>
      </w:r>
      <w:bookmarkEnd w:id="31"/>
      <w:r w:rsidRPr="00AC713D">
        <w:rPr>
          <w:rFonts w:cs="Arial"/>
        </w:rPr>
        <w:t xml:space="preserve"> </w:t>
      </w:r>
    </w:p>
    <w:p w14:paraId="614F8FC3" w14:textId="77777777" w:rsidR="000C292F" w:rsidRPr="00AC713D" w:rsidRDefault="000C292F" w:rsidP="000C292F">
      <w:pPr>
        <w:pStyle w:val="Nadpis2"/>
        <w:rPr>
          <w:rFonts w:cs="Arial"/>
        </w:rPr>
      </w:pPr>
      <w:bookmarkStart w:id="33" w:name="_Toc269907492"/>
      <w:bookmarkStart w:id="34" w:name="_Toc47644463"/>
      <w:bookmarkEnd w:id="32"/>
      <w:r w:rsidRPr="00AC713D">
        <w:rPr>
          <w:rFonts w:cs="Arial"/>
        </w:rPr>
        <w:t>Rizikové faktory</w:t>
      </w:r>
      <w:bookmarkEnd w:id="33"/>
      <w:bookmarkEnd w:id="34"/>
    </w:p>
    <w:p w14:paraId="444B2393" w14:textId="783477C7" w:rsidR="000C292F" w:rsidRDefault="000C292F" w:rsidP="000C292F">
      <w:pPr>
        <w:rPr>
          <w:rFonts w:cs="Arial"/>
        </w:rPr>
      </w:pPr>
      <w:r w:rsidRPr="00AC713D">
        <w:rPr>
          <w:rFonts w:cs="Arial"/>
        </w:rPr>
        <w:t xml:space="preserve">Podnikání, provozní a finanční činnost </w:t>
      </w:r>
      <w:r w:rsidR="003E1D98" w:rsidRPr="00AC713D">
        <w:rPr>
          <w:rFonts w:cs="Arial"/>
        </w:rPr>
        <w:t>Skupiny</w:t>
      </w:r>
      <w:r w:rsidRPr="00AC713D">
        <w:rPr>
          <w:rFonts w:cs="Arial"/>
        </w:rPr>
        <w:t xml:space="preserve"> mohou být nepříznivě ovlivněny </w:t>
      </w:r>
      <w:r w:rsidR="00E431E6" w:rsidRPr="00AC713D">
        <w:rPr>
          <w:rFonts w:cs="Arial"/>
        </w:rPr>
        <w:t xml:space="preserve">řadou </w:t>
      </w:r>
      <w:r w:rsidRPr="00AC713D">
        <w:rPr>
          <w:rFonts w:cs="Arial"/>
        </w:rPr>
        <w:t>faktor</w:t>
      </w:r>
      <w:r w:rsidR="00E431E6" w:rsidRPr="00AC713D">
        <w:rPr>
          <w:rFonts w:cs="Arial"/>
        </w:rPr>
        <w:t>ů</w:t>
      </w:r>
      <w:r w:rsidRPr="00AC713D">
        <w:rPr>
          <w:rFonts w:cs="Arial"/>
        </w:rPr>
        <w:t>. Jednotlivé rizikové faktory jsou popsány ve Výroční zp</w:t>
      </w:r>
      <w:r w:rsidR="00736620" w:rsidRPr="00AC713D">
        <w:rPr>
          <w:rFonts w:cs="Arial"/>
        </w:rPr>
        <w:t>r</w:t>
      </w:r>
      <w:r w:rsidRPr="00AC713D">
        <w:rPr>
          <w:rFonts w:cs="Arial"/>
        </w:rPr>
        <w:t>ávě za rok 201</w:t>
      </w:r>
      <w:r w:rsidR="002C796A" w:rsidRPr="00AC713D">
        <w:rPr>
          <w:rFonts w:cs="Arial"/>
        </w:rPr>
        <w:t>9</w:t>
      </w:r>
      <w:r w:rsidRPr="00AC713D">
        <w:rPr>
          <w:rFonts w:cs="Arial"/>
        </w:rPr>
        <w:t>.</w:t>
      </w:r>
    </w:p>
    <w:p w14:paraId="5B3036CC" w14:textId="0F9B2B35" w:rsidR="0016580F" w:rsidRPr="00AC713D" w:rsidRDefault="0016580F" w:rsidP="000C292F">
      <w:pPr>
        <w:rPr>
          <w:rFonts w:cs="Arial"/>
        </w:rPr>
      </w:pPr>
      <w:r>
        <w:rPr>
          <w:rFonts w:cs="Arial"/>
        </w:rPr>
        <w:t xml:space="preserve">Nově vzniklým rizikovým faktorem je také </w:t>
      </w:r>
      <w:r w:rsidR="00AA7280">
        <w:rPr>
          <w:rFonts w:cs="Arial"/>
        </w:rPr>
        <w:t>COVID</w:t>
      </w:r>
      <w:r>
        <w:rPr>
          <w:rFonts w:cs="Arial"/>
        </w:rPr>
        <w:t xml:space="preserve">-19. Ačkoliv Skupina v průběhu vyhlášeného mimořádného stavu přijala všechny státní opatření a nad jejich rámec také interní směrnice pro eliminaci možné nákazy a její následné šíření mezi zaměstnanci, je největším rizikem pro Skupinu nucené </w:t>
      </w:r>
      <w:r w:rsidR="00F14160">
        <w:rPr>
          <w:rFonts w:cs="Arial"/>
        </w:rPr>
        <w:t xml:space="preserve">plné či částečné omezení </w:t>
      </w:r>
      <w:r>
        <w:rPr>
          <w:rFonts w:cs="Arial"/>
        </w:rPr>
        <w:t xml:space="preserve">provozu z důvodu </w:t>
      </w:r>
      <w:r w:rsidR="00F14160">
        <w:rPr>
          <w:rFonts w:cs="Arial"/>
        </w:rPr>
        <w:t xml:space="preserve">onemocnění zaměstnanců nebo povinné karantény. </w:t>
      </w:r>
    </w:p>
    <w:p w14:paraId="11A0A249" w14:textId="1B369E96" w:rsidR="000C292F" w:rsidRPr="00AC713D" w:rsidRDefault="000C292F" w:rsidP="000C292F">
      <w:pPr>
        <w:pStyle w:val="Nadpis2"/>
        <w:rPr>
          <w:rFonts w:cs="Arial"/>
        </w:rPr>
      </w:pPr>
      <w:bookmarkStart w:id="35" w:name="_Toc47644464"/>
      <w:r w:rsidRPr="00AC713D">
        <w:rPr>
          <w:rFonts w:cs="Arial"/>
        </w:rPr>
        <w:lastRenderedPageBreak/>
        <w:t xml:space="preserve">Očekáváný vývoj </w:t>
      </w:r>
      <w:r w:rsidR="004620EA" w:rsidRPr="00AC713D">
        <w:rPr>
          <w:rFonts w:cs="Arial"/>
        </w:rPr>
        <w:t>finanční situace, podnikatelské činnosti a</w:t>
      </w:r>
      <w:r w:rsidR="006951E8">
        <w:rPr>
          <w:rFonts w:cs="Arial"/>
        </w:rPr>
        <w:t> </w:t>
      </w:r>
      <w:r w:rsidR="004620EA" w:rsidRPr="00AC713D">
        <w:rPr>
          <w:rFonts w:cs="Arial"/>
        </w:rPr>
        <w:t>výsledků hospodaření</w:t>
      </w:r>
      <w:r w:rsidRPr="00AC713D">
        <w:rPr>
          <w:rFonts w:cs="Arial"/>
        </w:rPr>
        <w:t xml:space="preserve"> v 2. </w:t>
      </w:r>
      <w:r w:rsidR="004A7DC5" w:rsidRPr="00AC713D">
        <w:rPr>
          <w:rFonts w:cs="Arial"/>
        </w:rPr>
        <w:t> </w:t>
      </w:r>
      <w:r w:rsidRPr="00AC713D">
        <w:rPr>
          <w:rFonts w:cs="Arial"/>
        </w:rPr>
        <w:t>pololetí 20</w:t>
      </w:r>
      <w:r w:rsidR="002C796A" w:rsidRPr="00AC713D">
        <w:rPr>
          <w:rFonts w:cs="Arial"/>
        </w:rPr>
        <w:t>20</w:t>
      </w:r>
      <w:bookmarkEnd w:id="35"/>
    </w:p>
    <w:p w14:paraId="4BD2E00B" w14:textId="2FAF3AD8" w:rsidR="004A7DC5" w:rsidRPr="00AC713D" w:rsidRDefault="004620EA" w:rsidP="000C292F">
      <w:pPr>
        <w:rPr>
          <w:rFonts w:cs="Arial"/>
        </w:rPr>
      </w:pPr>
      <w:r w:rsidRPr="00AC713D">
        <w:rPr>
          <w:rFonts w:cs="Arial"/>
        </w:rPr>
        <w:t xml:space="preserve">Podnikání </w:t>
      </w:r>
      <w:r w:rsidR="003E1D98" w:rsidRPr="00AC713D">
        <w:rPr>
          <w:rFonts w:cs="Arial"/>
        </w:rPr>
        <w:t>Skupiny</w:t>
      </w:r>
      <w:r w:rsidRPr="00AC713D">
        <w:rPr>
          <w:rFonts w:cs="Arial"/>
        </w:rPr>
        <w:t xml:space="preserve"> není v podstatě ovlivňováno sezónními ani ekonomickými faktory mimo běžného ekonomického cyklu, ačkoliv trh s</w:t>
      </w:r>
      <w:r w:rsidR="002C796A" w:rsidRPr="00AC713D">
        <w:rPr>
          <w:rFonts w:cs="Arial"/>
        </w:rPr>
        <w:t> </w:t>
      </w:r>
      <w:r w:rsidRPr="00AC713D">
        <w:rPr>
          <w:rFonts w:cs="Arial"/>
        </w:rPr>
        <w:t>hygienickými potřebami je do</w:t>
      </w:r>
      <w:r w:rsidR="00603330">
        <w:rPr>
          <w:rFonts w:cs="Arial"/>
        </w:rPr>
        <w:t> </w:t>
      </w:r>
      <w:r w:rsidRPr="00AC713D">
        <w:rPr>
          <w:rFonts w:cs="Arial"/>
        </w:rPr>
        <w:t xml:space="preserve">značné míry necyklický. </w:t>
      </w:r>
    </w:p>
    <w:p w14:paraId="5A7E82DD" w14:textId="4EB9F15B" w:rsidR="000C292F" w:rsidRPr="00AC713D" w:rsidRDefault="000C292F" w:rsidP="000C292F">
      <w:pPr>
        <w:rPr>
          <w:rFonts w:cs="Arial"/>
        </w:rPr>
      </w:pPr>
      <w:r w:rsidRPr="00AC713D">
        <w:rPr>
          <w:rFonts w:cs="Arial"/>
        </w:rPr>
        <w:t xml:space="preserve">Celkový vývoj </w:t>
      </w:r>
      <w:r w:rsidR="004620EA" w:rsidRPr="00AC713D">
        <w:rPr>
          <w:rFonts w:cs="Arial"/>
        </w:rPr>
        <w:t xml:space="preserve">hospodaření </w:t>
      </w:r>
      <w:r w:rsidRPr="00AC713D">
        <w:rPr>
          <w:rFonts w:cs="Arial"/>
        </w:rPr>
        <w:t>Společnosti je</w:t>
      </w:r>
      <w:r w:rsidR="004620EA" w:rsidRPr="00AC713D">
        <w:rPr>
          <w:rFonts w:cs="Arial"/>
        </w:rPr>
        <w:t xml:space="preserve"> do jisté míry</w:t>
      </w:r>
      <w:r w:rsidRPr="00AC713D">
        <w:rPr>
          <w:rFonts w:cs="Arial"/>
        </w:rPr>
        <w:t xml:space="preserve"> </w:t>
      </w:r>
      <w:r w:rsidR="004620EA" w:rsidRPr="00AC713D">
        <w:rPr>
          <w:rFonts w:cs="Arial"/>
        </w:rPr>
        <w:t xml:space="preserve">ovlivněn externími vlivy, z nichž je nejvýznamnější </w:t>
      </w:r>
      <w:r w:rsidRPr="00AC713D">
        <w:rPr>
          <w:rFonts w:cs="Arial"/>
        </w:rPr>
        <w:t xml:space="preserve">vývoj cenových indexů polymerů, které ovlivňují jak </w:t>
      </w:r>
      <w:r w:rsidR="00736620" w:rsidRPr="00AC713D">
        <w:rPr>
          <w:rFonts w:cs="Arial"/>
        </w:rPr>
        <w:t>výš</w:t>
      </w:r>
      <w:r w:rsidR="00190491" w:rsidRPr="00AC713D">
        <w:rPr>
          <w:rFonts w:cs="Arial"/>
        </w:rPr>
        <w:t>i</w:t>
      </w:r>
      <w:r w:rsidRPr="00AC713D">
        <w:rPr>
          <w:rFonts w:cs="Arial"/>
        </w:rPr>
        <w:t xml:space="preserve"> nákladů, tak tržeb Společnosti. Vývoj cenových indexů polymer</w:t>
      </w:r>
      <w:r w:rsidR="00F521E5" w:rsidRPr="00AC713D">
        <w:rPr>
          <w:rFonts w:cs="Arial"/>
        </w:rPr>
        <w:t>ů nelze s dostatečnou spolehlivostí predikovat.</w:t>
      </w:r>
    </w:p>
    <w:p w14:paraId="424C9FFB" w14:textId="276732C3" w:rsidR="000C292F" w:rsidRDefault="000C292F" w:rsidP="000C292F">
      <w:pPr>
        <w:rPr>
          <w:rFonts w:cs="Arial"/>
        </w:rPr>
      </w:pPr>
      <w:r w:rsidRPr="00AC713D">
        <w:rPr>
          <w:rFonts w:cs="Arial"/>
        </w:rPr>
        <w:t xml:space="preserve">Společnost se bude dále zaměřovat na průběžné opravy a modernizace stávajících výrobních zařízení a na plnění </w:t>
      </w:r>
      <w:r w:rsidR="000C10BD" w:rsidRPr="00AC713D">
        <w:rPr>
          <w:rFonts w:cs="Arial"/>
        </w:rPr>
        <w:t xml:space="preserve">strategických </w:t>
      </w:r>
      <w:r w:rsidRPr="00AC713D">
        <w:rPr>
          <w:rFonts w:cs="Arial"/>
        </w:rPr>
        <w:t>cílů Společnosti.</w:t>
      </w:r>
    </w:p>
    <w:p w14:paraId="3D1338A2" w14:textId="707132A1" w:rsidR="00F14160" w:rsidRDefault="00F14160" w:rsidP="000C292F">
      <w:pPr>
        <w:rPr>
          <w:rFonts w:cs="Arial"/>
        </w:rPr>
      </w:pPr>
      <w:r>
        <w:rPr>
          <w:rFonts w:cs="Arial"/>
        </w:rPr>
        <w:t xml:space="preserve">S ohledem na možné další propuknutí šíření nákazy </w:t>
      </w:r>
      <w:r w:rsidR="00AA7280">
        <w:rPr>
          <w:rFonts w:cs="Arial"/>
        </w:rPr>
        <w:t>COVID</w:t>
      </w:r>
      <w:r>
        <w:rPr>
          <w:rFonts w:cs="Arial"/>
        </w:rPr>
        <w:t xml:space="preserve">-19 Skupina i přes ukončení mimořádného stavu ponechala v platnosti </w:t>
      </w:r>
      <w:r w:rsidR="004D52B4">
        <w:rPr>
          <w:rFonts w:cs="Arial"/>
        </w:rPr>
        <w:t>vybrané interní směrnice pro </w:t>
      </w:r>
      <w:r>
        <w:rPr>
          <w:rFonts w:cs="Arial"/>
        </w:rPr>
        <w:t>minima</w:t>
      </w:r>
      <w:r w:rsidR="00F5553D">
        <w:rPr>
          <w:rFonts w:cs="Arial"/>
        </w:rPr>
        <w:t xml:space="preserve">lizaci možné nákazy zaměstnanců, </w:t>
      </w:r>
      <w:r>
        <w:rPr>
          <w:rFonts w:cs="Arial"/>
        </w:rPr>
        <w:t>zaměřila vývoj nových produktů na</w:t>
      </w:r>
      <w:r w:rsidR="00603330">
        <w:rPr>
          <w:rFonts w:cs="Arial"/>
        </w:rPr>
        <w:t> </w:t>
      </w:r>
      <w:r>
        <w:rPr>
          <w:rFonts w:cs="Arial"/>
        </w:rPr>
        <w:t xml:space="preserve">ochranné pomůcky a </w:t>
      </w:r>
      <w:r w:rsidR="00F5553D">
        <w:rPr>
          <w:rFonts w:cs="Arial"/>
        </w:rPr>
        <w:t>jejich možné zavedení do výroby dle vývoje epidemiologické situace v nejen v zemích působnosti Skupiny, ale i ve zbytku světa.</w:t>
      </w:r>
    </w:p>
    <w:p w14:paraId="0EC60C79" w14:textId="662ABD97" w:rsidR="00F5553D" w:rsidRPr="00AC713D" w:rsidRDefault="00F5553D" w:rsidP="000C292F">
      <w:pPr>
        <w:rPr>
          <w:rFonts w:cs="Arial"/>
        </w:rPr>
      </w:pPr>
      <w:r>
        <w:rPr>
          <w:rFonts w:cs="Arial"/>
        </w:rPr>
        <w:t>Vedení Skupiny</w:t>
      </w:r>
      <w:r w:rsidR="004B53CC">
        <w:rPr>
          <w:rFonts w:cs="Arial"/>
        </w:rPr>
        <w:t xml:space="preserve"> předpokládá postupné celosvětové zotavení ekonomiky zasažené pandemii </w:t>
      </w:r>
      <w:r w:rsidR="00AA7280">
        <w:rPr>
          <w:rFonts w:cs="Arial"/>
        </w:rPr>
        <w:t>COVID</w:t>
      </w:r>
      <w:r w:rsidR="004B53CC">
        <w:rPr>
          <w:rFonts w:cs="Arial"/>
        </w:rPr>
        <w:t>-19</w:t>
      </w:r>
      <w:r w:rsidR="00A94CA4">
        <w:rPr>
          <w:rFonts w:cs="Arial"/>
        </w:rPr>
        <w:t xml:space="preserve"> </w:t>
      </w:r>
      <w:r w:rsidR="004B53CC">
        <w:rPr>
          <w:rFonts w:cs="Arial"/>
        </w:rPr>
        <w:t>a </w:t>
      </w:r>
      <w:r>
        <w:rPr>
          <w:rFonts w:cs="Arial"/>
        </w:rPr>
        <w:t xml:space="preserve">nepředpokládá, že by případné další masivní šíření nákazy mělo významný vliv na běžný provoz a hospodářské výsledky Skupiny </w:t>
      </w:r>
      <w:r w:rsidR="004B53CC">
        <w:rPr>
          <w:rFonts w:cs="Arial"/>
        </w:rPr>
        <w:t>jak již bylo prokázáno v prvním pololetí 2020.</w:t>
      </w:r>
    </w:p>
    <w:p w14:paraId="14361B05" w14:textId="202FDFF5" w:rsidR="00F521E5" w:rsidRPr="00AC713D" w:rsidRDefault="003E1D98" w:rsidP="00F521E5">
      <w:pPr>
        <w:rPr>
          <w:rFonts w:cs="Arial"/>
          <w:b/>
          <w:color w:val="2A7FC6"/>
        </w:rPr>
      </w:pPr>
      <w:bookmarkStart w:id="36" w:name="_Toc165188447"/>
      <w:bookmarkEnd w:id="21"/>
      <w:r w:rsidRPr="00AC713D">
        <w:rPr>
          <w:rFonts w:cs="Arial"/>
          <w:b/>
          <w:color w:val="2A7FC6"/>
        </w:rPr>
        <w:t>V</w:t>
      </w:r>
      <w:r w:rsidR="00F521E5" w:rsidRPr="00AC713D">
        <w:rPr>
          <w:rFonts w:cs="Arial"/>
          <w:b/>
          <w:color w:val="2A7FC6"/>
        </w:rPr>
        <w:t xml:space="preserve">ýhled hospodaření na rok </w:t>
      </w:r>
      <w:r w:rsidR="002C796A" w:rsidRPr="00AC713D">
        <w:rPr>
          <w:rFonts w:cs="Arial"/>
          <w:b/>
          <w:color w:val="2A7FC6"/>
        </w:rPr>
        <w:t>2020</w:t>
      </w:r>
    </w:p>
    <w:p w14:paraId="6209E74E" w14:textId="404126FE" w:rsidR="00B173CE" w:rsidRDefault="00B173CE" w:rsidP="00D25FA8">
      <w:pPr>
        <w:pStyle w:val="Normlnweb"/>
      </w:pPr>
      <w:r>
        <w:t>V prvním pololetí roku 2020 Skupina dosáhla hospodářských výsledků, jež jsou v souladu s jejím očekáváním a se zveřejněným výhledem na celý rok 2020.</w:t>
      </w:r>
    </w:p>
    <w:p w14:paraId="49D803DC" w14:textId="784DCF5D" w:rsidR="00B173CE" w:rsidRDefault="00B173CE" w:rsidP="00D25FA8">
      <w:pPr>
        <w:pStyle w:val="Normlnweb"/>
        <w:rPr>
          <w:rFonts w:cs="Arial"/>
        </w:rPr>
      </w:pPr>
      <w:r>
        <w:t xml:space="preserve">Na základě dosažených výsledků za první pololetí 2020 a s ohledem na vývoj na evropském trhu netkaných textilií včetně očekávaného vývoje na trhu s polymery a také s ohledem na vývoj epidemiologické situace související s COVID-19 potvrzuje Skupina svůj předchozí výhled na rok 2020 a očekává, že ukazatel EBITDA v tomto roce dosáhne na hodnotu </w:t>
      </w:r>
      <w:r w:rsidR="00907A78">
        <w:t>stanovenou v rozmezí 1,25 až 1,40</w:t>
      </w:r>
      <w:r>
        <w:t xml:space="preserve"> miliardy Kč.</w:t>
      </w:r>
    </w:p>
    <w:p w14:paraId="74458B5B" w14:textId="75DC97B7" w:rsidR="00F521E5" w:rsidRPr="00AC713D" w:rsidRDefault="00F521E5" w:rsidP="00F521E5">
      <w:pPr>
        <w:pStyle w:val="Normlnweb"/>
        <w:rPr>
          <w:rFonts w:cs="Arial"/>
        </w:rPr>
      </w:pPr>
      <w:r w:rsidRPr="00AC713D">
        <w:rPr>
          <w:rFonts w:cs="Arial"/>
        </w:rPr>
        <w:t xml:space="preserve">Společnost plánuje, že celkové investiční výdaje v roce </w:t>
      </w:r>
      <w:r w:rsidR="002C796A" w:rsidRPr="00AC713D">
        <w:rPr>
          <w:rFonts w:cs="Arial"/>
        </w:rPr>
        <w:t xml:space="preserve">2020 </w:t>
      </w:r>
      <w:r w:rsidRPr="00AC713D">
        <w:rPr>
          <w:rFonts w:cs="Arial"/>
        </w:rPr>
        <w:t xml:space="preserve">nepřesáhnou úroveň </w:t>
      </w:r>
      <w:r w:rsidR="002C796A" w:rsidRPr="00AC713D">
        <w:rPr>
          <w:rFonts w:cs="Arial"/>
        </w:rPr>
        <w:t>0,8</w:t>
      </w:r>
      <w:r w:rsidRPr="00AC713D">
        <w:rPr>
          <w:rFonts w:cs="Arial"/>
        </w:rPr>
        <w:t xml:space="preserve"> miliardy Kč. </w:t>
      </w:r>
    </w:p>
    <w:p w14:paraId="3C8173DE" w14:textId="1B16FA8B" w:rsidR="000C292F" w:rsidRPr="00AC713D" w:rsidRDefault="000C292F" w:rsidP="000C292F">
      <w:pPr>
        <w:pStyle w:val="Nadpis1"/>
        <w:rPr>
          <w:rFonts w:cs="Arial"/>
        </w:rPr>
        <w:sectPr w:rsidR="000C292F" w:rsidRPr="00AC713D" w:rsidSect="004D52B4">
          <w:pgSz w:w="11906" w:h="16838"/>
          <w:pgMar w:top="1417" w:right="1417" w:bottom="1417" w:left="1417" w:header="708" w:footer="708" w:gutter="0"/>
          <w:cols w:space="708"/>
          <w:docGrid w:linePitch="360"/>
        </w:sectPr>
      </w:pPr>
    </w:p>
    <w:p w14:paraId="4D46DAFF" w14:textId="77777777" w:rsidR="000C292F" w:rsidRPr="00AC713D" w:rsidRDefault="000C292F" w:rsidP="000C292F">
      <w:pPr>
        <w:pStyle w:val="Nadpis1"/>
        <w:rPr>
          <w:rFonts w:cs="Arial"/>
        </w:rPr>
      </w:pPr>
      <w:bookmarkStart w:id="37" w:name="_Toc269907493"/>
      <w:bookmarkStart w:id="38" w:name="_Toc47644465"/>
      <w:r w:rsidRPr="00AC713D">
        <w:rPr>
          <w:rFonts w:cs="Arial"/>
        </w:rPr>
        <w:lastRenderedPageBreak/>
        <w:t>Akcie a akcionářská struktura</w:t>
      </w:r>
      <w:bookmarkEnd w:id="37"/>
      <w:bookmarkEnd w:id="38"/>
    </w:p>
    <w:p w14:paraId="324C5030" w14:textId="77777777" w:rsidR="000C292F" w:rsidRPr="00AC713D" w:rsidRDefault="000C292F" w:rsidP="000C292F">
      <w:pPr>
        <w:pStyle w:val="Nadpis1"/>
        <w:rPr>
          <w:rFonts w:cs="Arial"/>
        </w:rPr>
      </w:pPr>
      <w:r w:rsidRPr="00AC713D">
        <w:rPr>
          <w:rFonts w:cs="Arial"/>
        </w:rPr>
        <w:t xml:space="preserve"> </w:t>
      </w:r>
    </w:p>
    <w:p w14:paraId="34AD1C54" w14:textId="4972FE89" w:rsidR="000C292F" w:rsidRPr="00AC713D" w:rsidRDefault="000C292F" w:rsidP="000C292F">
      <w:pPr>
        <w:rPr>
          <w:rFonts w:cs="Arial"/>
        </w:rPr>
        <w:sectPr w:rsidR="000C292F" w:rsidRPr="00AC713D" w:rsidSect="00E431E6">
          <w:pgSz w:w="11906" w:h="16838"/>
          <w:pgMar w:top="1417" w:right="1417" w:bottom="1417" w:left="1417" w:header="708" w:footer="708" w:gutter="0"/>
          <w:cols w:space="708"/>
          <w:docGrid w:linePitch="360"/>
        </w:sectPr>
      </w:pPr>
    </w:p>
    <w:p w14:paraId="3D8C3CC7" w14:textId="0104E8F9" w:rsidR="000C292F" w:rsidRPr="00AC713D" w:rsidRDefault="000C292F" w:rsidP="000546B5">
      <w:pPr>
        <w:pStyle w:val="Nadpis4"/>
        <w:rPr>
          <w:rFonts w:cs="Arial"/>
        </w:rPr>
      </w:pPr>
      <w:bookmarkStart w:id="39" w:name="_Toc519774592"/>
      <w:r w:rsidRPr="00AC713D">
        <w:rPr>
          <w:rFonts w:cs="Arial"/>
        </w:rPr>
        <w:t>Veřejná obchodovatelnost akcií</w:t>
      </w:r>
      <w:bookmarkEnd w:id="39"/>
    </w:p>
    <w:p w14:paraId="480466F9" w14:textId="77777777" w:rsidR="000C292F" w:rsidRPr="00AC713D" w:rsidRDefault="000C292F" w:rsidP="000C292F">
      <w:pPr>
        <w:rPr>
          <w:rFonts w:cs="Arial"/>
        </w:rPr>
      </w:pPr>
      <w:r w:rsidRPr="00AC713D">
        <w:rPr>
          <w:rFonts w:cs="Arial"/>
        </w:rPr>
        <w:t xml:space="preserve">Akcie Společnosti jsou obchodovány na Burze cenných papírů v Praze (BCPP) pod identifikačním číslem ISIN LU0275164910 od 18. prosince 2006. Od 19. března 2007 jsou součástí PX indexu, jenž sestává ze všech hlavních emisí na BCPP. </w:t>
      </w:r>
    </w:p>
    <w:p w14:paraId="6BEF3FA3" w14:textId="77777777" w:rsidR="000C292F" w:rsidRPr="00AC713D" w:rsidRDefault="000C292F" w:rsidP="000C292F">
      <w:pPr>
        <w:rPr>
          <w:rFonts w:cs="Arial"/>
        </w:rPr>
      </w:pPr>
      <w:r w:rsidRPr="00AC713D">
        <w:rPr>
          <w:rFonts w:cs="Arial"/>
        </w:rPr>
        <w:t>Seznam akcionářů nahrazuje evidence zaknihovaných cenných papírů vedená Centrálním depozitářem cenných papírů, a.s. podle zvláštního právního předpisu.</w:t>
      </w:r>
    </w:p>
    <w:p w14:paraId="5469409B" w14:textId="06E7FDC5" w:rsidR="000C292F" w:rsidRPr="00AC713D" w:rsidRDefault="000C292F" w:rsidP="000C292F">
      <w:pPr>
        <w:pStyle w:val="Nadpis4"/>
        <w:rPr>
          <w:rFonts w:cs="Arial"/>
        </w:rPr>
      </w:pPr>
      <w:r w:rsidRPr="00AC713D">
        <w:rPr>
          <w:rFonts w:cs="Arial"/>
        </w:rPr>
        <w:t xml:space="preserve">Vývoj ceny akcií a vývoj obchodování v první polovině roku </w:t>
      </w:r>
      <w:r w:rsidR="00C96D75" w:rsidRPr="00AC713D">
        <w:rPr>
          <w:rFonts w:cs="Arial"/>
        </w:rPr>
        <w:t>2020</w:t>
      </w:r>
    </w:p>
    <w:p w14:paraId="64E065D4" w14:textId="07BEE17B" w:rsidR="000C292F" w:rsidRPr="00AC713D" w:rsidRDefault="000C292F" w:rsidP="000C292F">
      <w:pPr>
        <w:pStyle w:val="Normlnweb"/>
        <w:rPr>
          <w:rFonts w:cs="Arial"/>
        </w:rPr>
      </w:pPr>
      <w:r w:rsidRPr="00AC713D">
        <w:rPr>
          <w:rFonts w:cs="Arial"/>
        </w:rPr>
        <w:t xml:space="preserve">V první polovině roku </w:t>
      </w:r>
      <w:r w:rsidR="00C96D75" w:rsidRPr="00AC713D">
        <w:rPr>
          <w:rFonts w:cs="Arial"/>
        </w:rPr>
        <w:t xml:space="preserve">2020 </w:t>
      </w:r>
      <w:r w:rsidRPr="00AC713D">
        <w:rPr>
          <w:rFonts w:cs="Arial"/>
        </w:rPr>
        <w:t>se akcie Společnosti na BCPP zobchodovaly v celkovém objemu</w:t>
      </w:r>
      <w:r w:rsidR="00A94CA4">
        <w:rPr>
          <w:rFonts w:cs="Arial"/>
        </w:rPr>
        <w:t xml:space="preserve"> </w:t>
      </w:r>
      <w:r w:rsidR="007021AE" w:rsidRPr="00AC713D">
        <w:rPr>
          <w:rFonts w:cs="Arial"/>
        </w:rPr>
        <w:t xml:space="preserve">134 </w:t>
      </w:r>
      <w:r w:rsidRPr="00AC713D">
        <w:rPr>
          <w:rFonts w:cs="Arial"/>
        </w:rPr>
        <w:t xml:space="preserve">milionů Kč. Nejnižší cena v průběhu prvních šesti měsíců roku </w:t>
      </w:r>
      <w:r w:rsidR="00471AF8" w:rsidRPr="00AC713D">
        <w:rPr>
          <w:rFonts w:cs="Arial"/>
        </w:rPr>
        <w:t xml:space="preserve">2020 </w:t>
      </w:r>
      <w:r w:rsidR="000C10BD" w:rsidRPr="00AC713D">
        <w:rPr>
          <w:rFonts w:cs="Arial"/>
        </w:rPr>
        <w:t xml:space="preserve">byla </w:t>
      </w:r>
      <w:r w:rsidR="00471AF8" w:rsidRPr="00AC713D">
        <w:rPr>
          <w:rFonts w:cs="Arial"/>
        </w:rPr>
        <w:t xml:space="preserve">494 </w:t>
      </w:r>
      <w:r w:rsidRPr="00AC713D">
        <w:rPr>
          <w:rFonts w:cs="Arial"/>
        </w:rPr>
        <w:t xml:space="preserve">Kč a nejvyšší </w:t>
      </w:r>
      <w:r w:rsidR="00471AF8" w:rsidRPr="00AC713D">
        <w:rPr>
          <w:rFonts w:cs="Arial"/>
        </w:rPr>
        <w:t>724</w:t>
      </w:r>
      <w:r w:rsidR="00471AF8" w:rsidRPr="00AC713D" w:rsidDel="005C6A33">
        <w:rPr>
          <w:rFonts w:cs="Arial"/>
        </w:rPr>
        <w:t xml:space="preserve"> </w:t>
      </w:r>
      <w:r w:rsidRPr="00AC713D">
        <w:rPr>
          <w:rFonts w:cs="Arial"/>
        </w:rPr>
        <w:t>Kč.</w:t>
      </w:r>
    </w:p>
    <w:p w14:paraId="0FAF68F5" w14:textId="0337DD2E" w:rsidR="000C292F" w:rsidRPr="00AC713D" w:rsidRDefault="000C292F" w:rsidP="000C292F">
      <w:pPr>
        <w:pStyle w:val="Normlnweb"/>
        <w:rPr>
          <w:rFonts w:cs="Arial"/>
        </w:rPr>
      </w:pPr>
      <w:r w:rsidRPr="00AC713D">
        <w:rPr>
          <w:rFonts w:cs="Arial"/>
        </w:rPr>
        <w:t xml:space="preserve">Zavírací cena k 30. červnu </w:t>
      </w:r>
      <w:r w:rsidR="00471AF8" w:rsidRPr="00AC713D">
        <w:rPr>
          <w:rFonts w:cs="Arial"/>
        </w:rPr>
        <w:t xml:space="preserve">2020 </w:t>
      </w:r>
      <w:r w:rsidRPr="00AC713D">
        <w:rPr>
          <w:rFonts w:cs="Arial"/>
        </w:rPr>
        <w:t xml:space="preserve">činila </w:t>
      </w:r>
      <w:r w:rsidR="00471AF8" w:rsidRPr="00AC713D">
        <w:rPr>
          <w:rFonts w:cs="Arial"/>
        </w:rPr>
        <w:t xml:space="preserve">700 </w:t>
      </w:r>
      <w:r w:rsidRPr="00AC713D">
        <w:rPr>
          <w:rFonts w:cs="Arial"/>
        </w:rPr>
        <w:t xml:space="preserve">Kč na BCPP a tržní kapitalizace dosáhla </w:t>
      </w:r>
      <w:r w:rsidR="0086064B" w:rsidRPr="00AC713D">
        <w:rPr>
          <w:rFonts w:cs="Arial"/>
        </w:rPr>
        <w:t>6</w:t>
      </w:r>
      <w:r w:rsidRPr="00AC713D">
        <w:rPr>
          <w:rFonts w:cs="Arial"/>
        </w:rPr>
        <w:t>,</w:t>
      </w:r>
      <w:r w:rsidR="007021AE" w:rsidRPr="00AC713D">
        <w:rPr>
          <w:rFonts w:cs="Arial"/>
        </w:rPr>
        <w:t>1</w:t>
      </w:r>
      <w:r w:rsidRPr="00AC713D">
        <w:rPr>
          <w:rFonts w:cs="Arial"/>
        </w:rPr>
        <w:t xml:space="preserve"> miliardy Kč. </w:t>
      </w:r>
    </w:p>
    <w:p w14:paraId="575A4AE8" w14:textId="77777777" w:rsidR="000C292F" w:rsidRPr="00AC713D" w:rsidRDefault="000C292F" w:rsidP="000C292F">
      <w:pPr>
        <w:pStyle w:val="Nadpis4"/>
        <w:rPr>
          <w:rFonts w:cs="Arial"/>
        </w:rPr>
      </w:pPr>
      <w:r w:rsidRPr="00AC713D">
        <w:rPr>
          <w:rFonts w:cs="Arial"/>
        </w:rPr>
        <w:t>Následné události</w:t>
      </w:r>
    </w:p>
    <w:p w14:paraId="7CFD1BD0" w14:textId="283471B4" w:rsidR="00AA7280" w:rsidRDefault="000C292F" w:rsidP="000C292F">
      <w:pPr>
        <w:rPr>
          <w:rFonts w:cs="Arial"/>
        </w:rPr>
      </w:pPr>
      <w:r w:rsidRPr="00AC713D">
        <w:rPr>
          <w:rFonts w:cs="Arial"/>
        </w:rPr>
        <w:t xml:space="preserve">Vedení Společnosti si není vědomo žádných skutečností, jež vznikly po 30. červnu </w:t>
      </w:r>
      <w:r w:rsidR="00471AF8" w:rsidRPr="00AC713D">
        <w:rPr>
          <w:rFonts w:cs="Arial"/>
        </w:rPr>
        <w:t xml:space="preserve">2020 </w:t>
      </w:r>
      <w:r w:rsidRPr="00AC713D">
        <w:rPr>
          <w:rFonts w:cs="Arial"/>
        </w:rPr>
        <w:t>a jež by měly významný dopad na Společnost.</w:t>
      </w:r>
    </w:p>
    <w:p w14:paraId="015AD6CF" w14:textId="28EAD83E" w:rsidR="000C292F" w:rsidRPr="00AC713D" w:rsidRDefault="000C292F" w:rsidP="000C292F">
      <w:pPr>
        <w:rPr>
          <w:rFonts w:cs="Arial"/>
        </w:rPr>
        <w:sectPr w:rsidR="000C292F" w:rsidRPr="00AC713D" w:rsidSect="00AA7280">
          <w:type w:val="continuous"/>
          <w:pgSz w:w="11906" w:h="16838"/>
          <w:pgMar w:top="1417" w:right="1417" w:bottom="1417" w:left="1417" w:header="708" w:footer="708" w:gutter="0"/>
          <w:cols w:space="708"/>
          <w:docGrid w:linePitch="360"/>
        </w:sectPr>
      </w:pPr>
    </w:p>
    <w:p w14:paraId="40F94469" w14:textId="02206272" w:rsidR="000C292F" w:rsidRPr="00AC713D" w:rsidRDefault="000C292F" w:rsidP="000C292F">
      <w:pPr>
        <w:rPr>
          <w:rFonts w:cs="Arial"/>
          <w:b/>
          <w:color w:val="2A7FC6"/>
        </w:rPr>
      </w:pPr>
      <w:r w:rsidRPr="00AC713D">
        <w:rPr>
          <w:rFonts w:cs="Arial"/>
          <w:b/>
          <w:color w:val="2A7FC6"/>
        </w:rPr>
        <w:t xml:space="preserve">Vývoj ceny akcie Společnosti na BCPP (od 1. ledna </w:t>
      </w:r>
      <w:r w:rsidR="001921CF" w:rsidRPr="00AC713D">
        <w:rPr>
          <w:rFonts w:cs="Arial"/>
          <w:b/>
          <w:color w:val="2A7FC6"/>
        </w:rPr>
        <w:t>2020</w:t>
      </w:r>
      <w:r w:rsidR="008B4010">
        <w:rPr>
          <w:rFonts w:cs="Arial"/>
          <w:b/>
          <w:color w:val="2A7FC6"/>
        </w:rPr>
        <w:t xml:space="preserve"> </w:t>
      </w:r>
      <w:r w:rsidRPr="00AC713D">
        <w:rPr>
          <w:rFonts w:cs="Arial"/>
          <w:b/>
          <w:color w:val="2A7FC6"/>
        </w:rPr>
        <w:t xml:space="preserve">do 30. června </w:t>
      </w:r>
      <w:r w:rsidR="001921CF" w:rsidRPr="00AC713D">
        <w:rPr>
          <w:rFonts w:cs="Arial"/>
          <w:b/>
          <w:color w:val="2A7FC6"/>
        </w:rPr>
        <w:t>2020</w:t>
      </w:r>
      <w:r w:rsidRPr="00AC713D">
        <w:rPr>
          <w:rFonts w:cs="Arial"/>
          <w:b/>
          <w:color w:val="2A7FC6"/>
        </w:rPr>
        <w:t>)</w:t>
      </w:r>
    </w:p>
    <w:p w14:paraId="69339A21" w14:textId="007327DF" w:rsidR="00F7306C" w:rsidRPr="00AC713D" w:rsidRDefault="00AA7280" w:rsidP="000C292F">
      <w:pPr>
        <w:spacing w:after="0" w:afterAutospacing="0"/>
        <w:jc w:val="center"/>
        <w:rPr>
          <w:rFonts w:cs="Arial"/>
          <w:noProof/>
        </w:rPr>
      </w:pPr>
      <w:r>
        <w:rPr>
          <w:rFonts w:cs="Arial"/>
          <w:noProof/>
        </w:rPr>
        <w:drawing>
          <wp:inline distT="0" distB="0" distL="0" distR="0" wp14:anchorId="314413A2" wp14:editId="47405403">
            <wp:extent cx="5224780" cy="2755900"/>
            <wp:effectExtent l="0" t="0" r="0"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24780" cy="2755900"/>
                    </a:xfrm>
                    <a:prstGeom prst="rect">
                      <a:avLst/>
                    </a:prstGeom>
                    <a:noFill/>
                  </pic:spPr>
                </pic:pic>
              </a:graphicData>
            </a:graphic>
          </wp:inline>
        </w:drawing>
      </w:r>
    </w:p>
    <w:p w14:paraId="35C243E1" w14:textId="023E9439" w:rsidR="000C292F" w:rsidRPr="00AC713D" w:rsidRDefault="000C292F" w:rsidP="000C292F">
      <w:pPr>
        <w:spacing w:after="0" w:afterAutospacing="0"/>
        <w:jc w:val="center"/>
        <w:rPr>
          <w:rFonts w:cs="Arial"/>
        </w:rPr>
      </w:pPr>
    </w:p>
    <w:p w14:paraId="2F5F40B4" w14:textId="43C40774" w:rsidR="000C292F" w:rsidRPr="00AC713D" w:rsidRDefault="000C292F" w:rsidP="00AA7280">
      <w:pPr>
        <w:spacing w:before="0" w:beforeAutospacing="0"/>
        <w:jc w:val="left"/>
        <w:rPr>
          <w:rFonts w:cs="Arial"/>
        </w:rPr>
      </w:pPr>
      <w:r w:rsidRPr="00AC713D">
        <w:rPr>
          <w:rFonts w:cs="Arial"/>
          <w:i/>
          <w:sz w:val="20"/>
          <w:szCs w:val="20"/>
        </w:rPr>
        <w:t>Zdroj: BCPP</w:t>
      </w:r>
    </w:p>
    <w:p w14:paraId="74421493" w14:textId="25459963" w:rsidR="000C292F" w:rsidRPr="00AC713D" w:rsidRDefault="000C292F" w:rsidP="000C292F">
      <w:pPr>
        <w:spacing w:before="0" w:beforeAutospacing="0" w:after="0" w:afterAutospacing="0"/>
        <w:jc w:val="left"/>
        <w:rPr>
          <w:rFonts w:cs="Arial"/>
        </w:rPr>
        <w:sectPr w:rsidR="000C292F" w:rsidRPr="00AC713D" w:rsidSect="00E431E6">
          <w:type w:val="continuous"/>
          <w:pgSz w:w="11906" w:h="16838"/>
          <w:pgMar w:top="1417" w:right="1417" w:bottom="1417" w:left="1417" w:header="708" w:footer="708" w:gutter="0"/>
          <w:cols w:space="708"/>
          <w:docGrid w:linePitch="360"/>
        </w:sectPr>
      </w:pPr>
    </w:p>
    <w:p w14:paraId="261C4DC8" w14:textId="77777777" w:rsidR="000C292F" w:rsidRPr="00AC713D" w:rsidRDefault="000C292F" w:rsidP="000C292F">
      <w:pPr>
        <w:pStyle w:val="Nadpis1"/>
        <w:rPr>
          <w:rFonts w:cs="Arial"/>
        </w:rPr>
      </w:pPr>
      <w:bookmarkStart w:id="40" w:name="_Toc47644466"/>
      <w:bookmarkStart w:id="41" w:name="_Toc269907494"/>
      <w:r w:rsidRPr="00AC713D">
        <w:rPr>
          <w:rFonts w:cs="Arial"/>
        </w:rPr>
        <w:lastRenderedPageBreak/>
        <w:t>Dividendová politika</w:t>
      </w:r>
      <w:bookmarkEnd w:id="40"/>
      <w:r w:rsidRPr="00AC713D">
        <w:rPr>
          <w:rFonts w:cs="Arial"/>
        </w:rPr>
        <w:t xml:space="preserve"> </w:t>
      </w:r>
      <w:bookmarkEnd w:id="41"/>
    </w:p>
    <w:p w14:paraId="26E0A73B" w14:textId="77777777" w:rsidR="000C292F" w:rsidRPr="00AC713D" w:rsidRDefault="000C292F" w:rsidP="000C292F">
      <w:pPr>
        <w:rPr>
          <w:rFonts w:cs="Arial"/>
        </w:rPr>
        <w:sectPr w:rsidR="000C292F" w:rsidRPr="00AC713D" w:rsidSect="00E431E6">
          <w:pgSz w:w="11906" w:h="16838"/>
          <w:pgMar w:top="1417" w:right="1417" w:bottom="1417" w:left="1417" w:header="708" w:footer="708" w:gutter="0"/>
          <w:cols w:space="708"/>
          <w:docGrid w:linePitch="360"/>
        </w:sectPr>
      </w:pPr>
    </w:p>
    <w:p w14:paraId="137C5768" w14:textId="1A53A3EB" w:rsidR="000C292F" w:rsidRPr="00AC713D" w:rsidRDefault="000C292F" w:rsidP="000C292F">
      <w:pPr>
        <w:rPr>
          <w:rFonts w:cs="Arial"/>
        </w:rPr>
      </w:pPr>
      <w:r w:rsidRPr="00AC713D">
        <w:rPr>
          <w:rFonts w:cs="Arial"/>
        </w:rPr>
        <w:t>Vzhledem ke stávající úrovni čistého dluhu a s cílem posílit finanční stabilitu Společnosti a kumulovat zdroje k dlouhodobému růstu rozhodla řádná valná hromada Společnosti konaná dne 1</w:t>
      </w:r>
      <w:r w:rsidR="00495CEC" w:rsidRPr="00AC713D">
        <w:rPr>
          <w:rFonts w:cs="Arial"/>
        </w:rPr>
        <w:t>5</w:t>
      </w:r>
      <w:r w:rsidRPr="00AC713D">
        <w:rPr>
          <w:rFonts w:cs="Arial"/>
        </w:rPr>
        <w:t xml:space="preserve">. června </w:t>
      </w:r>
      <w:r w:rsidR="00495CEC" w:rsidRPr="00AC713D">
        <w:rPr>
          <w:rFonts w:cs="Arial"/>
        </w:rPr>
        <w:t xml:space="preserve">2020 </w:t>
      </w:r>
      <w:r w:rsidRPr="00AC713D">
        <w:rPr>
          <w:rFonts w:cs="Arial"/>
        </w:rPr>
        <w:t xml:space="preserve">nevyplatit dividendu za rok </w:t>
      </w:r>
      <w:r w:rsidR="00495CEC" w:rsidRPr="00AC713D">
        <w:rPr>
          <w:rFonts w:cs="Arial"/>
        </w:rPr>
        <w:t>2019</w:t>
      </w:r>
      <w:r w:rsidRPr="00AC713D">
        <w:rPr>
          <w:rFonts w:cs="Arial"/>
        </w:rPr>
        <w:t>.</w:t>
      </w:r>
    </w:p>
    <w:p w14:paraId="5F035BC9" w14:textId="77777777" w:rsidR="000C292F" w:rsidRPr="00AC713D" w:rsidRDefault="000C292F" w:rsidP="000C292F">
      <w:pPr>
        <w:rPr>
          <w:rFonts w:cs="Arial"/>
        </w:rPr>
        <w:sectPr w:rsidR="000C292F" w:rsidRPr="00AC713D" w:rsidSect="00E431E6">
          <w:type w:val="continuous"/>
          <w:pgSz w:w="11906" w:h="16838"/>
          <w:pgMar w:top="1417" w:right="1417" w:bottom="1417" w:left="1417" w:header="708" w:footer="708" w:gutter="0"/>
          <w:cols w:space="708"/>
          <w:docGrid w:linePitch="360"/>
        </w:sectPr>
      </w:pPr>
    </w:p>
    <w:p w14:paraId="1AF49047" w14:textId="476A665E" w:rsidR="00F82151" w:rsidRPr="00AC713D" w:rsidRDefault="00F82151">
      <w:pPr>
        <w:spacing w:before="0" w:beforeAutospacing="0" w:after="160" w:afterAutospacing="0" w:line="259" w:lineRule="auto"/>
        <w:jc w:val="left"/>
        <w:rPr>
          <w:rFonts w:cs="Arial"/>
          <w:b/>
          <w:bCs/>
          <w:kern w:val="32"/>
          <w:sz w:val="48"/>
          <w:szCs w:val="48"/>
        </w:rPr>
      </w:pPr>
      <w:bookmarkStart w:id="42" w:name="_Toc332213930"/>
      <w:bookmarkStart w:id="43" w:name="_Toc269907496"/>
      <w:bookmarkEnd w:id="42"/>
    </w:p>
    <w:p w14:paraId="7BDB8396" w14:textId="1CDB0FA9" w:rsidR="000C292F" w:rsidRPr="00AC713D" w:rsidRDefault="000C292F" w:rsidP="000C292F">
      <w:pPr>
        <w:pStyle w:val="Nadpis1"/>
        <w:rPr>
          <w:rFonts w:cs="Arial"/>
        </w:rPr>
      </w:pPr>
      <w:bookmarkStart w:id="44" w:name="_Toc47644467"/>
      <w:r w:rsidRPr="00AC713D">
        <w:rPr>
          <w:rFonts w:cs="Arial"/>
        </w:rPr>
        <w:t xml:space="preserve">Správa a řízení </w:t>
      </w:r>
      <w:bookmarkEnd w:id="36"/>
      <w:r w:rsidRPr="00AC713D">
        <w:rPr>
          <w:rFonts w:cs="Arial"/>
        </w:rPr>
        <w:t>Společnosti</w:t>
      </w:r>
      <w:bookmarkEnd w:id="43"/>
      <w:bookmarkEnd w:id="44"/>
    </w:p>
    <w:p w14:paraId="2F5407F5" w14:textId="36E8F857" w:rsidR="000C292F" w:rsidRPr="00AC713D" w:rsidRDefault="000C292F" w:rsidP="000C292F">
      <w:pPr>
        <w:pStyle w:val="Nadpis4"/>
        <w:rPr>
          <w:rFonts w:cs="Arial"/>
        </w:rPr>
      </w:pPr>
      <w:r w:rsidRPr="00AC713D">
        <w:rPr>
          <w:rFonts w:cs="Arial"/>
        </w:rPr>
        <w:t>Řádná valná hromada konaná dne 1</w:t>
      </w:r>
      <w:r w:rsidR="00495CEC" w:rsidRPr="00AC713D">
        <w:rPr>
          <w:rFonts w:cs="Arial"/>
        </w:rPr>
        <w:t>5</w:t>
      </w:r>
      <w:r w:rsidRPr="00AC713D">
        <w:rPr>
          <w:rFonts w:cs="Arial"/>
        </w:rPr>
        <w:t xml:space="preserve">. června </w:t>
      </w:r>
      <w:r w:rsidR="00495CEC" w:rsidRPr="00AC713D">
        <w:rPr>
          <w:rFonts w:cs="Arial"/>
        </w:rPr>
        <w:t>2020</w:t>
      </w:r>
    </w:p>
    <w:p w14:paraId="45C1FC39" w14:textId="0CC62E6B" w:rsidR="000C292F" w:rsidRPr="00AC713D" w:rsidRDefault="000C292F" w:rsidP="000C292F">
      <w:pPr>
        <w:pStyle w:val="Normlnweb"/>
        <w:rPr>
          <w:rFonts w:cs="Arial"/>
        </w:rPr>
      </w:pPr>
      <w:r w:rsidRPr="00AC713D">
        <w:rPr>
          <w:rFonts w:cs="Arial"/>
        </w:rPr>
        <w:t xml:space="preserve">Na řádné valné hromadě akcionářů </w:t>
      </w:r>
      <w:r w:rsidR="006017FB" w:rsidRPr="00AC713D">
        <w:rPr>
          <w:rFonts w:cs="Arial"/>
        </w:rPr>
        <w:t>PFNonwovens</w:t>
      </w:r>
      <w:r w:rsidRPr="00AC713D">
        <w:rPr>
          <w:rFonts w:cs="Arial"/>
        </w:rPr>
        <w:t xml:space="preserve"> a.s., jež se konala 1</w:t>
      </w:r>
      <w:r w:rsidR="00495CEC" w:rsidRPr="00AC713D">
        <w:rPr>
          <w:rFonts w:cs="Arial"/>
        </w:rPr>
        <w:t>5</w:t>
      </w:r>
      <w:r w:rsidRPr="00AC713D">
        <w:rPr>
          <w:rFonts w:cs="Arial"/>
        </w:rPr>
        <w:t xml:space="preserve">. června </w:t>
      </w:r>
      <w:r w:rsidR="00495CEC" w:rsidRPr="00AC713D">
        <w:rPr>
          <w:rFonts w:cs="Arial"/>
        </w:rPr>
        <w:t xml:space="preserve">2020 </w:t>
      </w:r>
      <w:r w:rsidRPr="00AC713D">
        <w:rPr>
          <w:rFonts w:cs="Arial"/>
        </w:rPr>
        <w:t xml:space="preserve">ve Znojmě-Příměticích, byly schváleny všechny body programu předložené k projednání a hlasování. </w:t>
      </w:r>
    </w:p>
    <w:p w14:paraId="3DF5F5B7" w14:textId="77777777" w:rsidR="000C292F" w:rsidRPr="00AC713D" w:rsidRDefault="000C292F" w:rsidP="000C292F">
      <w:pPr>
        <w:pStyle w:val="Normlnweb"/>
        <w:rPr>
          <w:rFonts w:cs="Arial"/>
        </w:rPr>
      </w:pPr>
      <w:r w:rsidRPr="00AC713D">
        <w:rPr>
          <w:rFonts w:cs="Arial"/>
        </w:rPr>
        <w:t>Program řádné valné hromady byl následující:</w:t>
      </w:r>
    </w:p>
    <w:p w14:paraId="1FE0539C" w14:textId="77777777" w:rsidR="000C292F" w:rsidRPr="00AC713D" w:rsidRDefault="000C292F" w:rsidP="000C292F">
      <w:pPr>
        <w:pStyle w:val="Odstavecseseznamem"/>
        <w:numPr>
          <w:ilvl w:val="0"/>
          <w:numId w:val="16"/>
        </w:numPr>
        <w:tabs>
          <w:tab w:val="clear" w:pos="720"/>
          <w:tab w:val="left" w:pos="900"/>
        </w:tabs>
        <w:ind w:left="360"/>
        <w:rPr>
          <w:rFonts w:eastAsia="SimSun" w:cs="Arial"/>
        </w:rPr>
      </w:pPr>
      <w:r w:rsidRPr="00AC713D">
        <w:rPr>
          <w:rFonts w:eastAsia="SimSun" w:cs="Arial"/>
        </w:rPr>
        <w:t>Volba předsedy valné hromady, zapisovatele, ověřovatelů zápisu a osob pověřených sčítáním hlasů.</w:t>
      </w:r>
    </w:p>
    <w:p w14:paraId="7BF45140" w14:textId="77777777" w:rsidR="000C292F" w:rsidRPr="00AC713D" w:rsidRDefault="000C292F" w:rsidP="000C292F">
      <w:pPr>
        <w:pStyle w:val="Odstavecseseznamem"/>
        <w:numPr>
          <w:ilvl w:val="0"/>
          <w:numId w:val="16"/>
        </w:numPr>
        <w:tabs>
          <w:tab w:val="clear" w:pos="720"/>
          <w:tab w:val="left" w:pos="900"/>
        </w:tabs>
        <w:ind w:left="360"/>
        <w:rPr>
          <w:rFonts w:eastAsia="SimSun" w:cs="Arial"/>
        </w:rPr>
      </w:pPr>
      <w:r w:rsidRPr="00AC713D">
        <w:rPr>
          <w:rFonts w:eastAsia="SimSun" w:cs="Arial"/>
        </w:rPr>
        <w:t>Schválení jednacího řádu valné hromady.</w:t>
      </w:r>
    </w:p>
    <w:p w14:paraId="66DDEC53" w14:textId="6095826D" w:rsidR="000C292F" w:rsidRPr="00AC713D" w:rsidRDefault="00FA13FF" w:rsidP="000C292F">
      <w:pPr>
        <w:pStyle w:val="Odstavecseseznamem"/>
        <w:numPr>
          <w:ilvl w:val="0"/>
          <w:numId w:val="16"/>
        </w:numPr>
        <w:tabs>
          <w:tab w:val="clear" w:pos="720"/>
          <w:tab w:val="left" w:pos="900"/>
        </w:tabs>
        <w:ind w:left="360"/>
        <w:rPr>
          <w:rFonts w:eastAsia="SimSun" w:cs="Arial"/>
        </w:rPr>
      </w:pPr>
      <w:r w:rsidRPr="00AC713D">
        <w:rPr>
          <w:rFonts w:eastAsia="SimSun" w:cs="Arial"/>
        </w:rPr>
        <w:t>Zpráva představenstva o podnikatelské činnosti Společnosti a o stavu jejího majetku za rok 2019; souhrnná vysvětlující zpráva podle § 118 odst. 9 zákona č. 256/2004 Sb., o podnikání na kapitálovém trhu, v aktuálním znění; závěry zprávy o vztazích Společnosti za rok 2019</w:t>
      </w:r>
      <w:r w:rsidR="000C292F" w:rsidRPr="00AC713D">
        <w:rPr>
          <w:rFonts w:eastAsia="SimSun" w:cs="Arial"/>
        </w:rPr>
        <w:t>.</w:t>
      </w:r>
    </w:p>
    <w:p w14:paraId="6AC01187" w14:textId="6798B0BB" w:rsidR="000C292F" w:rsidRPr="00AC713D" w:rsidRDefault="00FA13FF" w:rsidP="000C292F">
      <w:pPr>
        <w:pStyle w:val="Odstavecseseznamem"/>
        <w:numPr>
          <w:ilvl w:val="0"/>
          <w:numId w:val="16"/>
        </w:numPr>
        <w:tabs>
          <w:tab w:val="clear" w:pos="720"/>
          <w:tab w:val="left" w:pos="900"/>
        </w:tabs>
        <w:ind w:left="360"/>
        <w:rPr>
          <w:rFonts w:eastAsia="SimSun" w:cs="Arial"/>
        </w:rPr>
      </w:pPr>
      <w:r w:rsidRPr="00AC713D">
        <w:rPr>
          <w:rFonts w:eastAsia="SimSun" w:cs="Arial"/>
        </w:rPr>
        <w:t>Zpráva dozorčí rady o výsledcích její činnosti za rok 2019; vyjádření dozorčí rady k řádné konsolidované účetní závěrce za rok 2019, k řádné nekonsolidované účetní závěrce za rok 2019, k návrhu na vypořádání ztráty za rok 2019 a</w:t>
      </w:r>
      <w:r w:rsidR="00603330">
        <w:rPr>
          <w:rFonts w:eastAsia="SimSun" w:cs="Arial"/>
        </w:rPr>
        <w:t> </w:t>
      </w:r>
      <w:r w:rsidRPr="00AC713D">
        <w:rPr>
          <w:rFonts w:eastAsia="SimSun" w:cs="Arial"/>
        </w:rPr>
        <w:t>ke</w:t>
      </w:r>
      <w:r w:rsidR="00603330">
        <w:rPr>
          <w:rFonts w:eastAsia="SimSun" w:cs="Arial"/>
        </w:rPr>
        <w:t> </w:t>
      </w:r>
      <w:r w:rsidRPr="00AC713D">
        <w:rPr>
          <w:rFonts w:eastAsia="SimSun" w:cs="Arial"/>
        </w:rPr>
        <w:t>zprávě o vztazích Společnosti za rok 2019</w:t>
      </w:r>
      <w:r w:rsidR="000C292F" w:rsidRPr="00AC713D">
        <w:rPr>
          <w:rFonts w:eastAsia="SimSun" w:cs="Arial"/>
        </w:rPr>
        <w:t>.</w:t>
      </w:r>
    </w:p>
    <w:p w14:paraId="656D5F07" w14:textId="6EC4FC48" w:rsidR="000C292F" w:rsidRPr="00AC713D" w:rsidRDefault="00FA13FF" w:rsidP="000C292F">
      <w:pPr>
        <w:pStyle w:val="Odstavecseseznamem"/>
        <w:numPr>
          <w:ilvl w:val="0"/>
          <w:numId w:val="16"/>
        </w:numPr>
        <w:tabs>
          <w:tab w:val="clear" w:pos="720"/>
          <w:tab w:val="left" w:pos="900"/>
        </w:tabs>
        <w:ind w:left="360"/>
        <w:rPr>
          <w:rFonts w:eastAsia="SimSun" w:cs="Arial"/>
        </w:rPr>
      </w:pPr>
      <w:r w:rsidRPr="00AC713D">
        <w:rPr>
          <w:rFonts w:eastAsia="SimSun" w:cs="Arial"/>
        </w:rPr>
        <w:t>Schválení řádné konsolidované účetní závěrky Společnosti sestavené k 31. 12. 2019</w:t>
      </w:r>
      <w:r w:rsidR="000C292F" w:rsidRPr="00AC713D">
        <w:rPr>
          <w:rFonts w:eastAsia="SimSun" w:cs="Arial"/>
        </w:rPr>
        <w:t>.</w:t>
      </w:r>
    </w:p>
    <w:p w14:paraId="2FE37A78" w14:textId="160F4654" w:rsidR="000C292F" w:rsidRPr="00AC713D" w:rsidRDefault="00FA13FF" w:rsidP="000C292F">
      <w:pPr>
        <w:pStyle w:val="Odstavecseseznamem"/>
        <w:numPr>
          <w:ilvl w:val="0"/>
          <w:numId w:val="16"/>
        </w:numPr>
        <w:tabs>
          <w:tab w:val="clear" w:pos="720"/>
          <w:tab w:val="left" w:pos="900"/>
        </w:tabs>
        <w:ind w:left="360"/>
        <w:rPr>
          <w:rFonts w:eastAsia="SimSun" w:cs="Arial"/>
        </w:rPr>
      </w:pPr>
      <w:r w:rsidRPr="00AC713D">
        <w:rPr>
          <w:rFonts w:eastAsia="SimSun" w:cs="Arial"/>
        </w:rPr>
        <w:t>Schválení řádné nekonsolidované účetní závěrky Společnosti sestavené k 31. 12. 2019</w:t>
      </w:r>
      <w:r w:rsidR="000C292F" w:rsidRPr="00AC713D">
        <w:rPr>
          <w:rFonts w:eastAsia="SimSun" w:cs="Arial"/>
        </w:rPr>
        <w:t>.</w:t>
      </w:r>
    </w:p>
    <w:p w14:paraId="44DE08CA" w14:textId="6309B4D8" w:rsidR="000C292F" w:rsidRPr="00AC713D" w:rsidRDefault="00FA13FF" w:rsidP="000C292F">
      <w:pPr>
        <w:pStyle w:val="Odstavecseseznamem"/>
        <w:numPr>
          <w:ilvl w:val="0"/>
          <w:numId w:val="16"/>
        </w:numPr>
        <w:tabs>
          <w:tab w:val="clear" w:pos="720"/>
          <w:tab w:val="left" w:pos="900"/>
        </w:tabs>
        <w:ind w:left="360"/>
        <w:rPr>
          <w:rFonts w:eastAsia="SimSun" w:cs="Arial"/>
        </w:rPr>
      </w:pPr>
      <w:r w:rsidRPr="00AC713D">
        <w:rPr>
          <w:rFonts w:eastAsia="SimSun" w:cs="Arial"/>
        </w:rPr>
        <w:t>Rozhodnutí o vypořádání ztráty Společnosti za rok 2019</w:t>
      </w:r>
      <w:r w:rsidR="000C292F" w:rsidRPr="00AC713D">
        <w:rPr>
          <w:rFonts w:eastAsia="SimSun" w:cs="Arial"/>
        </w:rPr>
        <w:t>.</w:t>
      </w:r>
    </w:p>
    <w:p w14:paraId="1503F3E5" w14:textId="066BA261" w:rsidR="000C292F" w:rsidRPr="00AC713D" w:rsidRDefault="008F7991" w:rsidP="000C292F">
      <w:pPr>
        <w:pStyle w:val="Odstavecseseznamem"/>
        <w:numPr>
          <w:ilvl w:val="0"/>
          <w:numId w:val="16"/>
        </w:numPr>
        <w:tabs>
          <w:tab w:val="clear" w:pos="720"/>
          <w:tab w:val="left" w:pos="900"/>
        </w:tabs>
        <w:ind w:left="360"/>
        <w:rPr>
          <w:rFonts w:eastAsia="SimSun" w:cs="Arial"/>
        </w:rPr>
      </w:pPr>
      <w:r w:rsidRPr="00AC713D">
        <w:rPr>
          <w:rFonts w:eastAsia="SimSun" w:cs="Arial"/>
        </w:rPr>
        <w:t xml:space="preserve">Určení auditora k provedení povinného auditu Společnosti pro rok </w:t>
      </w:r>
      <w:r w:rsidR="00FA13FF" w:rsidRPr="00AC713D">
        <w:rPr>
          <w:rFonts w:eastAsia="SimSun" w:cs="Arial"/>
        </w:rPr>
        <w:t>2020</w:t>
      </w:r>
      <w:r w:rsidR="000C292F" w:rsidRPr="00AC713D">
        <w:rPr>
          <w:rFonts w:eastAsia="SimSun" w:cs="Arial"/>
        </w:rPr>
        <w:t>.</w:t>
      </w:r>
    </w:p>
    <w:p w14:paraId="0332AED5" w14:textId="12A2FFEF" w:rsidR="00FA13FF" w:rsidRPr="00AC713D" w:rsidRDefault="00FA13FF" w:rsidP="00424B97">
      <w:pPr>
        <w:pStyle w:val="Odstavecseseznamem"/>
        <w:numPr>
          <w:ilvl w:val="0"/>
          <w:numId w:val="16"/>
        </w:numPr>
        <w:tabs>
          <w:tab w:val="clear" w:pos="720"/>
          <w:tab w:val="left" w:pos="900"/>
        </w:tabs>
        <w:ind w:left="360"/>
        <w:rPr>
          <w:rFonts w:eastAsia="SimSun" w:cs="Arial"/>
        </w:rPr>
      </w:pPr>
      <w:r w:rsidRPr="00AC713D">
        <w:rPr>
          <w:rFonts w:eastAsia="SimSun" w:cs="Arial"/>
        </w:rPr>
        <w:t>Schválení politiky odměňování Společnosti.</w:t>
      </w:r>
    </w:p>
    <w:p w14:paraId="469D8EB1" w14:textId="1FF51702" w:rsidR="00FA13FF" w:rsidRPr="00AC713D" w:rsidRDefault="00FA13FF" w:rsidP="002C4FFF">
      <w:pPr>
        <w:pStyle w:val="Odstavecseseznamem"/>
        <w:numPr>
          <w:ilvl w:val="0"/>
          <w:numId w:val="16"/>
        </w:numPr>
        <w:tabs>
          <w:tab w:val="clear" w:pos="720"/>
        </w:tabs>
        <w:ind w:left="360"/>
        <w:rPr>
          <w:rFonts w:eastAsia="SimSun" w:cs="Arial"/>
        </w:rPr>
      </w:pPr>
      <w:r w:rsidRPr="00AC713D">
        <w:rPr>
          <w:rFonts w:eastAsia="SimSun" w:cs="Arial"/>
        </w:rPr>
        <w:t>Volba pana Oldřicha Šlemra do funkce člena dozorčí rady Společnosti.</w:t>
      </w:r>
    </w:p>
    <w:p w14:paraId="35593F2C" w14:textId="77777777" w:rsidR="00FA13FF" w:rsidRPr="00AC713D" w:rsidRDefault="00FA13FF" w:rsidP="00FA13FF">
      <w:pPr>
        <w:pStyle w:val="Odstavecseseznamem"/>
        <w:numPr>
          <w:ilvl w:val="0"/>
          <w:numId w:val="16"/>
        </w:numPr>
        <w:tabs>
          <w:tab w:val="clear" w:pos="720"/>
        </w:tabs>
        <w:ind w:left="360"/>
        <w:rPr>
          <w:rFonts w:eastAsia="SimSun" w:cs="Arial"/>
        </w:rPr>
      </w:pPr>
      <w:r w:rsidRPr="00AC713D">
        <w:rPr>
          <w:rFonts w:eastAsia="SimSun" w:cs="Arial"/>
        </w:rPr>
        <w:t>Volba pana Pavla Baudiše do funkce člena dozorčí rady Společnosti.</w:t>
      </w:r>
    </w:p>
    <w:p w14:paraId="18806061" w14:textId="32DDA14A" w:rsidR="00FA13FF" w:rsidRDefault="00FA13FF" w:rsidP="002C4FFF">
      <w:pPr>
        <w:pStyle w:val="Odstavecseseznamem"/>
        <w:numPr>
          <w:ilvl w:val="0"/>
          <w:numId w:val="16"/>
        </w:numPr>
        <w:tabs>
          <w:tab w:val="clear" w:pos="720"/>
        </w:tabs>
        <w:ind w:left="360"/>
        <w:rPr>
          <w:rFonts w:eastAsia="SimSun" w:cs="Arial"/>
        </w:rPr>
      </w:pPr>
      <w:r w:rsidRPr="00AC713D">
        <w:rPr>
          <w:rFonts w:eastAsia="SimSun" w:cs="Arial"/>
        </w:rPr>
        <w:t>Volba pana Eduarda Kučery do funkce člena dozorčí rady Společnosti.</w:t>
      </w:r>
    </w:p>
    <w:p w14:paraId="2CC1B16F" w14:textId="77777777" w:rsidR="002841C0" w:rsidRPr="00A62A27" w:rsidRDefault="002841C0" w:rsidP="002841C0">
      <w:pPr>
        <w:pStyle w:val="Odstavecseseznamem"/>
        <w:numPr>
          <w:ilvl w:val="0"/>
          <w:numId w:val="16"/>
        </w:numPr>
        <w:tabs>
          <w:tab w:val="clear" w:pos="720"/>
        </w:tabs>
        <w:ind w:left="360"/>
        <w:rPr>
          <w:rFonts w:eastAsia="SimSun" w:cs="Arial"/>
        </w:rPr>
      </w:pPr>
      <w:r w:rsidRPr="00A62A27">
        <w:rPr>
          <w:rFonts w:eastAsia="SimSun" w:cs="Arial"/>
        </w:rPr>
        <w:t>Volba pana Ivana Hayeka do funkce člena výboru pro audit Společnosti.</w:t>
      </w:r>
    </w:p>
    <w:p w14:paraId="1DC0CBCA" w14:textId="77777777" w:rsidR="002841C0" w:rsidRPr="00A62A27" w:rsidRDefault="002841C0" w:rsidP="002841C0">
      <w:pPr>
        <w:pStyle w:val="Odstavecseseznamem"/>
        <w:numPr>
          <w:ilvl w:val="0"/>
          <w:numId w:val="16"/>
        </w:numPr>
        <w:tabs>
          <w:tab w:val="clear" w:pos="720"/>
        </w:tabs>
        <w:ind w:left="360"/>
        <w:rPr>
          <w:rFonts w:eastAsia="SimSun" w:cs="Arial"/>
        </w:rPr>
      </w:pPr>
      <w:r w:rsidRPr="00A62A27">
        <w:rPr>
          <w:rFonts w:eastAsia="SimSun" w:cs="Arial"/>
        </w:rPr>
        <w:t>Volba paní Hany Černé do funkce členky výboru pro audit Společnosti.</w:t>
      </w:r>
    </w:p>
    <w:p w14:paraId="0856BD68" w14:textId="77777777" w:rsidR="002841C0" w:rsidRPr="00A62A27" w:rsidRDefault="002841C0" w:rsidP="002841C0">
      <w:pPr>
        <w:pStyle w:val="Odstavecseseznamem"/>
        <w:numPr>
          <w:ilvl w:val="0"/>
          <w:numId w:val="16"/>
        </w:numPr>
        <w:tabs>
          <w:tab w:val="clear" w:pos="720"/>
        </w:tabs>
        <w:ind w:left="360"/>
        <w:rPr>
          <w:rFonts w:eastAsia="SimSun" w:cs="Arial"/>
        </w:rPr>
      </w:pPr>
      <w:r w:rsidRPr="00A62A27">
        <w:rPr>
          <w:rFonts w:eastAsia="SimSun" w:cs="Arial"/>
        </w:rPr>
        <w:t>Volba paní Aleny Naatz do funkce členky výboru pro audit Společnosti.</w:t>
      </w:r>
    </w:p>
    <w:p w14:paraId="7B816C2F" w14:textId="11F65F31" w:rsidR="002841C0" w:rsidRPr="00A703A5" w:rsidRDefault="002841C0" w:rsidP="000C67C3">
      <w:pPr>
        <w:pStyle w:val="Odstavecseseznamem"/>
        <w:numPr>
          <w:ilvl w:val="0"/>
          <w:numId w:val="16"/>
        </w:numPr>
        <w:tabs>
          <w:tab w:val="clear" w:pos="720"/>
        </w:tabs>
        <w:ind w:left="360"/>
        <w:rPr>
          <w:rFonts w:eastAsia="SimSun" w:cs="Arial"/>
        </w:rPr>
      </w:pPr>
      <w:r w:rsidRPr="00A62A27">
        <w:rPr>
          <w:rFonts w:eastAsia="SimSun" w:cs="Arial"/>
        </w:rPr>
        <w:t>Schválení smluv o výkonu funkce s členy výboru pro audit, panem Ivanem Hayekem a paní Hanou Černou.</w:t>
      </w:r>
    </w:p>
    <w:p w14:paraId="02E6B3D9" w14:textId="77777777" w:rsidR="009566C6" w:rsidRPr="00AC713D" w:rsidRDefault="009566C6">
      <w:pPr>
        <w:spacing w:before="0" w:beforeAutospacing="0" w:after="160" w:afterAutospacing="0" w:line="259" w:lineRule="auto"/>
        <w:jc w:val="left"/>
        <w:rPr>
          <w:rFonts w:cs="Arial"/>
          <w:b/>
          <w:color w:val="2A7FC6"/>
        </w:rPr>
      </w:pPr>
      <w:bookmarkStart w:id="45" w:name="_Toc165188449"/>
      <w:r w:rsidRPr="00AC713D">
        <w:rPr>
          <w:rFonts w:cs="Arial"/>
        </w:rPr>
        <w:br w:type="page"/>
      </w:r>
    </w:p>
    <w:p w14:paraId="150D1609" w14:textId="2FB724F6" w:rsidR="000C292F" w:rsidRPr="00AC713D" w:rsidRDefault="000C292F" w:rsidP="000C292F">
      <w:pPr>
        <w:pStyle w:val="Nadpis4"/>
        <w:rPr>
          <w:rFonts w:cs="Arial"/>
        </w:rPr>
      </w:pPr>
      <w:r w:rsidRPr="00AC713D">
        <w:rPr>
          <w:rFonts w:cs="Arial"/>
        </w:rPr>
        <w:lastRenderedPageBreak/>
        <w:t>Složení představe</w:t>
      </w:r>
      <w:bookmarkEnd w:id="45"/>
      <w:r w:rsidRPr="00AC713D">
        <w:rPr>
          <w:rFonts w:cs="Arial"/>
        </w:rPr>
        <w:t xml:space="preserve">nstva Společnosti ke dni 30. června </w:t>
      </w:r>
      <w:r w:rsidR="00FA13FF" w:rsidRPr="00AC713D">
        <w:rPr>
          <w:rFonts w:cs="Arial"/>
        </w:rPr>
        <w:t>2020</w:t>
      </w:r>
    </w:p>
    <w:tbl>
      <w:tblPr>
        <w:tblW w:w="5000" w:type="pct"/>
        <w:tblBorders>
          <w:top w:val="single" w:sz="4" w:space="0" w:color="9C9D9F"/>
          <w:bottom w:val="single" w:sz="4" w:space="0" w:color="9C9D9F"/>
          <w:insideH w:val="single" w:sz="4" w:space="0" w:color="9C9D9F"/>
        </w:tblBorders>
        <w:tblCellMar>
          <w:left w:w="115" w:type="dxa"/>
          <w:right w:w="115" w:type="dxa"/>
        </w:tblCellMar>
        <w:tblLook w:val="01E0" w:firstRow="1" w:lastRow="1" w:firstColumn="1" w:lastColumn="1" w:noHBand="0" w:noVBand="0"/>
      </w:tblPr>
      <w:tblGrid>
        <w:gridCol w:w="3088"/>
        <w:gridCol w:w="3308"/>
        <w:gridCol w:w="2676"/>
      </w:tblGrid>
      <w:tr w:rsidR="000C292F" w:rsidRPr="00AC713D" w14:paraId="67DCCF6E" w14:textId="77777777" w:rsidTr="00FA13FF">
        <w:trPr>
          <w:cantSplit/>
          <w:trHeight w:val="535"/>
        </w:trPr>
        <w:tc>
          <w:tcPr>
            <w:tcW w:w="1702" w:type="pct"/>
            <w:shd w:val="clear" w:color="auto" w:fill="2A7FC6"/>
            <w:vAlign w:val="center"/>
          </w:tcPr>
          <w:p w14:paraId="321312EA" w14:textId="77777777" w:rsidR="000C292F" w:rsidRPr="00AC713D" w:rsidRDefault="000C292F" w:rsidP="000C292F">
            <w:pPr>
              <w:pStyle w:val="AODocTxtCharChar"/>
              <w:numPr>
                <w:ilvl w:val="0"/>
                <w:numId w:val="2"/>
              </w:numPr>
              <w:spacing w:before="0" w:beforeAutospacing="0" w:after="0" w:afterAutospacing="0" w:line="360" w:lineRule="auto"/>
              <w:jc w:val="left"/>
              <w:rPr>
                <w:rFonts w:cs="Arial"/>
                <w:b/>
                <w:color w:val="FFFFFF" w:themeColor="background1"/>
                <w:lang w:val="cs-CZ"/>
              </w:rPr>
            </w:pPr>
            <w:r w:rsidRPr="00AC713D">
              <w:rPr>
                <w:rFonts w:cs="Arial"/>
                <w:b/>
                <w:color w:val="FFFFFF" w:themeColor="background1"/>
                <w:lang w:val="cs-CZ"/>
              </w:rPr>
              <w:t>Jméno</w:t>
            </w:r>
          </w:p>
        </w:tc>
        <w:tc>
          <w:tcPr>
            <w:tcW w:w="1823" w:type="pct"/>
            <w:shd w:val="clear" w:color="auto" w:fill="2A7FC6"/>
            <w:vAlign w:val="center"/>
          </w:tcPr>
          <w:p w14:paraId="20C964F7" w14:textId="77777777" w:rsidR="000C292F" w:rsidRPr="00AC713D" w:rsidRDefault="000C292F" w:rsidP="000C292F">
            <w:pPr>
              <w:pStyle w:val="AODocTxtCharChar"/>
              <w:numPr>
                <w:ilvl w:val="0"/>
                <w:numId w:val="2"/>
              </w:numPr>
              <w:spacing w:before="0" w:beforeAutospacing="0" w:after="0" w:afterAutospacing="0" w:line="360" w:lineRule="auto"/>
              <w:jc w:val="left"/>
              <w:rPr>
                <w:rFonts w:cs="Arial"/>
                <w:b/>
                <w:color w:val="FFFFFF" w:themeColor="background1"/>
                <w:lang w:val="cs-CZ"/>
              </w:rPr>
            </w:pPr>
            <w:r w:rsidRPr="00AC713D">
              <w:rPr>
                <w:rFonts w:cs="Arial"/>
                <w:b/>
                <w:color w:val="FFFFFF" w:themeColor="background1"/>
                <w:lang w:val="cs-CZ"/>
              </w:rPr>
              <w:t>Pozice/funkce</w:t>
            </w:r>
          </w:p>
        </w:tc>
        <w:tc>
          <w:tcPr>
            <w:tcW w:w="1475" w:type="pct"/>
            <w:shd w:val="clear" w:color="auto" w:fill="2A7FC6"/>
            <w:vAlign w:val="center"/>
          </w:tcPr>
          <w:p w14:paraId="693315EB" w14:textId="5B6A0AFA" w:rsidR="000C292F" w:rsidRPr="00AC713D" w:rsidRDefault="000C292F" w:rsidP="000C292F">
            <w:pPr>
              <w:pStyle w:val="AODocTxtCharChar"/>
              <w:numPr>
                <w:ilvl w:val="0"/>
                <w:numId w:val="2"/>
              </w:numPr>
              <w:spacing w:before="0" w:beforeAutospacing="0" w:after="0" w:afterAutospacing="0" w:line="360" w:lineRule="auto"/>
              <w:jc w:val="right"/>
              <w:rPr>
                <w:rFonts w:cs="Arial"/>
                <w:b/>
                <w:color w:val="FFFFFF" w:themeColor="background1"/>
                <w:lang w:val="cs-CZ"/>
              </w:rPr>
            </w:pPr>
            <w:r w:rsidRPr="00AC713D">
              <w:rPr>
                <w:rFonts w:cs="Arial"/>
                <w:b/>
                <w:color w:val="FFFFFF" w:themeColor="background1"/>
                <w:lang w:val="cs-CZ"/>
              </w:rPr>
              <w:t>Funkční období v první polovině 20</w:t>
            </w:r>
            <w:r w:rsidR="0058244A">
              <w:rPr>
                <w:rFonts w:cs="Arial"/>
                <w:b/>
                <w:color w:val="FFFFFF" w:themeColor="background1"/>
                <w:lang w:val="cs-CZ"/>
              </w:rPr>
              <w:t>20</w:t>
            </w:r>
          </w:p>
        </w:tc>
      </w:tr>
      <w:tr w:rsidR="000C292F" w:rsidRPr="00AC713D" w14:paraId="41FDA0B1" w14:textId="77777777" w:rsidTr="00FA13FF">
        <w:trPr>
          <w:cantSplit/>
          <w:trHeight w:val="346"/>
        </w:trPr>
        <w:tc>
          <w:tcPr>
            <w:tcW w:w="1702" w:type="pct"/>
            <w:vAlign w:val="center"/>
          </w:tcPr>
          <w:p w14:paraId="1D0EA0DB" w14:textId="778E6CA4" w:rsidR="000C292F" w:rsidRPr="00AC713D" w:rsidRDefault="008F7991" w:rsidP="000C292F">
            <w:pPr>
              <w:pStyle w:val="AODocTxtCharChar"/>
              <w:numPr>
                <w:ilvl w:val="0"/>
                <w:numId w:val="2"/>
              </w:numPr>
              <w:spacing w:before="0" w:beforeAutospacing="0" w:after="0" w:afterAutospacing="0" w:line="360" w:lineRule="auto"/>
              <w:jc w:val="left"/>
              <w:rPr>
                <w:rFonts w:cs="Arial"/>
                <w:lang w:val="cs-CZ"/>
              </w:rPr>
            </w:pPr>
            <w:r w:rsidRPr="00AC713D">
              <w:rPr>
                <w:rFonts w:cs="Arial"/>
                <w:lang w:val="cs-CZ"/>
              </w:rPr>
              <w:t>Carl Allen Bodford</w:t>
            </w:r>
          </w:p>
        </w:tc>
        <w:tc>
          <w:tcPr>
            <w:tcW w:w="1823" w:type="pct"/>
            <w:vAlign w:val="center"/>
          </w:tcPr>
          <w:p w14:paraId="553DA8A1" w14:textId="77777777" w:rsidR="000C292F" w:rsidRPr="00AC713D" w:rsidRDefault="000C292F" w:rsidP="000C292F">
            <w:pPr>
              <w:pStyle w:val="AODocTxtCharChar"/>
              <w:numPr>
                <w:ilvl w:val="0"/>
                <w:numId w:val="2"/>
              </w:numPr>
              <w:spacing w:before="0" w:beforeAutospacing="0" w:after="0" w:afterAutospacing="0" w:line="360" w:lineRule="auto"/>
              <w:jc w:val="left"/>
              <w:rPr>
                <w:rFonts w:eastAsia="Batang" w:cs="Arial"/>
                <w:lang w:val="cs-CZ"/>
              </w:rPr>
            </w:pPr>
            <w:r w:rsidRPr="00AC713D">
              <w:rPr>
                <w:rFonts w:cs="Arial"/>
                <w:lang w:val="cs-CZ"/>
              </w:rPr>
              <w:t>předseda představenstva</w:t>
            </w:r>
          </w:p>
        </w:tc>
        <w:tc>
          <w:tcPr>
            <w:tcW w:w="1475" w:type="pct"/>
            <w:vAlign w:val="center"/>
          </w:tcPr>
          <w:p w14:paraId="397B15BC" w14:textId="55F69BA2" w:rsidR="000C292F" w:rsidRPr="00AC713D" w:rsidRDefault="000C292F" w:rsidP="000C292F">
            <w:pPr>
              <w:pStyle w:val="AODocTxtCharChar"/>
              <w:numPr>
                <w:ilvl w:val="0"/>
                <w:numId w:val="2"/>
              </w:numPr>
              <w:spacing w:before="0" w:beforeAutospacing="0" w:after="0" w:afterAutospacing="0" w:line="360" w:lineRule="auto"/>
              <w:jc w:val="right"/>
              <w:rPr>
                <w:rFonts w:cs="Arial"/>
                <w:lang w:val="cs-CZ"/>
              </w:rPr>
            </w:pPr>
            <w:r w:rsidRPr="00AC713D">
              <w:rPr>
                <w:rFonts w:cs="Arial"/>
                <w:lang w:val="cs-CZ"/>
              </w:rPr>
              <w:t>1. 1. 20</w:t>
            </w:r>
            <w:r w:rsidR="00FA13FF" w:rsidRPr="00AC713D">
              <w:rPr>
                <w:rFonts w:cs="Arial"/>
                <w:lang w:val="cs-CZ"/>
              </w:rPr>
              <w:t>20</w:t>
            </w:r>
            <w:r w:rsidRPr="00AC713D">
              <w:rPr>
                <w:rFonts w:cs="Arial"/>
                <w:lang w:val="cs-CZ"/>
              </w:rPr>
              <w:t xml:space="preserve"> – 30. 6. 20</w:t>
            </w:r>
            <w:r w:rsidR="00FA13FF" w:rsidRPr="00AC713D">
              <w:rPr>
                <w:rFonts w:cs="Arial"/>
                <w:lang w:val="cs-CZ"/>
              </w:rPr>
              <w:t>20</w:t>
            </w:r>
          </w:p>
        </w:tc>
      </w:tr>
      <w:tr w:rsidR="000C292F" w:rsidRPr="00AC713D" w14:paraId="12807D8B" w14:textId="77777777" w:rsidTr="00FA13FF">
        <w:trPr>
          <w:cantSplit/>
        </w:trPr>
        <w:tc>
          <w:tcPr>
            <w:tcW w:w="1702" w:type="pct"/>
            <w:vAlign w:val="center"/>
          </w:tcPr>
          <w:p w14:paraId="3A0A8682" w14:textId="70BD87F7" w:rsidR="000C292F" w:rsidRPr="00AC713D" w:rsidRDefault="00FA13FF" w:rsidP="000C292F">
            <w:pPr>
              <w:pStyle w:val="AODocTxtCharChar"/>
              <w:numPr>
                <w:ilvl w:val="0"/>
                <w:numId w:val="2"/>
              </w:numPr>
              <w:spacing w:before="0" w:beforeAutospacing="0" w:after="0" w:afterAutospacing="0" w:line="360" w:lineRule="auto"/>
              <w:jc w:val="left"/>
              <w:rPr>
                <w:rFonts w:cs="Arial"/>
                <w:lang w:val="cs-CZ"/>
              </w:rPr>
            </w:pPr>
            <w:r w:rsidRPr="00AC713D">
              <w:rPr>
                <w:rFonts w:cs="Arial"/>
                <w:lang w:val="cs-CZ"/>
              </w:rPr>
              <w:t>Antonius de Beer</w:t>
            </w:r>
          </w:p>
        </w:tc>
        <w:tc>
          <w:tcPr>
            <w:tcW w:w="1823" w:type="pct"/>
            <w:vAlign w:val="center"/>
          </w:tcPr>
          <w:p w14:paraId="40D70BC2" w14:textId="77777777" w:rsidR="000C292F" w:rsidRPr="00AC713D" w:rsidRDefault="000C292F" w:rsidP="000C292F">
            <w:pPr>
              <w:pStyle w:val="AODocTxtCharChar"/>
              <w:numPr>
                <w:ilvl w:val="0"/>
                <w:numId w:val="2"/>
              </w:numPr>
              <w:spacing w:before="0" w:beforeAutospacing="0" w:after="0" w:afterAutospacing="0" w:line="360" w:lineRule="auto"/>
              <w:jc w:val="left"/>
              <w:rPr>
                <w:rFonts w:eastAsia="Batang" w:cs="Arial"/>
                <w:lang w:val="cs-CZ"/>
              </w:rPr>
            </w:pPr>
            <w:r w:rsidRPr="00AC713D">
              <w:rPr>
                <w:rFonts w:cs="Arial"/>
                <w:lang w:val="cs-CZ"/>
              </w:rPr>
              <w:t>člen představenstva</w:t>
            </w:r>
          </w:p>
        </w:tc>
        <w:tc>
          <w:tcPr>
            <w:tcW w:w="1475" w:type="pct"/>
            <w:vAlign w:val="center"/>
          </w:tcPr>
          <w:p w14:paraId="14EAE5D9" w14:textId="5E15A5F5" w:rsidR="000C292F" w:rsidRPr="00AC713D" w:rsidRDefault="000C292F" w:rsidP="000C292F">
            <w:pPr>
              <w:pStyle w:val="AODocTxtCharChar"/>
              <w:numPr>
                <w:ilvl w:val="0"/>
                <w:numId w:val="2"/>
              </w:numPr>
              <w:spacing w:before="0" w:beforeAutospacing="0" w:after="0" w:afterAutospacing="0" w:line="360" w:lineRule="auto"/>
              <w:jc w:val="right"/>
              <w:rPr>
                <w:rFonts w:cs="Arial"/>
                <w:lang w:val="cs-CZ"/>
              </w:rPr>
            </w:pPr>
            <w:r w:rsidRPr="00AC713D">
              <w:rPr>
                <w:rFonts w:cs="Arial"/>
                <w:lang w:val="cs-CZ"/>
              </w:rPr>
              <w:t xml:space="preserve">1. </w:t>
            </w:r>
            <w:r w:rsidR="00AA7280">
              <w:rPr>
                <w:rFonts w:cs="Arial"/>
                <w:lang w:val="cs-CZ"/>
              </w:rPr>
              <w:t>5</w:t>
            </w:r>
            <w:r w:rsidRPr="00AC713D">
              <w:rPr>
                <w:rFonts w:cs="Arial"/>
                <w:lang w:val="cs-CZ"/>
              </w:rPr>
              <w:t>. 20</w:t>
            </w:r>
            <w:r w:rsidR="00FA13FF" w:rsidRPr="00AC713D">
              <w:rPr>
                <w:rFonts w:cs="Arial"/>
                <w:lang w:val="cs-CZ"/>
              </w:rPr>
              <w:t>20</w:t>
            </w:r>
            <w:r w:rsidRPr="00AC713D">
              <w:rPr>
                <w:rFonts w:cs="Arial"/>
                <w:lang w:val="cs-CZ"/>
              </w:rPr>
              <w:t xml:space="preserve"> – 30. 6. 20</w:t>
            </w:r>
            <w:r w:rsidR="00FA13FF" w:rsidRPr="00AC713D">
              <w:rPr>
                <w:rFonts w:cs="Arial"/>
                <w:lang w:val="cs-CZ"/>
              </w:rPr>
              <w:t>20</w:t>
            </w:r>
          </w:p>
        </w:tc>
      </w:tr>
      <w:tr w:rsidR="000C292F" w:rsidRPr="00AC713D" w14:paraId="1C8C36D3" w14:textId="77777777" w:rsidTr="00FA13FF">
        <w:trPr>
          <w:cantSplit/>
        </w:trPr>
        <w:tc>
          <w:tcPr>
            <w:tcW w:w="1702" w:type="pct"/>
            <w:vAlign w:val="center"/>
          </w:tcPr>
          <w:p w14:paraId="665CEA73" w14:textId="77777777" w:rsidR="000C292F" w:rsidRPr="00AC713D" w:rsidRDefault="000C292F" w:rsidP="000C292F">
            <w:pPr>
              <w:pStyle w:val="AODocTxtCharChar"/>
              <w:numPr>
                <w:ilvl w:val="0"/>
                <w:numId w:val="2"/>
              </w:numPr>
              <w:spacing w:before="0" w:beforeAutospacing="0" w:after="0" w:afterAutospacing="0" w:line="360" w:lineRule="auto"/>
              <w:jc w:val="left"/>
              <w:rPr>
                <w:rFonts w:eastAsia="Batang" w:cs="Arial"/>
                <w:lang w:val="cs-CZ"/>
              </w:rPr>
            </w:pPr>
            <w:r w:rsidRPr="00AC713D">
              <w:rPr>
                <w:rFonts w:cs="Arial"/>
                <w:lang w:val="cs-CZ"/>
              </w:rPr>
              <w:t>Marian Rašík</w:t>
            </w:r>
          </w:p>
        </w:tc>
        <w:tc>
          <w:tcPr>
            <w:tcW w:w="1823" w:type="pct"/>
            <w:vAlign w:val="center"/>
          </w:tcPr>
          <w:p w14:paraId="159B3D62" w14:textId="77777777" w:rsidR="000C292F" w:rsidRPr="00AC713D" w:rsidRDefault="000C292F" w:rsidP="000C292F">
            <w:pPr>
              <w:pStyle w:val="AODocTxtCharChar"/>
              <w:numPr>
                <w:ilvl w:val="0"/>
                <w:numId w:val="2"/>
              </w:numPr>
              <w:spacing w:before="0" w:beforeAutospacing="0" w:after="0" w:afterAutospacing="0" w:line="360" w:lineRule="auto"/>
              <w:jc w:val="left"/>
              <w:rPr>
                <w:rFonts w:eastAsia="Batang" w:cs="Arial"/>
                <w:lang w:val="cs-CZ"/>
              </w:rPr>
            </w:pPr>
            <w:r w:rsidRPr="00AC713D">
              <w:rPr>
                <w:rFonts w:cs="Arial"/>
                <w:lang w:val="cs-CZ"/>
              </w:rPr>
              <w:t>člen představenstva</w:t>
            </w:r>
          </w:p>
        </w:tc>
        <w:tc>
          <w:tcPr>
            <w:tcW w:w="1475" w:type="pct"/>
            <w:vAlign w:val="center"/>
          </w:tcPr>
          <w:p w14:paraId="7F8E98E3" w14:textId="279DD9B9" w:rsidR="000C292F" w:rsidRPr="00AC713D" w:rsidRDefault="000C292F" w:rsidP="000C292F">
            <w:pPr>
              <w:pStyle w:val="AODocTxtCharChar"/>
              <w:numPr>
                <w:ilvl w:val="0"/>
                <w:numId w:val="2"/>
              </w:numPr>
              <w:spacing w:before="0" w:beforeAutospacing="0" w:after="0" w:afterAutospacing="0" w:line="360" w:lineRule="auto"/>
              <w:jc w:val="right"/>
              <w:rPr>
                <w:rFonts w:cs="Arial"/>
                <w:lang w:val="cs-CZ"/>
              </w:rPr>
            </w:pPr>
            <w:r w:rsidRPr="00AC713D">
              <w:rPr>
                <w:rFonts w:cs="Arial"/>
                <w:lang w:val="cs-CZ"/>
              </w:rPr>
              <w:t>1. 1. 20</w:t>
            </w:r>
            <w:r w:rsidR="00FA13FF" w:rsidRPr="00AC713D">
              <w:rPr>
                <w:rFonts w:cs="Arial"/>
                <w:lang w:val="cs-CZ"/>
              </w:rPr>
              <w:t>20</w:t>
            </w:r>
            <w:r w:rsidRPr="00AC713D">
              <w:rPr>
                <w:rFonts w:cs="Arial"/>
                <w:lang w:val="cs-CZ"/>
              </w:rPr>
              <w:t xml:space="preserve"> – 30. 6. 20</w:t>
            </w:r>
            <w:r w:rsidR="00FA13FF" w:rsidRPr="00AC713D">
              <w:rPr>
                <w:rFonts w:cs="Arial"/>
                <w:lang w:val="cs-CZ"/>
              </w:rPr>
              <w:t>20</w:t>
            </w:r>
          </w:p>
        </w:tc>
      </w:tr>
      <w:tr w:rsidR="000C292F" w:rsidRPr="00AC713D" w14:paraId="4C6554B9" w14:textId="77777777" w:rsidTr="00FA13FF">
        <w:tblPrEx>
          <w:tblCellMar>
            <w:left w:w="108" w:type="dxa"/>
            <w:right w:w="108" w:type="dxa"/>
          </w:tblCellMar>
        </w:tblPrEx>
        <w:tc>
          <w:tcPr>
            <w:tcW w:w="1702" w:type="pct"/>
            <w:vAlign w:val="center"/>
          </w:tcPr>
          <w:p w14:paraId="4A2007F4" w14:textId="77777777" w:rsidR="000C292F" w:rsidRPr="00AC713D" w:rsidRDefault="000C292F" w:rsidP="000C292F">
            <w:pPr>
              <w:pStyle w:val="AODocTxtCharChar"/>
              <w:numPr>
                <w:ilvl w:val="0"/>
                <w:numId w:val="2"/>
              </w:numPr>
              <w:spacing w:before="0" w:beforeAutospacing="0" w:after="0" w:afterAutospacing="0" w:line="360" w:lineRule="auto"/>
              <w:jc w:val="left"/>
              <w:rPr>
                <w:rFonts w:cs="Arial"/>
                <w:lang w:val="cs-CZ"/>
              </w:rPr>
            </w:pPr>
            <w:r w:rsidRPr="00AC713D">
              <w:rPr>
                <w:rFonts w:cs="Arial"/>
                <w:lang w:val="cs-CZ"/>
              </w:rPr>
              <w:t>Michal Smrek</w:t>
            </w:r>
          </w:p>
        </w:tc>
        <w:tc>
          <w:tcPr>
            <w:tcW w:w="1823" w:type="pct"/>
            <w:vAlign w:val="center"/>
          </w:tcPr>
          <w:p w14:paraId="49DE0A89" w14:textId="77777777" w:rsidR="000C292F" w:rsidRPr="00AC713D" w:rsidRDefault="000C292F" w:rsidP="000C292F">
            <w:pPr>
              <w:pStyle w:val="AODocTxtCharChar"/>
              <w:numPr>
                <w:ilvl w:val="0"/>
                <w:numId w:val="2"/>
              </w:numPr>
              <w:spacing w:before="0" w:beforeAutospacing="0" w:after="0" w:afterAutospacing="0" w:line="360" w:lineRule="auto"/>
              <w:jc w:val="left"/>
              <w:rPr>
                <w:rFonts w:cs="Arial"/>
                <w:lang w:val="cs-CZ"/>
              </w:rPr>
            </w:pPr>
            <w:r w:rsidRPr="00AC713D">
              <w:rPr>
                <w:rFonts w:cs="Arial"/>
                <w:lang w:val="cs-CZ"/>
              </w:rPr>
              <w:t>člen představenstva</w:t>
            </w:r>
          </w:p>
        </w:tc>
        <w:tc>
          <w:tcPr>
            <w:tcW w:w="1475" w:type="pct"/>
            <w:vAlign w:val="center"/>
          </w:tcPr>
          <w:p w14:paraId="6646FD03" w14:textId="670CB5A4" w:rsidR="000C292F" w:rsidRPr="00AC713D" w:rsidRDefault="000C292F" w:rsidP="000C292F">
            <w:pPr>
              <w:pStyle w:val="AODocTxtCharChar"/>
              <w:numPr>
                <w:ilvl w:val="0"/>
                <w:numId w:val="2"/>
              </w:numPr>
              <w:spacing w:before="0" w:beforeAutospacing="0" w:after="0" w:afterAutospacing="0" w:line="360" w:lineRule="auto"/>
              <w:jc w:val="right"/>
              <w:rPr>
                <w:rFonts w:cs="Arial"/>
                <w:lang w:val="cs-CZ"/>
              </w:rPr>
            </w:pPr>
            <w:r w:rsidRPr="00AC713D">
              <w:rPr>
                <w:rFonts w:cs="Arial"/>
                <w:lang w:val="cs-CZ"/>
              </w:rPr>
              <w:t>1. 1. 20</w:t>
            </w:r>
            <w:r w:rsidR="00FA13FF" w:rsidRPr="00AC713D">
              <w:rPr>
                <w:rFonts w:cs="Arial"/>
                <w:lang w:val="cs-CZ"/>
              </w:rPr>
              <w:t>20</w:t>
            </w:r>
            <w:r w:rsidRPr="00AC713D">
              <w:rPr>
                <w:rFonts w:cs="Arial"/>
                <w:lang w:val="cs-CZ"/>
              </w:rPr>
              <w:t xml:space="preserve"> – 30. 6. 20</w:t>
            </w:r>
            <w:r w:rsidR="00FA13FF" w:rsidRPr="00AC713D">
              <w:rPr>
                <w:rFonts w:cs="Arial"/>
                <w:lang w:val="cs-CZ"/>
              </w:rPr>
              <w:t>20</w:t>
            </w:r>
          </w:p>
        </w:tc>
      </w:tr>
      <w:tr w:rsidR="000C292F" w:rsidRPr="00AC713D" w14:paraId="60A1DCBC" w14:textId="77777777" w:rsidTr="00FA13FF">
        <w:tblPrEx>
          <w:tblCellMar>
            <w:left w:w="108" w:type="dxa"/>
            <w:right w:w="108" w:type="dxa"/>
          </w:tblCellMar>
        </w:tblPrEx>
        <w:tc>
          <w:tcPr>
            <w:tcW w:w="1702" w:type="pct"/>
            <w:vAlign w:val="center"/>
          </w:tcPr>
          <w:p w14:paraId="667027FA" w14:textId="77777777" w:rsidR="000C292F" w:rsidRPr="00AC713D" w:rsidRDefault="000C292F" w:rsidP="000C292F">
            <w:pPr>
              <w:pStyle w:val="AODocTxtCharChar"/>
              <w:numPr>
                <w:ilvl w:val="0"/>
                <w:numId w:val="2"/>
              </w:numPr>
              <w:spacing w:before="0" w:beforeAutospacing="0" w:after="0" w:afterAutospacing="0" w:line="360" w:lineRule="auto"/>
              <w:jc w:val="left"/>
              <w:rPr>
                <w:rFonts w:cs="Arial"/>
                <w:lang w:val="cs-CZ"/>
              </w:rPr>
            </w:pPr>
            <w:r w:rsidRPr="00AC713D">
              <w:rPr>
                <w:rFonts w:cs="Arial"/>
                <w:lang w:val="cs-CZ"/>
              </w:rPr>
              <w:t>Jakub Dyba</w:t>
            </w:r>
          </w:p>
        </w:tc>
        <w:tc>
          <w:tcPr>
            <w:tcW w:w="1823" w:type="pct"/>
            <w:vAlign w:val="center"/>
          </w:tcPr>
          <w:p w14:paraId="77BA9BCD" w14:textId="77777777" w:rsidR="000C292F" w:rsidRPr="00AC713D" w:rsidRDefault="000C292F" w:rsidP="000C292F">
            <w:pPr>
              <w:pStyle w:val="AODocTxtCharChar"/>
              <w:numPr>
                <w:ilvl w:val="0"/>
                <w:numId w:val="2"/>
              </w:numPr>
              <w:spacing w:before="0" w:beforeAutospacing="0" w:after="0" w:afterAutospacing="0" w:line="360" w:lineRule="auto"/>
              <w:jc w:val="left"/>
              <w:rPr>
                <w:rFonts w:cs="Arial"/>
                <w:lang w:val="cs-CZ"/>
              </w:rPr>
            </w:pPr>
            <w:r w:rsidRPr="00AC713D">
              <w:rPr>
                <w:rFonts w:cs="Arial"/>
                <w:lang w:val="cs-CZ"/>
              </w:rPr>
              <w:t>člen představenstva</w:t>
            </w:r>
          </w:p>
        </w:tc>
        <w:tc>
          <w:tcPr>
            <w:tcW w:w="1475" w:type="pct"/>
            <w:vAlign w:val="center"/>
          </w:tcPr>
          <w:p w14:paraId="4CF7FC96" w14:textId="0FB921C7" w:rsidR="000C292F" w:rsidRPr="00AC713D" w:rsidRDefault="000C292F" w:rsidP="000C292F">
            <w:pPr>
              <w:pStyle w:val="AODocTxtCharChar"/>
              <w:numPr>
                <w:ilvl w:val="0"/>
                <w:numId w:val="2"/>
              </w:numPr>
              <w:spacing w:before="0" w:beforeAutospacing="0" w:after="0" w:afterAutospacing="0" w:line="360" w:lineRule="auto"/>
              <w:jc w:val="right"/>
              <w:rPr>
                <w:rFonts w:cs="Arial"/>
                <w:lang w:val="cs-CZ"/>
              </w:rPr>
            </w:pPr>
            <w:r w:rsidRPr="00AC713D">
              <w:rPr>
                <w:rFonts w:cs="Arial"/>
                <w:lang w:val="cs-CZ"/>
              </w:rPr>
              <w:t>1. 1. 20</w:t>
            </w:r>
            <w:r w:rsidR="00FA13FF" w:rsidRPr="00AC713D">
              <w:rPr>
                <w:rFonts w:cs="Arial"/>
                <w:lang w:val="cs-CZ"/>
              </w:rPr>
              <w:t>20</w:t>
            </w:r>
            <w:r w:rsidRPr="00AC713D">
              <w:rPr>
                <w:rFonts w:cs="Arial"/>
                <w:lang w:val="cs-CZ"/>
              </w:rPr>
              <w:t xml:space="preserve"> – 30. 6. 20</w:t>
            </w:r>
            <w:r w:rsidR="00FA13FF" w:rsidRPr="00AC713D">
              <w:rPr>
                <w:rFonts w:cs="Arial"/>
                <w:lang w:val="cs-CZ"/>
              </w:rPr>
              <w:t>20</w:t>
            </w:r>
          </w:p>
        </w:tc>
      </w:tr>
    </w:tbl>
    <w:p w14:paraId="3C9DF4C2" w14:textId="0E340CF6" w:rsidR="000C292F" w:rsidRPr="00AC713D" w:rsidRDefault="00FA13FF" w:rsidP="000C292F">
      <w:pPr>
        <w:rPr>
          <w:rFonts w:cs="Arial"/>
        </w:rPr>
      </w:pPr>
      <w:r w:rsidRPr="00AC713D">
        <w:rPr>
          <w:rFonts w:cs="Arial"/>
        </w:rPr>
        <w:t>Dne 17. dubna 2020 oznámil pan František Klaška své odstoupení z pozice člena představenstva Společnosti s účinnosti od 1. května 2020</w:t>
      </w:r>
      <w:r w:rsidR="0058244A">
        <w:rPr>
          <w:rFonts w:cs="Arial"/>
        </w:rPr>
        <w:t>.</w:t>
      </w:r>
    </w:p>
    <w:p w14:paraId="00FC4EE0" w14:textId="7DE201AB" w:rsidR="003405CE" w:rsidRPr="00AC713D" w:rsidRDefault="00FA13FF" w:rsidP="002C4FFF">
      <w:pPr>
        <w:pStyle w:val="Normlnweb"/>
        <w:rPr>
          <w:rFonts w:cs="Arial"/>
        </w:rPr>
      </w:pPr>
      <w:r w:rsidRPr="00AC713D">
        <w:rPr>
          <w:rFonts w:cs="Arial"/>
          <w:snapToGrid w:val="0"/>
          <w:szCs w:val="20"/>
        </w:rPr>
        <w:t>S účinností od 1.</w:t>
      </w:r>
      <w:r w:rsidR="00AC713D">
        <w:rPr>
          <w:rFonts w:cs="Arial"/>
          <w:snapToGrid w:val="0"/>
          <w:szCs w:val="20"/>
        </w:rPr>
        <w:t xml:space="preserve"> </w:t>
      </w:r>
      <w:r w:rsidRPr="00AC713D">
        <w:rPr>
          <w:rFonts w:cs="Arial"/>
          <w:snapToGrid w:val="0"/>
          <w:szCs w:val="20"/>
        </w:rPr>
        <w:t>května 2020 byl jmenován do představenstva Společnosti současný Senior Product Development and R&amp;D Director koncernu PFNonwovens pan Antonius de Beer.</w:t>
      </w:r>
    </w:p>
    <w:p w14:paraId="12C395DD" w14:textId="2D42E714" w:rsidR="000C292F" w:rsidRPr="00AC713D" w:rsidRDefault="000C292F" w:rsidP="000C292F">
      <w:pPr>
        <w:pStyle w:val="Nadpis4"/>
        <w:rPr>
          <w:rFonts w:cs="Arial"/>
        </w:rPr>
      </w:pPr>
      <w:r w:rsidRPr="00AC713D">
        <w:rPr>
          <w:rFonts w:cs="Arial"/>
        </w:rPr>
        <w:t>Složení dozorčí rady Společnosti ke dni 30. června 20</w:t>
      </w:r>
      <w:r w:rsidR="00FA13FF" w:rsidRPr="00AC713D">
        <w:rPr>
          <w:rFonts w:cs="Arial"/>
        </w:rPr>
        <w:t>20</w:t>
      </w:r>
    </w:p>
    <w:tbl>
      <w:tblPr>
        <w:tblW w:w="5000" w:type="pct"/>
        <w:tblBorders>
          <w:top w:val="single" w:sz="4" w:space="0" w:color="9C9D9F"/>
          <w:bottom w:val="single" w:sz="4" w:space="0" w:color="9C9D9F"/>
          <w:insideH w:val="single" w:sz="4" w:space="0" w:color="9C9D9F"/>
        </w:tblBorders>
        <w:tblCellMar>
          <w:left w:w="115" w:type="dxa"/>
          <w:right w:w="115" w:type="dxa"/>
        </w:tblCellMar>
        <w:tblLook w:val="01E0" w:firstRow="1" w:lastRow="1" w:firstColumn="1" w:lastColumn="1" w:noHBand="0" w:noVBand="0"/>
      </w:tblPr>
      <w:tblGrid>
        <w:gridCol w:w="3088"/>
        <w:gridCol w:w="3308"/>
        <w:gridCol w:w="2676"/>
      </w:tblGrid>
      <w:tr w:rsidR="000C292F" w:rsidRPr="00AC713D" w14:paraId="562ED901" w14:textId="77777777" w:rsidTr="006A75D4">
        <w:trPr>
          <w:cantSplit/>
          <w:trHeight w:val="535"/>
        </w:trPr>
        <w:tc>
          <w:tcPr>
            <w:tcW w:w="1702" w:type="pct"/>
            <w:shd w:val="clear" w:color="auto" w:fill="2A7FC6"/>
            <w:vAlign w:val="center"/>
          </w:tcPr>
          <w:p w14:paraId="7458FB86" w14:textId="77777777" w:rsidR="000C292F" w:rsidRPr="00AC713D" w:rsidRDefault="000C292F" w:rsidP="000C292F">
            <w:pPr>
              <w:pStyle w:val="AODocTxtCharChar"/>
              <w:numPr>
                <w:ilvl w:val="0"/>
                <w:numId w:val="2"/>
              </w:numPr>
              <w:spacing w:before="0" w:beforeAutospacing="0" w:after="0" w:afterAutospacing="0" w:line="360" w:lineRule="auto"/>
              <w:jc w:val="left"/>
              <w:rPr>
                <w:rFonts w:cs="Arial"/>
                <w:b/>
                <w:color w:val="FFFFFF" w:themeColor="background1"/>
                <w:lang w:val="cs-CZ"/>
              </w:rPr>
            </w:pPr>
            <w:r w:rsidRPr="00AC713D">
              <w:rPr>
                <w:rFonts w:cs="Arial"/>
                <w:b/>
                <w:color w:val="FFFFFF" w:themeColor="background1"/>
                <w:lang w:val="cs-CZ"/>
              </w:rPr>
              <w:t>Jméno</w:t>
            </w:r>
          </w:p>
        </w:tc>
        <w:tc>
          <w:tcPr>
            <w:tcW w:w="1823" w:type="pct"/>
            <w:shd w:val="clear" w:color="auto" w:fill="2A7FC6"/>
            <w:vAlign w:val="center"/>
          </w:tcPr>
          <w:p w14:paraId="14B64562" w14:textId="77777777" w:rsidR="000C292F" w:rsidRPr="00AC713D" w:rsidRDefault="000C292F" w:rsidP="000C292F">
            <w:pPr>
              <w:pStyle w:val="AODocTxtCharChar"/>
              <w:numPr>
                <w:ilvl w:val="0"/>
                <w:numId w:val="2"/>
              </w:numPr>
              <w:spacing w:before="0" w:beforeAutospacing="0" w:after="0" w:afterAutospacing="0" w:line="360" w:lineRule="auto"/>
              <w:jc w:val="left"/>
              <w:rPr>
                <w:rFonts w:cs="Arial"/>
                <w:b/>
                <w:color w:val="FFFFFF" w:themeColor="background1"/>
                <w:lang w:val="cs-CZ"/>
              </w:rPr>
            </w:pPr>
            <w:r w:rsidRPr="00AC713D">
              <w:rPr>
                <w:rFonts w:cs="Arial"/>
                <w:b/>
                <w:color w:val="FFFFFF" w:themeColor="background1"/>
                <w:lang w:val="cs-CZ"/>
              </w:rPr>
              <w:t>Pozice/funkce</w:t>
            </w:r>
          </w:p>
        </w:tc>
        <w:tc>
          <w:tcPr>
            <w:tcW w:w="1475" w:type="pct"/>
            <w:shd w:val="clear" w:color="auto" w:fill="2A7FC6"/>
            <w:vAlign w:val="center"/>
          </w:tcPr>
          <w:p w14:paraId="2F908443" w14:textId="25B1F813" w:rsidR="000C292F" w:rsidRPr="00AC713D" w:rsidRDefault="000C292F" w:rsidP="000C292F">
            <w:pPr>
              <w:pStyle w:val="AODocTxtCharChar"/>
              <w:numPr>
                <w:ilvl w:val="0"/>
                <w:numId w:val="2"/>
              </w:numPr>
              <w:spacing w:before="0" w:beforeAutospacing="0" w:after="0" w:afterAutospacing="0" w:line="360" w:lineRule="auto"/>
              <w:jc w:val="right"/>
              <w:rPr>
                <w:rFonts w:cs="Arial"/>
                <w:b/>
                <w:color w:val="FFFFFF" w:themeColor="background1"/>
                <w:lang w:val="cs-CZ"/>
              </w:rPr>
            </w:pPr>
            <w:r w:rsidRPr="00AC713D">
              <w:rPr>
                <w:rFonts w:cs="Arial"/>
                <w:b/>
                <w:color w:val="FFFFFF" w:themeColor="background1"/>
                <w:lang w:val="cs-CZ"/>
              </w:rPr>
              <w:t>Funkční období v první polovině 20</w:t>
            </w:r>
            <w:r w:rsidR="0058244A">
              <w:rPr>
                <w:rFonts w:cs="Arial"/>
                <w:b/>
                <w:color w:val="FFFFFF" w:themeColor="background1"/>
                <w:lang w:val="cs-CZ"/>
              </w:rPr>
              <w:t>20</w:t>
            </w:r>
          </w:p>
        </w:tc>
      </w:tr>
      <w:tr w:rsidR="000C292F" w:rsidRPr="00AC713D" w14:paraId="0B368F51" w14:textId="77777777" w:rsidTr="006A75D4">
        <w:trPr>
          <w:cantSplit/>
          <w:trHeight w:val="346"/>
        </w:trPr>
        <w:tc>
          <w:tcPr>
            <w:tcW w:w="1702" w:type="pct"/>
            <w:vAlign w:val="center"/>
          </w:tcPr>
          <w:p w14:paraId="5E47CCF5" w14:textId="77777777" w:rsidR="000C292F" w:rsidRPr="00AC713D" w:rsidRDefault="000C292F" w:rsidP="000C292F">
            <w:pPr>
              <w:pStyle w:val="AODocTxtCharChar"/>
              <w:numPr>
                <w:ilvl w:val="0"/>
                <w:numId w:val="2"/>
              </w:numPr>
              <w:spacing w:before="0" w:beforeAutospacing="0" w:after="0" w:afterAutospacing="0" w:line="360" w:lineRule="auto"/>
              <w:jc w:val="left"/>
              <w:rPr>
                <w:rFonts w:cs="Arial"/>
                <w:lang w:val="cs-CZ"/>
              </w:rPr>
            </w:pPr>
            <w:r w:rsidRPr="00AC713D">
              <w:rPr>
                <w:rFonts w:cs="Arial"/>
                <w:lang w:val="cs-CZ"/>
              </w:rPr>
              <w:t>Oldřich Šlemr</w:t>
            </w:r>
          </w:p>
        </w:tc>
        <w:tc>
          <w:tcPr>
            <w:tcW w:w="1823" w:type="pct"/>
            <w:vAlign w:val="center"/>
          </w:tcPr>
          <w:p w14:paraId="038ECBCB" w14:textId="77777777" w:rsidR="000C292F" w:rsidRPr="00AC713D" w:rsidRDefault="000C292F" w:rsidP="000C292F">
            <w:pPr>
              <w:pStyle w:val="AODocTxtCharChar"/>
              <w:numPr>
                <w:ilvl w:val="0"/>
                <w:numId w:val="2"/>
              </w:numPr>
              <w:spacing w:before="0" w:beforeAutospacing="0" w:after="0" w:afterAutospacing="0" w:line="360" w:lineRule="auto"/>
              <w:jc w:val="left"/>
              <w:rPr>
                <w:rFonts w:eastAsia="Batang" w:cs="Arial"/>
                <w:lang w:val="cs-CZ"/>
              </w:rPr>
            </w:pPr>
            <w:r w:rsidRPr="00AC713D">
              <w:rPr>
                <w:rFonts w:cs="Arial"/>
                <w:lang w:val="cs-CZ"/>
              </w:rPr>
              <w:t>předseda dozorčí rady</w:t>
            </w:r>
          </w:p>
        </w:tc>
        <w:tc>
          <w:tcPr>
            <w:tcW w:w="1475" w:type="pct"/>
            <w:vAlign w:val="center"/>
          </w:tcPr>
          <w:p w14:paraId="182CD6BB" w14:textId="32A3416B" w:rsidR="000C292F" w:rsidRPr="00AC713D" w:rsidRDefault="000C292F" w:rsidP="000C292F">
            <w:pPr>
              <w:pStyle w:val="AODocTxtCharChar"/>
              <w:numPr>
                <w:ilvl w:val="0"/>
                <w:numId w:val="2"/>
              </w:numPr>
              <w:spacing w:before="0" w:beforeAutospacing="0" w:after="0" w:afterAutospacing="0" w:line="360" w:lineRule="auto"/>
              <w:jc w:val="right"/>
              <w:rPr>
                <w:rFonts w:cs="Arial"/>
                <w:lang w:val="cs-CZ"/>
              </w:rPr>
            </w:pPr>
            <w:r w:rsidRPr="00AC713D">
              <w:rPr>
                <w:rFonts w:cs="Arial"/>
                <w:lang w:val="cs-CZ"/>
              </w:rPr>
              <w:t>1. 1. 20</w:t>
            </w:r>
            <w:r w:rsidR="00FA13FF" w:rsidRPr="00AC713D">
              <w:rPr>
                <w:rFonts w:cs="Arial"/>
                <w:lang w:val="cs-CZ"/>
              </w:rPr>
              <w:t>20</w:t>
            </w:r>
            <w:r w:rsidRPr="00AC713D">
              <w:rPr>
                <w:rFonts w:cs="Arial"/>
                <w:lang w:val="cs-CZ"/>
              </w:rPr>
              <w:t xml:space="preserve"> – 30. 6. 20</w:t>
            </w:r>
            <w:r w:rsidR="00FA13FF" w:rsidRPr="00AC713D">
              <w:rPr>
                <w:rFonts w:cs="Arial"/>
                <w:lang w:val="cs-CZ"/>
              </w:rPr>
              <w:t>20</w:t>
            </w:r>
          </w:p>
        </w:tc>
      </w:tr>
      <w:tr w:rsidR="000C292F" w:rsidRPr="00AC713D" w14:paraId="6DE36921" w14:textId="77777777" w:rsidTr="006A75D4">
        <w:trPr>
          <w:cantSplit/>
        </w:trPr>
        <w:tc>
          <w:tcPr>
            <w:tcW w:w="1702" w:type="pct"/>
            <w:vAlign w:val="center"/>
          </w:tcPr>
          <w:p w14:paraId="4724BF90" w14:textId="77777777" w:rsidR="000C292F" w:rsidRPr="00AC713D" w:rsidRDefault="000C292F" w:rsidP="000C292F">
            <w:pPr>
              <w:pStyle w:val="AODocTxtCharChar"/>
              <w:numPr>
                <w:ilvl w:val="0"/>
                <w:numId w:val="2"/>
              </w:numPr>
              <w:spacing w:before="0" w:beforeAutospacing="0" w:after="0" w:afterAutospacing="0" w:line="360" w:lineRule="auto"/>
              <w:jc w:val="left"/>
              <w:rPr>
                <w:rFonts w:cs="Arial"/>
                <w:lang w:val="cs-CZ"/>
              </w:rPr>
            </w:pPr>
            <w:r w:rsidRPr="00AC713D">
              <w:rPr>
                <w:rFonts w:cs="Arial"/>
                <w:lang w:val="cs-CZ"/>
              </w:rPr>
              <w:t>Pavel Baudiš</w:t>
            </w:r>
          </w:p>
        </w:tc>
        <w:tc>
          <w:tcPr>
            <w:tcW w:w="1823" w:type="pct"/>
            <w:vAlign w:val="center"/>
          </w:tcPr>
          <w:p w14:paraId="67D5C66F" w14:textId="77777777" w:rsidR="000C292F" w:rsidRPr="00AC713D" w:rsidRDefault="000C292F" w:rsidP="000C292F">
            <w:pPr>
              <w:pStyle w:val="AODocTxtCharChar"/>
              <w:numPr>
                <w:ilvl w:val="0"/>
                <w:numId w:val="2"/>
              </w:numPr>
              <w:spacing w:before="0" w:beforeAutospacing="0" w:after="0" w:afterAutospacing="0" w:line="360" w:lineRule="auto"/>
              <w:jc w:val="left"/>
              <w:rPr>
                <w:rFonts w:eastAsia="Batang" w:cs="Arial"/>
                <w:lang w:val="cs-CZ"/>
              </w:rPr>
            </w:pPr>
            <w:r w:rsidRPr="00AC713D">
              <w:rPr>
                <w:rFonts w:cs="Arial"/>
                <w:lang w:val="cs-CZ"/>
              </w:rPr>
              <w:t>člen dozorčí rady</w:t>
            </w:r>
          </w:p>
        </w:tc>
        <w:tc>
          <w:tcPr>
            <w:tcW w:w="1475" w:type="pct"/>
            <w:vAlign w:val="center"/>
          </w:tcPr>
          <w:p w14:paraId="0F2A8956" w14:textId="24F86D5D" w:rsidR="000C292F" w:rsidRPr="00AC713D" w:rsidRDefault="000C292F" w:rsidP="000C292F">
            <w:pPr>
              <w:pStyle w:val="AODocTxtCharChar"/>
              <w:numPr>
                <w:ilvl w:val="0"/>
                <w:numId w:val="2"/>
              </w:numPr>
              <w:spacing w:before="0" w:beforeAutospacing="0" w:after="0" w:afterAutospacing="0" w:line="360" w:lineRule="auto"/>
              <w:jc w:val="right"/>
              <w:rPr>
                <w:rFonts w:cs="Arial"/>
                <w:lang w:val="cs-CZ"/>
              </w:rPr>
            </w:pPr>
            <w:r w:rsidRPr="00AC713D">
              <w:rPr>
                <w:rFonts w:cs="Arial"/>
                <w:lang w:val="cs-CZ"/>
              </w:rPr>
              <w:t>1. 1. 20</w:t>
            </w:r>
            <w:r w:rsidR="00FA13FF" w:rsidRPr="00AC713D">
              <w:rPr>
                <w:rFonts w:cs="Arial"/>
                <w:lang w:val="cs-CZ"/>
              </w:rPr>
              <w:t>20</w:t>
            </w:r>
            <w:r w:rsidRPr="00AC713D">
              <w:rPr>
                <w:rFonts w:cs="Arial"/>
                <w:lang w:val="cs-CZ"/>
              </w:rPr>
              <w:t xml:space="preserve"> – 30. 6. 20</w:t>
            </w:r>
            <w:r w:rsidR="00FA13FF" w:rsidRPr="00AC713D">
              <w:rPr>
                <w:rFonts w:cs="Arial"/>
                <w:lang w:val="cs-CZ"/>
              </w:rPr>
              <w:t>20</w:t>
            </w:r>
          </w:p>
        </w:tc>
      </w:tr>
      <w:tr w:rsidR="000C292F" w:rsidRPr="00AC713D" w14:paraId="749638DB" w14:textId="77777777" w:rsidTr="006A75D4">
        <w:trPr>
          <w:cantSplit/>
        </w:trPr>
        <w:tc>
          <w:tcPr>
            <w:tcW w:w="1702" w:type="pct"/>
            <w:vAlign w:val="center"/>
          </w:tcPr>
          <w:p w14:paraId="4844FC5E" w14:textId="77777777" w:rsidR="000C292F" w:rsidRPr="00AC713D" w:rsidRDefault="000C292F" w:rsidP="000C292F">
            <w:pPr>
              <w:pStyle w:val="AODocTxtCharChar"/>
              <w:numPr>
                <w:ilvl w:val="0"/>
                <w:numId w:val="2"/>
              </w:numPr>
              <w:spacing w:before="0" w:beforeAutospacing="0" w:after="0" w:afterAutospacing="0" w:line="360" w:lineRule="auto"/>
              <w:jc w:val="left"/>
              <w:rPr>
                <w:rFonts w:eastAsia="Batang" w:cs="Arial"/>
                <w:lang w:val="cs-CZ"/>
              </w:rPr>
            </w:pPr>
            <w:r w:rsidRPr="00AC713D">
              <w:rPr>
                <w:rFonts w:cs="Arial"/>
                <w:lang w:val="cs-CZ"/>
              </w:rPr>
              <w:t>Eduard Kučera</w:t>
            </w:r>
          </w:p>
        </w:tc>
        <w:tc>
          <w:tcPr>
            <w:tcW w:w="1823" w:type="pct"/>
            <w:vAlign w:val="center"/>
          </w:tcPr>
          <w:p w14:paraId="199272D9" w14:textId="77777777" w:rsidR="000C292F" w:rsidRPr="00AC713D" w:rsidRDefault="000C292F" w:rsidP="000C292F">
            <w:pPr>
              <w:pStyle w:val="AODocTxtCharChar"/>
              <w:numPr>
                <w:ilvl w:val="0"/>
                <w:numId w:val="2"/>
              </w:numPr>
              <w:spacing w:before="0" w:beforeAutospacing="0" w:after="0" w:afterAutospacing="0" w:line="360" w:lineRule="auto"/>
              <w:jc w:val="left"/>
              <w:rPr>
                <w:rFonts w:eastAsia="Batang" w:cs="Arial"/>
                <w:lang w:val="cs-CZ"/>
              </w:rPr>
            </w:pPr>
            <w:r w:rsidRPr="00AC713D">
              <w:rPr>
                <w:rFonts w:cs="Arial"/>
                <w:lang w:val="cs-CZ"/>
              </w:rPr>
              <w:t>člen dozorčí rady</w:t>
            </w:r>
          </w:p>
        </w:tc>
        <w:tc>
          <w:tcPr>
            <w:tcW w:w="1475" w:type="pct"/>
            <w:vAlign w:val="center"/>
          </w:tcPr>
          <w:p w14:paraId="224CBA5D" w14:textId="0C16E642" w:rsidR="000C292F" w:rsidRPr="00AC713D" w:rsidRDefault="000C292F" w:rsidP="000C292F">
            <w:pPr>
              <w:pStyle w:val="AODocTxtCharChar"/>
              <w:numPr>
                <w:ilvl w:val="0"/>
                <w:numId w:val="2"/>
              </w:numPr>
              <w:spacing w:before="0" w:beforeAutospacing="0" w:after="0" w:afterAutospacing="0" w:line="360" w:lineRule="auto"/>
              <w:jc w:val="right"/>
              <w:rPr>
                <w:rFonts w:cs="Arial"/>
                <w:lang w:val="cs-CZ"/>
              </w:rPr>
            </w:pPr>
            <w:r w:rsidRPr="00AC713D">
              <w:rPr>
                <w:rFonts w:cs="Arial"/>
                <w:lang w:val="cs-CZ"/>
              </w:rPr>
              <w:t>1. 1. 20</w:t>
            </w:r>
            <w:r w:rsidR="00FA13FF" w:rsidRPr="00AC713D">
              <w:rPr>
                <w:rFonts w:cs="Arial"/>
                <w:lang w:val="cs-CZ"/>
              </w:rPr>
              <w:t>20</w:t>
            </w:r>
            <w:r w:rsidRPr="00AC713D">
              <w:rPr>
                <w:rFonts w:cs="Arial"/>
                <w:lang w:val="cs-CZ"/>
              </w:rPr>
              <w:t xml:space="preserve"> – 30. 6. 20</w:t>
            </w:r>
            <w:r w:rsidR="00FA13FF" w:rsidRPr="00AC713D">
              <w:rPr>
                <w:rFonts w:cs="Arial"/>
                <w:lang w:val="cs-CZ"/>
              </w:rPr>
              <w:t>20</w:t>
            </w:r>
          </w:p>
        </w:tc>
      </w:tr>
    </w:tbl>
    <w:p w14:paraId="7F695413" w14:textId="5BF7316B" w:rsidR="009566C6" w:rsidRPr="00AC713D" w:rsidRDefault="000C292F" w:rsidP="002C4FFF">
      <w:pPr>
        <w:rPr>
          <w:rFonts w:cs="Arial"/>
          <w:b/>
          <w:color w:val="2A7FC6"/>
        </w:rPr>
      </w:pPr>
      <w:r w:rsidRPr="00AC713D">
        <w:rPr>
          <w:rFonts w:cs="Arial"/>
        </w:rPr>
        <w:t xml:space="preserve">Během prvního pololetí roku </w:t>
      </w:r>
      <w:r w:rsidR="00FA13FF" w:rsidRPr="00AC713D">
        <w:rPr>
          <w:rFonts w:cs="Arial"/>
        </w:rPr>
        <w:t xml:space="preserve">2020 </w:t>
      </w:r>
      <w:r w:rsidRPr="00AC713D">
        <w:rPr>
          <w:rFonts w:cs="Arial"/>
        </w:rPr>
        <w:t>nedošlo k žádným personálním změnám v dozorčí radě Společnosti.</w:t>
      </w:r>
    </w:p>
    <w:p w14:paraId="7E47B061" w14:textId="0218836C" w:rsidR="000C292F" w:rsidRPr="00AC713D" w:rsidRDefault="000C292F" w:rsidP="000C292F">
      <w:pPr>
        <w:pStyle w:val="Nadpis4"/>
        <w:rPr>
          <w:rFonts w:cs="Arial"/>
        </w:rPr>
      </w:pPr>
      <w:r w:rsidRPr="00AC713D">
        <w:rPr>
          <w:rFonts w:cs="Arial"/>
        </w:rPr>
        <w:t xml:space="preserve">Složení výboru pro audit ke dni 30. června </w:t>
      </w:r>
      <w:r w:rsidR="00FA13FF" w:rsidRPr="00AC713D">
        <w:rPr>
          <w:rFonts w:cs="Arial"/>
        </w:rPr>
        <w:t>2020</w:t>
      </w:r>
    </w:p>
    <w:tbl>
      <w:tblPr>
        <w:tblW w:w="5000" w:type="pct"/>
        <w:tblBorders>
          <w:top w:val="single" w:sz="4" w:space="0" w:color="9C9D9F"/>
          <w:bottom w:val="single" w:sz="4" w:space="0" w:color="9C9D9F"/>
          <w:insideH w:val="single" w:sz="4" w:space="0" w:color="9C9D9F"/>
        </w:tblBorders>
        <w:tblCellMar>
          <w:left w:w="115" w:type="dxa"/>
          <w:right w:w="115" w:type="dxa"/>
        </w:tblCellMar>
        <w:tblLook w:val="01E0" w:firstRow="1" w:lastRow="1" w:firstColumn="1" w:lastColumn="1" w:noHBand="0" w:noVBand="0"/>
      </w:tblPr>
      <w:tblGrid>
        <w:gridCol w:w="3088"/>
        <w:gridCol w:w="3308"/>
        <w:gridCol w:w="2676"/>
      </w:tblGrid>
      <w:tr w:rsidR="000C292F" w:rsidRPr="00AC713D" w14:paraId="274635E0" w14:textId="77777777" w:rsidTr="006A75D4">
        <w:trPr>
          <w:cantSplit/>
          <w:trHeight w:val="535"/>
        </w:trPr>
        <w:tc>
          <w:tcPr>
            <w:tcW w:w="1702" w:type="pct"/>
            <w:shd w:val="clear" w:color="auto" w:fill="2A7FC6"/>
            <w:vAlign w:val="center"/>
          </w:tcPr>
          <w:p w14:paraId="1F466763" w14:textId="77777777" w:rsidR="000C292F" w:rsidRPr="00AC713D" w:rsidRDefault="000C292F" w:rsidP="000C292F">
            <w:pPr>
              <w:pStyle w:val="AODocTxtCharChar"/>
              <w:numPr>
                <w:ilvl w:val="0"/>
                <w:numId w:val="2"/>
              </w:numPr>
              <w:spacing w:before="0" w:beforeAutospacing="0" w:after="0" w:afterAutospacing="0" w:line="360" w:lineRule="auto"/>
              <w:jc w:val="left"/>
              <w:rPr>
                <w:rFonts w:cs="Arial"/>
                <w:b/>
                <w:color w:val="FFFFFF" w:themeColor="background1"/>
                <w:lang w:val="cs-CZ"/>
              </w:rPr>
            </w:pPr>
            <w:r w:rsidRPr="00AC713D">
              <w:rPr>
                <w:rFonts w:cs="Arial"/>
                <w:b/>
                <w:color w:val="FFFFFF" w:themeColor="background1"/>
                <w:lang w:val="cs-CZ"/>
              </w:rPr>
              <w:t>Jméno</w:t>
            </w:r>
          </w:p>
        </w:tc>
        <w:tc>
          <w:tcPr>
            <w:tcW w:w="1823" w:type="pct"/>
            <w:shd w:val="clear" w:color="auto" w:fill="2A7FC6"/>
            <w:vAlign w:val="center"/>
          </w:tcPr>
          <w:p w14:paraId="6AF8F50A" w14:textId="77777777" w:rsidR="000C292F" w:rsidRPr="00AC713D" w:rsidRDefault="000C292F" w:rsidP="000C292F">
            <w:pPr>
              <w:pStyle w:val="AODocTxtCharChar"/>
              <w:numPr>
                <w:ilvl w:val="0"/>
                <w:numId w:val="2"/>
              </w:numPr>
              <w:spacing w:before="0" w:beforeAutospacing="0" w:after="0" w:afterAutospacing="0" w:line="360" w:lineRule="auto"/>
              <w:jc w:val="left"/>
              <w:rPr>
                <w:rFonts w:cs="Arial"/>
                <w:b/>
                <w:color w:val="FFFFFF" w:themeColor="background1"/>
                <w:lang w:val="cs-CZ"/>
              </w:rPr>
            </w:pPr>
            <w:r w:rsidRPr="00AC713D">
              <w:rPr>
                <w:rFonts w:cs="Arial"/>
                <w:b/>
                <w:color w:val="FFFFFF" w:themeColor="background1"/>
                <w:lang w:val="cs-CZ"/>
              </w:rPr>
              <w:t>Pozice/funkce</w:t>
            </w:r>
          </w:p>
        </w:tc>
        <w:tc>
          <w:tcPr>
            <w:tcW w:w="1475" w:type="pct"/>
            <w:shd w:val="clear" w:color="auto" w:fill="2A7FC6"/>
            <w:vAlign w:val="center"/>
          </w:tcPr>
          <w:p w14:paraId="6BDD63B0" w14:textId="45BB739F" w:rsidR="000C292F" w:rsidRPr="00AC713D" w:rsidRDefault="000C292F" w:rsidP="000C292F">
            <w:pPr>
              <w:pStyle w:val="AODocTxtCharChar"/>
              <w:numPr>
                <w:ilvl w:val="0"/>
                <w:numId w:val="2"/>
              </w:numPr>
              <w:spacing w:before="0" w:beforeAutospacing="0" w:after="0" w:afterAutospacing="0" w:line="360" w:lineRule="auto"/>
              <w:jc w:val="right"/>
              <w:rPr>
                <w:rFonts w:cs="Arial"/>
                <w:b/>
                <w:color w:val="FFFFFF" w:themeColor="background1"/>
                <w:lang w:val="cs-CZ"/>
              </w:rPr>
            </w:pPr>
            <w:r w:rsidRPr="00AC713D">
              <w:rPr>
                <w:rFonts w:cs="Arial"/>
                <w:b/>
                <w:color w:val="FFFFFF" w:themeColor="background1"/>
                <w:lang w:val="cs-CZ"/>
              </w:rPr>
              <w:t>Funkční období v první polovině 20</w:t>
            </w:r>
            <w:r w:rsidR="0058244A">
              <w:rPr>
                <w:rFonts w:cs="Arial"/>
                <w:b/>
                <w:color w:val="FFFFFF" w:themeColor="background1"/>
                <w:lang w:val="cs-CZ"/>
              </w:rPr>
              <w:t>20</w:t>
            </w:r>
          </w:p>
        </w:tc>
      </w:tr>
      <w:tr w:rsidR="000C292F" w:rsidRPr="00AC713D" w14:paraId="58A7B775" w14:textId="77777777" w:rsidTr="006A75D4">
        <w:trPr>
          <w:cantSplit/>
          <w:trHeight w:val="346"/>
        </w:trPr>
        <w:tc>
          <w:tcPr>
            <w:tcW w:w="1702" w:type="pct"/>
            <w:vAlign w:val="center"/>
          </w:tcPr>
          <w:p w14:paraId="4B8D8B3F" w14:textId="77777777" w:rsidR="000C292F" w:rsidRPr="00AC713D" w:rsidRDefault="000C292F" w:rsidP="000C292F">
            <w:pPr>
              <w:pStyle w:val="AODocTxtCharChar"/>
              <w:numPr>
                <w:ilvl w:val="0"/>
                <w:numId w:val="2"/>
              </w:numPr>
              <w:spacing w:before="0" w:beforeAutospacing="0" w:after="0" w:afterAutospacing="0" w:line="360" w:lineRule="auto"/>
              <w:jc w:val="left"/>
              <w:rPr>
                <w:rFonts w:cs="Arial"/>
                <w:lang w:val="cs-CZ"/>
              </w:rPr>
            </w:pPr>
            <w:r w:rsidRPr="00AC713D">
              <w:rPr>
                <w:rFonts w:cs="Arial"/>
                <w:lang w:val="cs-CZ"/>
              </w:rPr>
              <w:t>Ivan Hayek</w:t>
            </w:r>
          </w:p>
        </w:tc>
        <w:tc>
          <w:tcPr>
            <w:tcW w:w="1823" w:type="pct"/>
            <w:vAlign w:val="center"/>
          </w:tcPr>
          <w:p w14:paraId="1023C48F" w14:textId="77777777" w:rsidR="000C292F" w:rsidRPr="00AC713D" w:rsidRDefault="000C292F" w:rsidP="000C292F">
            <w:pPr>
              <w:pStyle w:val="AODocTxtCharChar"/>
              <w:numPr>
                <w:ilvl w:val="0"/>
                <w:numId w:val="2"/>
              </w:numPr>
              <w:spacing w:before="0" w:beforeAutospacing="0" w:after="0" w:afterAutospacing="0" w:line="360" w:lineRule="auto"/>
              <w:jc w:val="left"/>
              <w:rPr>
                <w:rFonts w:eastAsia="Batang" w:cs="Arial"/>
                <w:lang w:val="cs-CZ"/>
              </w:rPr>
            </w:pPr>
            <w:r w:rsidRPr="00AC713D">
              <w:rPr>
                <w:rFonts w:cs="Arial"/>
                <w:lang w:val="cs-CZ"/>
              </w:rPr>
              <w:t>předseda výboru</w:t>
            </w:r>
          </w:p>
        </w:tc>
        <w:tc>
          <w:tcPr>
            <w:tcW w:w="1475" w:type="pct"/>
            <w:vAlign w:val="center"/>
          </w:tcPr>
          <w:p w14:paraId="47385F2A" w14:textId="65766CFD" w:rsidR="000C292F" w:rsidRPr="00AC713D" w:rsidRDefault="000C292F" w:rsidP="000C292F">
            <w:pPr>
              <w:pStyle w:val="AODocTxtCharChar"/>
              <w:numPr>
                <w:ilvl w:val="0"/>
                <w:numId w:val="2"/>
              </w:numPr>
              <w:spacing w:before="0" w:beforeAutospacing="0" w:after="0" w:afterAutospacing="0" w:line="360" w:lineRule="auto"/>
              <w:jc w:val="right"/>
              <w:rPr>
                <w:rFonts w:cs="Arial"/>
                <w:lang w:val="cs-CZ"/>
              </w:rPr>
            </w:pPr>
            <w:r w:rsidRPr="00AC713D">
              <w:rPr>
                <w:rFonts w:cs="Arial"/>
                <w:lang w:val="cs-CZ"/>
              </w:rPr>
              <w:t>1. 1. 20</w:t>
            </w:r>
            <w:r w:rsidR="00FA13FF" w:rsidRPr="00AC713D">
              <w:rPr>
                <w:rFonts w:cs="Arial"/>
                <w:lang w:val="cs-CZ"/>
              </w:rPr>
              <w:t>20</w:t>
            </w:r>
            <w:r w:rsidRPr="00AC713D">
              <w:rPr>
                <w:rFonts w:cs="Arial"/>
                <w:lang w:val="cs-CZ"/>
              </w:rPr>
              <w:t xml:space="preserve"> – 30. 6. 20</w:t>
            </w:r>
            <w:r w:rsidR="00FA13FF" w:rsidRPr="00AC713D">
              <w:rPr>
                <w:rFonts w:cs="Arial"/>
                <w:lang w:val="cs-CZ"/>
              </w:rPr>
              <w:t>20</w:t>
            </w:r>
          </w:p>
        </w:tc>
      </w:tr>
      <w:tr w:rsidR="000C292F" w:rsidRPr="00AC713D" w14:paraId="2C4310D4" w14:textId="77777777" w:rsidTr="006A75D4">
        <w:trPr>
          <w:cantSplit/>
        </w:trPr>
        <w:tc>
          <w:tcPr>
            <w:tcW w:w="1702" w:type="pct"/>
            <w:vAlign w:val="center"/>
          </w:tcPr>
          <w:p w14:paraId="3535DE3E" w14:textId="77777777" w:rsidR="000C292F" w:rsidRPr="00AC713D" w:rsidRDefault="000C292F" w:rsidP="000C292F">
            <w:pPr>
              <w:pStyle w:val="AODocTxtCharChar"/>
              <w:numPr>
                <w:ilvl w:val="0"/>
                <w:numId w:val="2"/>
              </w:numPr>
              <w:spacing w:before="0" w:beforeAutospacing="0" w:after="0" w:afterAutospacing="0" w:line="360" w:lineRule="auto"/>
              <w:jc w:val="left"/>
              <w:rPr>
                <w:rFonts w:cs="Arial"/>
                <w:lang w:val="cs-CZ"/>
              </w:rPr>
            </w:pPr>
            <w:r w:rsidRPr="00AC713D">
              <w:rPr>
                <w:rFonts w:cs="Arial"/>
                <w:lang w:val="cs-CZ"/>
              </w:rPr>
              <w:t>Hana Černá</w:t>
            </w:r>
          </w:p>
        </w:tc>
        <w:tc>
          <w:tcPr>
            <w:tcW w:w="1823" w:type="pct"/>
            <w:vAlign w:val="center"/>
          </w:tcPr>
          <w:p w14:paraId="6E9BC916" w14:textId="77777777" w:rsidR="000C292F" w:rsidRPr="00AC713D" w:rsidRDefault="000C292F" w:rsidP="000C292F">
            <w:pPr>
              <w:pStyle w:val="AODocTxtCharChar"/>
              <w:numPr>
                <w:ilvl w:val="0"/>
                <w:numId w:val="2"/>
              </w:numPr>
              <w:spacing w:before="0" w:beforeAutospacing="0" w:after="0" w:afterAutospacing="0" w:line="360" w:lineRule="auto"/>
              <w:jc w:val="left"/>
              <w:rPr>
                <w:rFonts w:eastAsia="Batang" w:cs="Arial"/>
                <w:lang w:val="cs-CZ"/>
              </w:rPr>
            </w:pPr>
            <w:r w:rsidRPr="00AC713D">
              <w:rPr>
                <w:rFonts w:cs="Arial"/>
                <w:lang w:val="cs-CZ"/>
              </w:rPr>
              <w:t>člen výboru</w:t>
            </w:r>
          </w:p>
        </w:tc>
        <w:tc>
          <w:tcPr>
            <w:tcW w:w="1475" w:type="pct"/>
            <w:vAlign w:val="center"/>
          </w:tcPr>
          <w:p w14:paraId="697E45A7" w14:textId="44BAAFE6" w:rsidR="000C292F" w:rsidRPr="00AC713D" w:rsidRDefault="000C292F" w:rsidP="000C292F">
            <w:pPr>
              <w:pStyle w:val="AODocTxtCharChar"/>
              <w:numPr>
                <w:ilvl w:val="0"/>
                <w:numId w:val="2"/>
              </w:numPr>
              <w:spacing w:before="0" w:beforeAutospacing="0" w:after="0" w:afterAutospacing="0" w:line="360" w:lineRule="auto"/>
              <w:jc w:val="right"/>
              <w:rPr>
                <w:rFonts w:cs="Arial"/>
                <w:lang w:val="cs-CZ"/>
              </w:rPr>
            </w:pPr>
            <w:r w:rsidRPr="00AC713D">
              <w:rPr>
                <w:rFonts w:cs="Arial"/>
                <w:lang w:val="cs-CZ"/>
              </w:rPr>
              <w:t>1. 1. 20</w:t>
            </w:r>
            <w:r w:rsidR="00FA13FF" w:rsidRPr="00AC713D">
              <w:rPr>
                <w:rFonts w:cs="Arial"/>
                <w:lang w:val="cs-CZ"/>
              </w:rPr>
              <w:t>20</w:t>
            </w:r>
            <w:r w:rsidRPr="00AC713D">
              <w:rPr>
                <w:rFonts w:cs="Arial"/>
                <w:lang w:val="cs-CZ"/>
              </w:rPr>
              <w:t xml:space="preserve"> – 30. 6. 20</w:t>
            </w:r>
            <w:r w:rsidR="00FA13FF" w:rsidRPr="00AC713D">
              <w:rPr>
                <w:rFonts w:cs="Arial"/>
                <w:lang w:val="cs-CZ"/>
              </w:rPr>
              <w:t>20</w:t>
            </w:r>
          </w:p>
        </w:tc>
      </w:tr>
      <w:tr w:rsidR="000C292F" w:rsidRPr="00AC713D" w14:paraId="26067013" w14:textId="77777777" w:rsidTr="006A75D4">
        <w:trPr>
          <w:cantSplit/>
        </w:trPr>
        <w:tc>
          <w:tcPr>
            <w:tcW w:w="1702" w:type="pct"/>
            <w:vAlign w:val="center"/>
          </w:tcPr>
          <w:p w14:paraId="23E963D8" w14:textId="77777777" w:rsidR="000C292F" w:rsidRPr="00AC713D" w:rsidRDefault="000C292F" w:rsidP="000C292F">
            <w:pPr>
              <w:pStyle w:val="AODocTxtCharChar"/>
              <w:numPr>
                <w:ilvl w:val="0"/>
                <w:numId w:val="2"/>
              </w:numPr>
              <w:spacing w:before="0" w:beforeAutospacing="0" w:after="0" w:afterAutospacing="0" w:line="360" w:lineRule="auto"/>
              <w:jc w:val="left"/>
              <w:rPr>
                <w:rFonts w:eastAsia="Batang" w:cs="Arial"/>
                <w:lang w:val="cs-CZ"/>
              </w:rPr>
            </w:pPr>
            <w:r w:rsidRPr="00AC713D">
              <w:rPr>
                <w:rFonts w:cs="Arial"/>
                <w:lang w:val="cs-CZ"/>
              </w:rPr>
              <w:t>Alena Naatz</w:t>
            </w:r>
          </w:p>
        </w:tc>
        <w:tc>
          <w:tcPr>
            <w:tcW w:w="1823" w:type="pct"/>
            <w:vAlign w:val="center"/>
          </w:tcPr>
          <w:p w14:paraId="4BA80C3E" w14:textId="77777777" w:rsidR="000C292F" w:rsidRPr="00AC713D" w:rsidRDefault="000C292F" w:rsidP="000C292F">
            <w:pPr>
              <w:pStyle w:val="AODocTxtCharChar"/>
              <w:numPr>
                <w:ilvl w:val="0"/>
                <w:numId w:val="2"/>
              </w:numPr>
              <w:spacing w:before="0" w:beforeAutospacing="0" w:after="0" w:afterAutospacing="0" w:line="360" w:lineRule="auto"/>
              <w:jc w:val="left"/>
              <w:rPr>
                <w:rFonts w:eastAsia="Batang" w:cs="Arial"/>
                <w:lang w:val="cs-CZ"/>
              </w:rPr>
            </w:pPr>
            <w:r w:rsidRPr="00AC713D">
              <w:rPr>
                <w:rFonts w:cs="Arial"/>
                <w:lang w:val="cs-CZ"/>
              </w:rPr>
              <w:t>člen výboru</w:t>
            </w:r>
          </w:p>
        </w:tc>
        <w:tc>
          <w:tcPr>
            <w:tcW w:w="1475" w:type="pct"/>
            <w:vAlign w:val="center"/>
          </w:tcPr>
          <w:p w14:paraId="08EA77E6" w14:textId="381D18C8" w:rsidR="000C292F" w:rsidRPr="00AC713D" w:rsidRDefault="000C292F" w:rsidP="000C292F">
            <w:pPr>
              <w:pStyle w:val="AODocTxtCharChar"/>
              <w:numPr>
                <w:ilvl w:val="0"/>
                <w:numId w:val="2"/>
              </w:numPr>
              <w:spacing w:before="0" w:beforeAutospacing="0" w:after="0" w:afterAutospacing="0" w:line="360" w:lineRule="auto"/>
              <w:jc w:val="right"/>
              <w:rPr>
                <w:rFonts w:cs="Arial"/>
                <w:lang w:val="cs-CZ"/>
              </w:rPr>
            </w:pPr>
            <w:r w:rsidRPr="00AC713D">
              <w:rPr>
                <w:rFonts w:cs="Arial"/>
                <w:lang w:val="cs-CZ"/>
              </w:rPr>
              <w:t>1. 1. 20</w:t>
            </w:r>
            <w:r w:rsidR="00FA13FF" w:rsidRPr="00AC713D">
              <w:rPr>
                <w:rFonts w:cs="Arial"/>
                <w:lang w:val="cs-CZ"/>
              </w:rPr>
              <w:t>20</w:t>
            </w:r>
            <w:r w:rsidRPr="00AC713D">
              <w:rPr>
                <w:rFonts w:cs="Arial"/>
                <w:lang w:val="cs-CZ"/>
              </w:rPr>
              <w:t xml:space="preserve"> – 30. 6. 20</w:t>
            </w:r>
            <w:r w:rsidR="00FA13FF" w:rsidRPr="00AC713D">
              <w:rPr>
                <w:rFonts w:cs="Arial"/>
                <w:lang w:val="cs-CZ"/>
              </w:rPr>
              <w:t>20</w:t>
            </w:r>
          </w:p>
        </w:tc>
      </w:tr>
    </w:tbl>
    <w:p w14:paraId="6006413F" w14:textId="434F80F7" w:rsidR="000C292F" w:rsidRPr="00AC713D" w:rsidRDefault="000C292F" w:rsidP="000C292F">
      <w:pPr>
        <w:rPr>
          <w:rFonts w:cs="Arial"/>
        </w:rPr>
      </w:pPr>
      <w:r w:rsidRPr="00AC713D">
        <w:rPr>
          <w:rFonts w:cs="Arial"/>
        </w:rPr>
        <w:t xml:space="preserve">Během prvního pololetí roku </w:t>
      </w:r>
      <w:r w:rsidR="00FA13FF" w:rsidRPr="00AC713D">
        <w:rPr>
          <w:rFonts w:cs="Arial"/>
        </w:rPr>
        <w:t xml:space="preserve">2020 </w:t>
      </w:r>
      <w:r w:rsidRPr="00AC713D">
        <w:rPr>
          <w:rFonts w:cs="Arial"/>
        </w:rPr>
        <w:t>nedošlo k žádným personálním změnám ve</w:t>
      </w:r>
      <w:r w:rsidR="00603330">
        <w:rPr>
          <w:rFonts w:cs="Arial"/>
        </w:rPr>
        <w:t> </w:t>
      </w:r>
      <w:r w:rsidRPr="00AC713D">
        <w:rPr>
          <w:rFonts w:cs="Arial"/>
        </w:rPr>
        <w:t>výboru pro audit Společnosti.</w:t>
      </w:r>
    </w:p>
    <w:p w14:paraId="525A74DF" w14:textId="77777777" w:rsidR="0058244A" w:rsidRDefault="0058244A">
      <w:pPr>
        <w:spacing w:before="0" w:beforeAutospacing="0" w:after="160" w:afterAutospacing="0" w:line="259" w:lineRule="auto"/>
        <w:jc w:val="left"/>
        <w:rPr>
          <w:rFonts w:cs="Arial"/>
          <w:b/>
          <w:color w:val="2A7FC6"/>
        </w:rPr>
      </w:pPr>
      <w:r>
        <w:rPr>
          <w:rFonts w:cs="Arial"/>
        </w:rPr>
        <w:br w:type="page"/>
      </w:r>
    </w:p>
    <w:p w14:paraId="6B01FE80" w14:textId="3AEDDD95" w:rsidR="000C292F" w:rsidRPr="00AC713D" w:rsidRDefault="000C292F" w:rsidP="000C292F">
      <w:pPr>
        <w:pStyle w:val="Nadpis4"/>
        <w:rPr>
          <w:rFonts w:cs="Arial"/>
        </w:rPr>
      </w:pPr>
      <w:r w:rsidRPr="00AC713D">
        <w:rPr>
          <w:rFonts w:cs="Arial"/>
        </w:rPr>
        <w:lastRenderedPageBreak/>
        <w:t>Účetní jednotky Skupiny</w:t>
      </w:r>
    </w:p>
    <w:p w14:paraId="468D74ED" w14:textId="22603A61" w:rsidR="000C292F" w:rsidRPr="00AC713D" w:rsidRDefault="000C292F" w:rsidP="000C292F">
      <w:pPr>
        <w:pStyle w:val="Normlnweb"/>
        <w:rPr>
          <w:rFonts w:cs="Arial"/>
        </w:rPr>
      </w:pPr>
      <w:r w:rsidRPr="00AC713D">
        <w:rPr>
          <w:rFonts w:cs="Arial"/>
        </w:rPr>
        <w:t xml:space="preserve">K přepočtu základního kapitálu dceřiných společností jsou použity kurzy Kč/USD </w:t>
      </w:r>
      <w:r w:rsidR="00FA13FF" w:rsidRPr="00AC713D">
        <w:rPr>
          <w:rFonts w:cs="Arial"/>
        </w:rPr>
        <w:t>23,879</w:t>
      </w:r>
      <w:r w:rsidRPr="00AC713D">
        <w:rPr>
          <w:rFonts w:cs="Arial"/>
        </w:rPr>
        <w:t xml:space="preserve">, Kč/ZAR </w:t>
      </w:r>
      <w:r w:rsidR="00F0747D" w:rsidRPr="00AC713D">
        <w:rPr>
          <w:rFonts w:cs="Arial"/>
        </w:rPr>
        <w:t>1,</w:t>
      </w:r>
      <w:r w:rsidR="00FA13FF" w:rsidRPr="00AC713D">
        <w:rPr>
          <w:rFonts w:cs="Arial"/>
        </w:rPr>
        <w:t xml:space="preserve">375 </w:t>
      </w:r>
      <w:r w:rsidRPr="00AC713D">
        <w:rPr>
          <w:rFonts w:cs="Arial"/>
        </w:rPr>
        <w:t xml:space="preserve">platné k 30. červnu </w:t>
      </w:r>
      <w:r w:rsidR="00FA13FF" w:rsidRPr="00AC713D">
        <w:rPr>
          <w:rFonts w:cs="Arial"/>
        </w:rPr>
        <w:t>2020</w:t>
      </w:r>
      <w:r w:rsidRPr="00AC713D">
        <w:rPr>
          <w:rFonts w:cs="Arial"/>
        </w:rPr>
        <w:t>.</w:t>
      </w:r>
    </w:p>
    <w:tbl>
      <w:tblPr>
        <w:tblW w:w="5000" w:type="pct"/>
        <w:tblBorders>
          <w:top w:val="single" w:sz="4" w:space="0" w:color="9C9D9F"/>
          <w:bottom w:val="single" w:sz="4" w:space="0" w:color="9C9D9F"/>
          <w:insideH w:val="single" w:sz="4" w:space="0" w:color="9C9D9F"/>
        </w:tblBorders>
        <w:tblLook w:val="01E0" w:firstRow="1" w:lastRow="1" w:firstColumn="1" w:lastColumn="1" w:noHBand="0" w:noVBand="0"/>
      </w:tblPr>
      <w:tblGrid>
        <w:gridCol w:w="1814"/>
        <w:gridCol w:w="1507"/>
        <w:gridCol w:w="1477"/>
        <w:gridCol w:w="1057"/>
        <w:gridCol w:w="990"/>
        <w:gridCol w:w="2227"/>
      </w:tblGrid>
      <w:tr w:rsidR="000C292F" w:rsidRPr="00AC713D" w14:paraId="4FE6D366" w14:textId="77777777" w:rsidTr="002C4FFF">
        <w:tc>
          <w:tcPr>
            <w:tcW w:w="1006" w:type="pct"/>
            <w:shd w:val="clear" w:color="auto" w:fill="2A7FC6"/>
          </w:tcPr>
          <w:p w14:paraId="3BCB8ED3" w14:textId="77777777" w:rsidR="000C292F" w:rsidRPr="00AC713D" w:rsidRDefault="000C292F" w:rsidP="00E431E6">
            <w:pPr>
              <w:pStyle w:val="Normlnweb"/>
              <w:ind w:right="-147"/>
              <w:jc w:val="center"/>
              <w:rPr>
                <w:rFonts w:cs="Arial"/>
                <w:b/>
                <w:color w:val="FFFFFF" w:themeColor="background1"/>
                <w:sz w:val="18"/>
                <w:szCs w:val="18"/>
              </w:rPr>
            </w:pPr>
            <w:r w:rsidRPr="00AC713D">
              <w:rPr>
                <w:rFonts w:cs="Arial"/>
                <w:b/>
                <w:color w:val="FFFFFF" w:themeColor="background1"/>
                <w:sz w:val="18"/>
                <w:szCs w:val="18"/>
              </w:rPr>
              <w:t>Název společnosti</w:t>
            </w:r>
          </w:p>
        </w:tc>
        <w:tc>
          <w:tcPr>
            <w:tcW w:w="819" w:type="pct"/>
            <w:shd w:val="clear" w:color="auto" w:fill="2A7FC6"/>
          </w:tcPr>
          <w:p w14:paraId="0B330F9E" w14:textId="77777777" w:rsidR="000C292F" w:rsidRPr="00AC713D" w:rsidRDefault="000C292F" w:rsidP="00E431E6">
            <w:pPr>
              <w:pStyle w:val="Normlnweb"/>
              <w:jc w:val="center"/>
              <w:rPr>
                <w:rFonts w:cs="Arial"/>
                <w:b/>
                <w:color w:val="FFFFFF" w:themeColor="background1"/>
                <w:sz w:val="18"/>
                <w:szCs w:val="18"/>
              </w:rPr>
            </w:pPr>
            <w:r w:rsidRPr="00AC713D">
              <w:rPr>
                <w:rFonts w:cs="Arial"/>
                <w:b/>
                <w:color w:val="FFFFFF" w:themeColor="background1"/>
                <w:sz w:val="18"/>
                <w:szCs w:val="18"/>
              </w:rPr>
              <w:t>Datum převzetí/zápisu</w:t>
            </w:r>
          </w:p>
        </w:tc>
        <w:tc>
          <w:tcPr>
            <w:tcW w:w="803" w:type="pct"/>
            <w:shd w:val="clear" w:color="auto" w:fill="2A7FC6"/>
          </w:tcPr>
          <w:p w14:paraId="40EAE781" w14:textId="77777777" w:rsidR="000C292F" w:rsidRPr="00AC713D" w:rsidRDefault="000C292F" w:rsidP="00E431E6">
            <w:pPr>
              <w:pStyle w:val="Normlnweb"/>
              <w:jc w:val="center"/>
              <w:rPr>
                <w:rFonts w:cs="Arial"/>
                <w:b/>
                <w:color w:val="FFFFFF" w:themeColor="background1"/>
                <w:sz w:val="18"/>
                <w:szCs w:val="18"/>
              </w:rPr>
            </w:pPr>
            <w:r w:rsidRPr="00AC713D">
              <w:rPr>
                <w:rFonts w:cs="Arial"/>
                <w:b/>
                <w:color w:val="FFFFFF" w:themeColor="background1"/>
                <w:sz w:val="18"/>
                <w:szCs w:val="18"/>
              </w:rPr>
              <w:t>Podíly v dceřiných společnostech</w:t>
            </w:r>
          </w:p>
        </w:tc>
        <w:tc>
          <w:tcPr>
            <w:tcW w:w="588" w:type="pct"/>
            <w:shd w:val="clear" w:color="auto" w:fill="2A7FC6"/>
          </w:tcPr>
          <w:p w14:paraId="0EC0282B" w14:textId="77777777" w:rsidR="000C292F" w:rsidRPr="00AC713D" w:rsidRDefault="000C292F" w:rsidP="00E431E6">
            <w:pPr>
              <w:pStyle w:val="Normlnweb"/>
              <w:jc w:val="center"/>
              <w:rPr>
                <w:rFonts w:cs="Arial"/>
                <w:b/>
                <w:color w:val="FFFFFF" w:themeColor="background1"/>
                <w:sz w:val="18"/>
                <w:szCs w:val="18"/>
              </w:rPr>
            </w:pPr>
            <w:r w:rsidRPr="00AC713D">
              <w:rPr>
                <w:rFonts w:cs="Arial"/>
                <w:b/>
                <w:color w:val="FFFFFF" w:themeColor="background1"/>
                <w:sz w:val="18"/>
                <w:szCs w:val="18"/>
              </w:rPr>
              <w:t>Základní kapitál v tis. Kč/tis. USD/tis. ZAR</w:t>
            </w:r>
          </w:p>
        </w:tc>
        <w:tc>
          <w:tcPr>
            <w:tcW w:w="551" w:type="pct"/>
            <w:shd w:val="clear" w:color="auto" w:fill="2A7FC6"/>
          </w:tcPr>
          <w:p w14:paraId="7CD1A719" w14:textId="77777777" w:rsidR="000C292F" w:rsidRPr="00AC713D" w:rsidRDefault="000C292F" w:rsidP="00E431E6">
            <w:pPr>
              <w:pStyle w:val="Normlnweb"/>
              <w:jc w:val="center"/>
              <w:rPr>
                <w:rFonts w:cs="Arial"/>
                <w:b/>
                <w:color w:val="FFFFFF" w:themeColor="background1"/>
                <w:sz w:val="18"/>
                <w:szCs w:val="18"/>
              </w:rPr>
            </w:pPr>
            <w:r w:rsidRPr="00AC713D">
              <w:rPr>
                <w:rFonts w:cs="Arial"/>
                <w:b/>
                <w:color w:val="FFFFFF" w:themeColor="background1"/>
                <w:sz w:val="18"/>
                <w:szCs w:val="18"/>
              </w:rPr>
              <w:t>Základní kapitál v tis. Kč</w:t>
            </w:r>
          </w:p>
        </w:tc>
        <w:tc>
          <w:tcPr>
            <w:tcW w:w="1233" w:type="pct"/>
            <w:shd w:val="clear" w:color="auto" w:fill="2A7FC6"/>
          </w:tcPr>
          <w:p w14:paraId="1204741A" w14:textId="77777777" w:rsidR="000C292F" w:rsidRPr="00AC713D" w:rsidRDefault="000C292F" w:rsidP="00AA7280">
            <w:pPr>
              <w:pStyle w:val="Normlnweb"/>
              <w:ind w:left="105"/>
              <w:jc w:val="center"/>
              <w:rPr>
                <w:rFonts w:cs="Arial"/>
                <w:b/>
                <w:color w:val="FFFFFF" w:themeColor="background1"/>
                <w:sz w:val="18"/>
                <w:szCs w:val="18"/>
              </w:rPr>
            </w:pPr>
            <w:r w:rsidRPr="00AC713D">
              <w:rPr>
                <w:rFonts w:cs="Arial"/>
                <w:b/>
                <w:color w:val="FFFFFF" w:themeColor="background1"/>
                <w:sz w:val="18"/>
                <w:szCs w:val="18"/>
              </w:rPr>
              <w:t>Počet akcií a jejich nominální hodnota</w:t>
            </w:r>
          </w:p>
        </w:tc>
      </w:tr>
      <w:tr w:rsidR="000C292F" w:rsidRPr="00AC713D" w14:paraId="548925C5" w14:textId="77777777" w:rsidTr="002C4FFF">
        <w:trPr>
          <w:trHeight w:val="580"/>
        </w:trPr>
        <w:tc>
          <w:tcPr>
            <w:tcW w:w="1006" w:type="pct"/>
          </w:tcPr>
          <w:p w14:paraId="6548D49B" w14:textId="1A1A761F" w:rsidR="000C292F" w:rsidRPr="00AC713D" w:rsidRDefault="006A7C67" w:rsidP="00E431E6">
            <w:pPr>
              <w:ind w:right="-147"/>
              <w:jc w:val="left"/>
              <w:rPr>
                <w:rFonts w:cs="Arial"/>
                <w:sz w:val="18"/>
                <w:szCs w:val="18"/>
                <w:vertAlign w:val="superscript"/>
              </w:rPr>
            </w:pPr>
            <w:r w:rsidRPr="00AC713D">
              <w:rPr>
                <w:rFonts w:cs="Arial"/>
                <w:sz w:val="18"/>
                <w:szCs w:val="18"/>
              </w:rPr>
              <w:t xml:space="preserve">PFNonwovens </w:t>
            </w:r>
            <w:r w:rsidR="000C292F" w:rsidRPr="00AC713D">
              <w:rPr>
                <w:rFonts w:cs="Arial"/>
                <w:sz w:val="18"/>
                <w:szCs w:val="18"/>
              </w:rPr>
              <w:t>Czech s.r.o.</w:t>
            </w:r>
          </w:p>
        </w:tc>
        <w:tc>
          <w:tcPr>
            <w:tcW w:w="819" w:type="pct"/>
          </w:tcPr>
          <w:p w14:paraId="3611355F" w14:textId="77777777" w:rsidR="000C292F" w:rsidRPr="00AC713D" w:rsidRDefault="000C292F" w:rsidP="00E431E6">
            <w:pPr>
              <w:jc w:val="right"/>
              <w:rPr>
                <w:rFonts w:cs="Arial"/>
                <w:sz w:val="18"/>
                <w:szCs w:val="18"/>
              </w:rPr>
            </w:pPr>
            <w:r w:rsidRPr="00AC713D">
              <w:rPr>
                <w:rFonts w:cs="Arial"/>
                <w:sz w:val="18"/>
                <w:szCs w:val="18"/>
              </w:rPr>
              <w:t>5. 12. 2005</w:t>
            </w:r>
          </w:p>
        </w:tc>
        <w:tc>
          <w:tcPr>
            <w:tcW w:w="803" w:type="pct"/>
          </w:tcPr>
          <w:p w14:paraId="4D39490A" w14:textId="77777777" w:rsidR="000C292F" w:rsidRPr="00AC713D" w:rsidRDefault="000C292F" w:rsidP="00E431E6">
            <w:pPr>
              <w:jc w:val="center"/>
              <w:rPr>
                <w:rFonts w:cs="Arial"/>
                <w:sz w:val="18"/>
                <w:szCs w:val="18"/>
              </w:rPr>
            </w:pPr>
            <w:r w:rsidRPr="00AC713D">
              <w:rPr>
                <w:rFonts w:cs="Arial"/>
                <w:sz w:val="18"/>
                <w:szCs w:val="18"/>
              </w:rPr>
              <w:t>100 %</w:t>
            </w:r>
          </w:p>
        </w:tc>
        <w:tc>
          <w:tcPr>
            <w:tcW w:w="588" w:type="pct"/>
          </w:tcPr>
          <w:p w14:paraId="29B3E212" w14:textId="77777777" w:rsidR="000C292F" w:rsidRPr="00AC713D" w:rsidRDefault="000C292F" w:rsidP="00E431E6">
            <w:pPr>
              <w:jc w:val="right"/>
              <w:rPr>
                <w:rFonts w:cs="Arial"/>
                <w:sz w:val="18"/>
                <w:szCs w:val="18"/>
              </w:rPr>
            </w:pPr>
            <w:r w:rsidRPr="00AC713D">
              <w:rPr>
                <w:rFonts w:cs="Arial"/>
                <w:sz w:val="18"/>
                <w:szCs w:val="18"/>
              </w:rPr>
              <w:t>3 633 tis. Kč</w:t>
            </w:r>
          </w:p>
        </w:tc>
        <w:tc>
          <w:tcPr>
            <w:tcW w:w="551" w:type="pct"/>
          </w:tcPr>
          <w:p w14:paraId="74F4936B" w14:textId="3E8733F6" w:rsidR="000C292F" w:rsidRPr="00AC713D" w:rsidRDefault="00F0747D" w:rsidP="00F0747D">
            <w:pPr>
              <w:ind w:right="-120"/>
              <w:jc w:val="right"/>
              <w:rPr>
                <w:rFonts w:cs="Arial"/>
                <w:sz w:val="18"/>
                <w:szCs w:val="18"/>
              </w:rPr>
            </w:pPr>
            <w:r w:rsidRPr="00AC713D">
              <w:rPr>
                <w:rFonts w:cs="Arial"/>
                <w:sz w:val="18"/>
                <w:szCs w:val="18"/>
              </w:rPr>
              <w:t>3 633 tis. Kč</w:t>
            </w:r>
          </w:p>
        </w:tc>
        <w:tc>
          <w:tcPr>
            <w:tcW w:w="1233" w:type="pct"/>
          </w:tcPr>
          <w:p w14:paraId="65C869A1" w14:textId="77777777" w:rsidR="000C292F" w:rsidRPr="00AC713D" w:rsidRDefault="000C292F" w:rsidP="00AA7280">
            <w:pPr>
              <w:ind w:left="105"/>
              <w:jc w:val="right"/>
              <w:rPr>
                <w:rFonts w:cs="Arial"/>
                <w:sz w:val="18"/>
                <w:szCs w:val="18"/>
              </w:rPr>
            </w:pPr>
            <w:r w:rsidRPr="00AC713D">
              <w:rPr>
                <w:rFonts w:cs="Arial"/>
                <w:sz w:val="18"/>
                <w:szCs w:val="18"/>
              </w:rPr>
              <w:t>100 % podíl v hodnotě 3</w:t>
            </w:r>
            <w:r w:rsidRPr="00AC713D">
              <w:rPr>
                <w:rFonts w:cs="Arial"/>
                <w:b/>
                <w:sz w:val="18"/>
                <w:szCs w:val="18"/>
              </w:rPr>
              <w:t> </w:t>
            </w:r>
            <w:r w:rsidRPr="00AC713D">
              <w:rPr>
                <w:rFonts w:cs="Arial"/>
                <w:sz w:val="18"/>
                <w:szCs w:val="18"/>
              </w:rPr>
              <w:t>633 tis. Kč</w:t>
            </w:r>
          </w:p>
        </w:tc>
      </w:tr>
      <w:tr w:rsidR="000C292F" w:rsidRPr="00AC713D" w14:paraId="779A842F" w14:textId="77777777" w:rsidTr="002C4FFF">
        <w:tc>
          <w:tcPr>
            <w:tcW w:w="1006" w:type="pct"/>
          </w:tcPr>
          <w:p w14:paraId="2C7AE011" w14:textId="043236F7" w:rsidR="000C292F" w:rsidRPr="00AC713D" w:rsidRDefault="006A7C67" w:rsidP="006A7C67">
            <w:pPr>
              <w:ind w:right="-147"/>
              <w:jc w:val="left"/>
              <w:rPr>
                <w:rFonts w:cs="Arial"/>
                <w:sz w:val="18"/>
                <w:szCs w:val="18"/>
              </w:rPr>
            </w:pPr>
            <w:r w:rsidRPr="00AC713D">
              <w:rPr>
                <w:rFonts w:cs="Arial"/>
                <w:sz w:val="18"/>
                <w:szCs w:val="18"/>
              </w:rPr>
              <w:t xml:space="preserve">PFN </w:t>
            </w:r>
            <w:r w:rsidR="000C292F" w:rsidRPr="00AC713D">
              <w:rPr>
                <w:rFonts w:cs="Arial"/>
                <w:sz w:val="18"/>
                <w:szCs w:val="18"/>
              </w:rPr>
              <w:t>- NW a.s.</w:t>
            </w:r>
          </w:p>
        </w:tc>
        <w:tc>
          <w:tcPr>
            <w:tcW w:w="819" w:type="pct"/>
          </w:tcPr>
          <w:p w14:paraId="00F2BC6E" w14:textId="77777777" w:rsidR="000C292F" w:rsidRPr="00AC713D" w:rsidRDefault="000C292F" w:rsidP="00E431E6">
            <w:pPr>
              <w:jc w:val="right"/>
              <w:rPr>
                <w:rFonts w:cs="Arial"/>
                <w:sz w:val="18"/>
                <w:szCs w:val="18"/>
              </w:rPr>
            </w:pPr>
            <w:r w:rsidRPr="00AC713D">
              <w:rPr>
                <w:rFonts w:cs="Arial"/>
                <w:sz w:val="18"/>
                <w:szCs w:val="18"/>
              </w:rPr>
              <w:t>14. 12. 2005</w:t>
            </w:r>
          </w:p>
        </w:tc>
        <w:tc>
          <w:tcPr>
            <w:tcW w:w="803" w:type="pct"/>
          </w:tcPr>
          <w:p w14:paraId="7B3369AD" w14:textId="77777777" w:rsidR="000C292F" w:rsidRPr="00AC713D" w:rsidRDefault="000C292F" w:rsidP="00E431E6">
            <w:pPr>
              <w:jc w:val="center"/>
              <w:rPr>
                <w:rFonts w:cs="Arial"/>
                <w:sz w:val="18"/>
                <w:szCs w:val="18"/>
              </w:rPr>
            </w:pPr>
            <w:r w:rsidRPr="00AC713D">
              <w:rPr>
                <w:rFonts w:cs="Arial"/>
                <w:sz w:val="18"/>
                <w:szCs w:val="18"/>
              </w:rPr>
              <w:t>100 %</w:t>
            </w:r>
          </w:p>
        </w:tc>
        <w:tc>
          <w:tcPr>
            <w:tcW w:w="588" w:type="pct"/>
          </w:tcPr>
          <w:p w14:paraId="7E6A0802" w14:textId="77777777" w:rsidR="000C292F" w:rsidRPr="00AC713D" w:rsidRDefault="000C292F" w:rsidP="00E431E6">
            <w:pPr>
              <w:jc w:val="right"/>
              <w:rPr>
                <w:rFonts w:cs="Arial"/>
                <w:sz w:val="18"/>
                <w:szCs w:val="18"/>
              </w:rPr>
            </w:pPr>
            <w:r w:rsidRPr="00AC713D">
              <w:rPr>
                <w:rFonts w:cs="Arial"/>
                <w:sz w:val="18"/>
                <w:szCs w:val="18"/>
              </w:rPr>
              <w:t>650 000 tis. Kč</w:t>
            </w:r>
          </w:p>
          <w:p w14:paraId="44C22B57" w14:textId="77777777" w:rsidR="000C292F" w:rsidRPr="00AC713D" w:rsidRDefault="000C292F" w:rsidP="00E431E6">
            <w:pPr>
              <w:jc w:val="right"/>
              <w:rPr>
                <w:rFonts w:cs="Arial"/>
                <w:sz w:val="18"/>
                <w:szCs w:val="18"/>
              </w:rPr>
            </w:pPr>
          </w:p>
        </w:tc>
        <w:tc>
          <w:tcPr>
            <w:tcW w:w="551" w:type="pct"/>
          </w:tcPr>
          <w:p w14:paraId="680570C2" w14:textId="4C60D19A" w:rsidR="000C292F" w:rsidRPr="00AC713D" w:rsidRDefault="00F0747D" w:rsidP="000546B5">
            <w:pPr>
              <w:ind w:right="-120"/>
              <w:jc w:val="right"/>
              <w:rPr>
                <w:rFonts w:cs="Arial"/>
                <w:sz w:val="18"/>
                <w:szCs w:val="18"/>
              </w:rPr>
            </w:pPr>
            <w:r w:rsidRPr="00AC713D">
              <w:rPr>
                <w:rFonts w:cs="Arial"/>
                <w:sz w:val="18"/>
                <w:szCs w:val="18"/>
              </w:rPr>
              <w:t>650 000 tis. Kč</w:t>
            </w:r>
          </w:p>
        </w:tc>
        <w:tc>
          <w:tcPr>
            <w:tcW w:w="1233" w:type="pct"/>
          </w:tcPr>
          <w:p w14:paraId="33C3BF9C" w14:textId="77777777" w:rsidR="000C292F" w:rsidRPr="00AC713D" w:rsidRDefault="000C292F" w:rsidP="00AA7280">
            <w:pPr>
              <w:ind w:left="105"/>
              <w:jc w:val="right"/>
              <w:rPr>
                <w:rFonts w:cs="Arial"/>
                <w:sz w:val="18"/>
                <w:szCs w:val="18"/>
              </w:rPr>
            </w:pPr>
            <w:r w:rsidRPr="00AC713D">
              <w:rPr>
                <w:rFonts w:cs="Arial"/>
                <w:sz w:val="18"/>
                <w:szCs w:val="18"/>
              </w:rPr>
              <w:t>64 akcií v nomin. hodnotě 10 000 tis. Kč za akcii a 10 akcií v nomin. hodnotě 1 000 tis. za akcii</w:t>
            </w:r>
          </w:p>
        </w:tc>
      </w:tr>
      <w:tr w:rsidR="000C292F" w:rsidRPr="00AC713D" w14:paraId="46BEA0F1" w14:textId="77777777" w:rsidTr="002C4FFF">
        <w:tc>
          <w:tcPr>
            <w:tcW w:w="1006" w:type="pct"/>
          </w:tcPr>
          <w:p w14:paraId="7DCDE7F8" w14:textId="157361F2" w:rsidR="000C292F" w:rsidRPr="00AC713D" w:rsidRDefault="006A7C67" w:rsidP="006A7C67">
            <w:pPr>
              <w:ind w:right="-147"/>
              <w:jc w:val="left"/>
              <w:rPr>
                <w:rFonts w:cs="Arial"/>
                <w:sz w:val="18"/>
                <w:szCs w:val="18"/>
                <w:vertAlign w:val="superscript"/>
              </w:rPr>
            </w:pPr>
            <w:r w:rsidRPr="00AC713D">
              <w:rPr>
                <w:rFonts w:cs="Arial"/>
                <w:sz w:val="18"/>
                <w:szCs w:val="18"/>
              </w:rPr>
              <w:t xml:space="preserve">PFN </w:t>
            </w:r>
            <w:r w:rsidR="000C292F" w:rsidRPr="00AC713D">
              <w:rPr>
                <w:rFonts w:cs="Arial"/>
                <w:sz w:val="18"/>
                <w:szCs w:val="18"/>
              </w:rPr>
              <w:t>- NS a.s.</w:t>
            </w:r>
          </w:p>
        </w:tc>
        <w:tc>
          <w:tcPr>
            <w:tcW w:w="819" w:type="pct"/>
          </w:tcPr>
          <w:p w14:paraId="5F4920AF" w14:textId="77777777" w:rsidR="000C292F" w:rsidRPr="00AC713D" w:rsidRDefault="000C292F" w:rsidP="00E431E6">
            <w:pPr>
              <w:jc w:val="right"/>
              <w:rPr>
                <w:rFonts w:cs="Arial"/>
                <w:sz w:val="18"/>
                <w:szCs w:val="18"/>
              </w:rPr>
            </w:pPr>
            <w:r w:rsidRPr="00AC713D">
              <w:rPr>
                <w:rFonts w:cs="Arial"/>
                <w:sz w:val="18"/>
                <w:szCs w:val="18"/>
              </w:rPr>
              <w:t>3. 12. 2007</w:t>
            </w:r>
          </w:p>
        </w:tc>
        <w:tc>
          <w:tcPr>
            <w:tcW w:w="803" w:type="pct"/>
          </w:tcPr>
          <w:p w14:paraId="1377C2B4" w14:textId="77777777" w:rsidR="000C292F" w:rsidRPr="00AC713D" w:rsidRDefault="000C292F" w:rsidP="00E431E6">
            <w:pPr>
              <w:jc w:val="center"/>
              <w:rPr>
                <w:rFonts w:cs="Arial"/>
                <w:sz w:val="18"/>
                <w:szCs w:val="18"/>
              </w:rPr>
            </w:pPr>
            <w:r w:rsidRPr="00AC713D">
              <w:rPr>
                <w:rFonts w:cs="Arial"/>
                <w:sz w:val="18"/>
                <w:szCs w:val="18"/>
              </w:rPr>
              <w:t>100 %</w:t>
            </w:r>
          </w:p>
        </w:tc>
        <w:tc>
          <w:tcPr>
            <w:tcW w:w="588" w:type="pct"/>
          </w:tcPr>
          <w:p w14:paraId="747520CB" w14:textId="77777777" w:rsidR="000C292F" w:rsidRPr="00AC713D" w:rsidRDefault="000C292F" w:rsidP="00E431E6">
            <w:pPr>
              <w:jc w:val="right"/>
              <w:rPr>
                <w:rFonts w:cs="Arial"/>
                <w:sz w:val="18"/>
                <w:szCs w:val="18"/>
              </w:rPr>
            </w:pPr>
            <w:r w:rsidRPr="00AC713D">
              <w:rPr>
                <w:rFonts w:cs="Arial"/>
                <w:sz w:val="18"/>
                <w:szCs w:val="18"/>
              </w:rPr>
              <w:t>650 000 tis. Kč</w:t>
            </w:r>
          </w:p>
          <w:p w14:paraId="4C780ECC" w14:textId="77777777" w:rsidR="000C292F" w:rsidRPr="00AC713D" w:rsidRDefault="000C292F" w:rsidP="00E431E6">
            <w:pPr>
              <w:jc w:val="right"/>
              <w:rPr>
                <w:rFonts w:cs="Arial"/>
                <w:sz w:val="18"/>
                <w:szCs w:val="18"/>
              </w:rPr>
            </w:pPr>
          </w:p>
        </w:tc>
        <w:tc>
          <w:tcPr>
            <w:tcW w:w="551" w:type="pct"/>
          </w:tcPr>
          <w:p w14:paraId="34DC761C" w14:textId="4B83A91F" w:rsidR="000C292F" w:rsidRPr="00AC713D" w:rsidRDefault="00F0747D" w:rsidP="000546B5">
            <w:pPr>
              <w:ind w:right="-120"/>
              <w:jc w:val="right"/>
              <w:rPr>
                <w:rFonts w:cs="Arial"/>
                <w:sz w:val="18"/>
                <w:szCs w:val="18"/>
              </w:rPr>
            </w:pPr>
            <w:r w:rsidRPr="00AC713D">
              <w:rPr>
                <w:rFonts w:cs="Arial"/>
                <w:sz w:val="18"/>
                <w:szCs w:val="18"/>
              </w:rPr>
              <w:t>650 000 tis. Kč</w:t>
            </w:r>
          </w:p>
        </w:tc>
        <w:tc>
          <w:tcPr>
            <w:tcW w:w="1233" w:type="pct"/>
          </w:tcPr>
          <w:p w14:paraId="08ABED63" w14:textId="77777777" w:rsidR="000C292F" w:rsidRPr="00AC713D" w:rsidRDefault="000C292F" w:rsidP="00AA7280">
            <w:pPr>
              <w:ind w:left="105"/>
              <w:jc w:val="right"/>
              <w:rPr>
                <w:rFonts w:cs="Arial"/>
                <w:sz w:val="18"/>
                <w:szCs w:val="18"/>
              </w:rPr>
            </w:pPr>
            <w:r w:rsidRPr="00AC713D">
              <w:rPr>
                <w:rFonts w:cs="Arial"/>
                <w:sz w:val="18"/>
                <w:szCs w:val="18"/>
              </w:rPr>
              <w:t xml:space="preserve">64 akcií v nomin. hodnotě 10 000 tis. Kč za akcii a 10 akcií v nomin. hodnotě 1 000 tis. za akcii </w:t>
            </w:r>
          </w:p>
        </w:tc>
      </w:tr>
      <w:tr w:rsidR="000C292F" w:rsidRPr="00AC713D" w14:paraId="6FFADD36" w14:textId="77777777" w:rsidTr="002C4FFF">
        <w:tc>
          <w:tcPr>
            <w:tcW w:w="1006" w:type="pct"/>
          </w:tcPr>
          <w:p w14:paraId="1A311D50" w14:textId="06814DF2" w:rsidR="000C292F" w:rsidRPr="00AC713D" w:rsidRDefault="006A7C67" w:rsidP="006A7C67">
            <w:pPr>
              <w:ind w:right="-147"/>
              <w:jc w:val="left"/>
              <w:rPr>
                <w:rFonts w:cs="Arial"/>
                <w:sz w:val="18"/>
                <w:szCs w:val="18"/>
              </w:rPr>
            </w:pPr>
            <w:r w:rsidRPr="00AC713D">
              <w:rPr>
                <w:rFonts w:cs="Arial"/>
                <w:sz w:val="18"/>
                <w:szCs w:val="18"/>
              </w:rPr>
              <w:t xml:space="preserve">PFN </w:t>
            </w:r>
            <w:r w:rsidR="000C292F" w:rsidRPr="00AC713D">
              <w:rPr>
                <w:rFonts w:cs="Arial"/>
                <w:sz w:val="18"/>
                <w:szCs w:val="18"/>
              </w:rPr>
              <w:t>– GIC a.s.</w:t>
            </w:r>
          </w:p>
        </w:tc>
        <w:tc>
          <w:tcPr>
            <w:tcW w:w="819" w:type="pct"/>
          </w:tcPr>
          <w:p w14:paraId="693E3EC8" w14:textId="77777777" w:rsidR="000C292F" w:rsidRPr="00AC713D" w:rsidRDefault="000C292F" w:rsidP="00E431E6">
            <w:pPr>
              <w:jc w:val="right"/>
              <w:rPr>
                <w:rFonts w:cs="Arial"/>
                <w:sz w:val="18"/>
                <w:szCs w:val="18"/>
              </w:rPr>
            </w:pPr>
            <w:r w:rsidRPr="00AC713D">
              <w:rPr>
                <w:rFonts w:cs="Arial"/>
                <w:sz w:val="18"/>
                <w:szCs w:val="18"/>
              </w:rPr>
              <w:t>11. 9. 2017</w:t>
            </w:r>
          </w:p>
        </w:tc>
        <w:tc>
          <w:tcPr>
            <w:tcW w:w="803" w:type="pct"/>
          </w:tcPr>
          <w:p w14:paraId="13FB6BC1" w14:textId="77777777" w:rsidR="000C292F" w:rsidRPr="00AC713D" w:rsidRDefault="000C292F" w:rsidP="00E431E6">
            <w:pPr>
              <w:jc w:val="center"/>
              <w:rPr>
                <w:rFonts w:cs="Arial"/>
                <w:sz w:val="18"/>
                <w:szCs w:val="18"/>
              </w:rPr>
            </w:pPr>
            <w:r w:rsidRPr="00AC713D">
              <w:rPr>
                <w:rFonts w:cs="Arial"/>
                <w:sz w:val="18"/>
                <w:szCs w:val="18"/>
              </w:rPr>
              <w:t>100 %</w:t>
            </w:r>
          </w:p>
        </w:tc>
        <w:tc>
          <w:tcPr>
            <w:tcW w:w="588" w:type="pct"/>
          </w:tcPr>
          <w:p w14:paraId="2F619093" w14:textId="77777777" w:rsidR="000C292F" w:rsidRPr="00AC713D" w:rsidRDefault="000C292F" w:rsidP="00E431E6">
            <w:pPr>
              <w:jc w:val="right"/>
              <w:rPr>
                <w:rFonts w:cs="Arial"/>
                <w:sz w:val="18"/>
                <w:szCs w:val="18"/>
              </w:rPr>
            </w:pPr>
            <w:r w:rsidRPr="00AC713D">
              <w:rPr>
                <w:rFonts w:cs="Arial"/>
                <w:sz w:val="18"/>
                <w:szCs w:val="18"/>
              </w:rPr>
              <w:t>2 000 tis. Kč</w:t>
            </w:r>
          </w:p>
        </w:tc>
        <w:tc>
          <w:tcPr>
            <w:tcW w:w="551" w:type="pct"/>
          </w:tcPr>
          <w:p w14:paraId="4CF4197D" w14:textId="090D7C77" w:rsidR="000C292F" w:rsidRPr="00AC713D" w:rsidDel="00EC3EFD" w:rsidRDefault="00F0747D" w:rsidP="000546B5">
            <w:pPr>
              <w:ind w:right="-120"/>
              <w:jc w:val="right"/>
              <w:rPr>
                <w:rFonts w:cs="Arial"/>
                <w:sz w:val="18"/>
                <w:szCs w:val="18"/>
              </w:rPr>
            </w:pPr>
            <w:r w:rsidRPr="00AC713D">
              <w:rPr>
                <w:rFonts w:cs="Arial"/>
                <w:sz w:val="18"/>
                <w:szCs w:val="18"/>
              </w:rPr>
              <w:t>2 000 tis. Kč</w:t>
            </w:r>
          </w:p>
        </w:tc>
        <w:tc>
          <w:tcPr>
            <w:tcW w:w="1233" w:type="pct"/>
          </w:tcPr>
          <w:p w14:paraId="4B82B231" w14:textId="77777777" w:rsidR="000C292F" w:rsidRPr="00AC713D" w:rsidRDefault="000C292F" w:rsidP="00AA7280">
            <w:pPr>
              <w:ind w:left="105"/>
              <w:jc w:val="right"/>
              <w:rPr>
                <w:rFonts w:cs="Arial"/>
                <w:sz w:val="18"/>
                <w:szCs w:val="18"/>
              </w:rPr>
            </w:pPr>
            <w:r w:rsidRPr="00AC713D">
              <w:rPr>
                <w:rFonts w:cs="Arial"/>
                <w:sz w:val="18"/>
                <w:szCs w:val="18"/>
              </w:rPr>
              <w:t>2 ks akcií na jméno v listinné podobě v nominální hodnotě 1 000 tis. Kč</w:t>
            </w:r>
          </w:p>
        </w:tc>
      </w:tr>
      <w:tr w:rsidR="000C292F" w:rsidRPr="00AC713D" w14:paraId="41983284" w14:textId="77777777" w:rsidTr="002C4FFF">
        <w:tc>
          <w:tcPr>
            <w:tcW w:w="1006" w:type="pct"/>
          </w:tcPr>
          <w:p w14:paraId="3A2530AD" w14:textId="75D21AC7" w:rsidR="000C292F" w:rsidRPr="00AC713D" w:rsidRDefault="00846BC1" w:rsidP="00AA7280">
            <w:pPr>
              <w:ind w:right="-147"/>
              <w:jc w:val="left"/>
              <w:rPr>
                <w:rFonts w:cs="Arial"/>
                <w:sz w:val="18"/>
                <w:szCs w:val="18"/>
              </w:rPr>
            </w:pPr>
            <w:r w:rsidRPr="00AC713D">
              <w:rPr>
                <w:rFonts w:cs="Arial"/>
                <w:sz w:val="18"/>
                <w:szCs w:val="18"/>
              </w:rPr>
              <w:t>PFNonwovens Egypt</w:t>
            </w:r>
            <w:r w:rsidR="000C292F" w:rsidRPr="00AC713D">
              <w:rPr>
                <w:rFonts w:cs="Arial"/>
                <w:sz w:val="18"/>
                <w:szCs w:val="18"/>
              </w:rPr>
              <w:t xml:space="preserve"> LLC **</w:t>
            </w:r>
          </w:p>
        </w:tc>
        <w:tc>
          <w:tcPr>
            <w:tcW w:w="819" w:type="pct"/>
          </w:tcPr>
          <w:p w14:paraId="3FC93E08" w14:textId="77777777" w:rsidR="000C292F" w:rsidRPr="00AC713D" w:rsidRDefault="000C292F" w:rsidP="00E431E6">
            <w:pPr>
              <w:jc w:val="right"/>
              <w:rPr>
                <w:rFonts w:cs="Arial"/>
                <w:sz w:val="18"/>
                <w:szCs w:val="18"/>
              </w:rPr>
            </w:pPr>
            <w:r w:rsidRPr="00AC713D">
              <w:rPr>
                <w:rFonts w:cs="Arial"/>
                <w:sz w:val="18"/>
                <w:szCs w:val="18"/>
              </w:rPr>
              <w:t>6. 6. 2011</w:t>
            </w:r>
          </w:p>
        </w:tc>
        <w:tc>
          <w:tcPr>
            <w:tcW w:w="803" w:type="pct"/>
          </w:tcPr>
          <w:p w14:paraId="265D82F0" w14:textId="77777777" w:rsidR="000C292F" w:rsidRPr="00AC713D" w:rsidRDefault="000C292F" w:rsidP="00E431E6">
            <w:pPr>
              <w:jc w:val="center"/>
              <w:rPr>
                <w:rFonts w:cs="Arial"/>
                <w:sz w:val="18"/>
                <w:szCs w:val="18"/>
              </w:rPr>
            </w:pPr>
            <w:r w:rsidRPr="00AC713D">
              <w:rPr>
                <w:rFonts w:cs="Arial"/>
                <w:sz w:val="18"/>
                <w:szCs w:val="18"/>
              </w:rPr>
              <w:t>100 %</w:t>
            </w:r>
          </w:p>
        </w:tc>
        <w:tc>
          <w:tcPr>
            <w:tcW w:w="588" w:type="pct"/>
          </w:tcPr>
          <w:p w14:paraId="6C74F658" w14:textId="77777777" w:rsidR="000C292F" w:rsidRPr="00AC713D" w:rsidRDefault="000C292F" w:rsidP="00E431E6">
            <w:pPr>
              <w:jc w:val="right"/>
              <w:rPr>
                <w:rFonts w:cs="Arial"/>
                <w:sz w:val="18"/>
                <w:szCs w:val="18"/>
              </w:rPr>
            </w:pPr>
            <w:r w:rsidRPr="00AC713D">
              <w:rPr>
                <w:rFonts w:cs="Arial"/>
                <w:sz w:val="18"/>
                <w:szCs w:val="18"/>
              </w:rPr>
              <w:t>43 000 tis. USD</w:t>
            </w:r>
          </w:p>
        </w:tc>
        <w:tc>
          <w:tcPr>
            <w:tcW w:w="551" w:type="pct"/>
          </w:tcPr>
          <w:p w14:paraId="5E1B80E8" w14:textId="185A29C0" w:rsidR="000C292F" w:rsidRPr="00AC713D" w:rsidRDefault="00846BC1" w:rsidP="000546B5">
            <w:pPr>
              <w:ind w:right="-120"/>
              <w:jc w:val="right"/>
              <w:rPr>
                <w:rFonts w:cs="Arial"/>
                <w:sz w:val="18"/>
                <w:szCs w:val="18"/>
              </w:rPr>
            </w:pPr>
            <w:r w:rsidRPr="00AC713D">
              <w:rPr>
                <w:rFonts w:cs="Arial"/>
                <w:sz w:val="18"/>
                <w:szCs w:val="18"/>
              </w:rPr>
              <w:t>1 026 797</w:t>
            </w:r>
            <w:r w:rsidR="00F0747D" w:rsidRPr="00AC713D">
              <w:rPr>
                <w:rFonts w:cs="Arial"/>
                <w:sz w:val="18"/>
                <w:szCs w:val="18"/>
              </w:rPr>
              <w:t xml:space="preserve"> tis. Kč</w:t>
            </w:r>
          </w:p>
        </w:tc>
        <w:tc>
          <w:tcPr>
            <w:tcW w:w="1233" w:type="pct"/>
          </w:tcPr>
          <w:p w14:paraId="602D36B2" w14:textId="656F1695" w:rsidR="000C292F" w:rsidRPr="00AC713D" w:rsidRDefault="000C292F" w:rsidP="00AA7280">
            <w:pPr>
              <w:ind w:left="105"/>
              <w:jc w:val="right"/>
              <w:rPr>
                <w:rFonts w:cs="Arial"/>
                <w:sz w:val="18"/>
                <w:szCs w:val="18"/>
              </w:rPr>
            </w:pPr>
            <w:r w:rsidRPr="00AC713D">
              <w:rPr>
                <w:rFonts w:cs="Arial"/>
                <w:sz w:val="18"/>
                <w:szCs w:val="18"/>
              </w:rPr>
              <w:t xml:space="preserve">100 % podíl v hodnotě </w:t>
            </w:r>
            <w:r w:rsidRPr="00AC713D">
              <w:rPr>
                <w:rFonts w:cs="Arial"/>
                <w:sz w:val="18"/>
                <w:szCs w:val="18"/>
              </w:rPr>
              <w:br/>
            </w:r>
            <w:r w:rsidR="00F0747D" w:rsidRPr="00AC713D">
              <w:rPr>
                <w:rFonts w:cs="Arial"/>
                <w:sz w:val="18"/>
                <w:szCs w:val="18"/>
              </w:rPr>
              <w:t>4</w:t>
            </w:r>
            <w:r w:rsidRPr="00AC713D">
              <w:rPr>
                <w:rFonts w:cs="Arial"/>
                <w:sz w:val="18"/>
                <w:szCs w:val="18"/>
              </w:rPr>
              <w:t>3 000 tis. USD</w:t>
            </w:r>
          </w:p>
        </w:tc>
      </w:tr>
      <w:tr w:rsidR="000C292F" w:rsidRPr="00AC713D" w14:paraId="6FEE9BCF" w14:textId="77777777" w:rsidTr="002C4FFF">
        <w:tc>
          <w:tcPr>
            <w:tcW w:w="1006" w:type="pct"/>
          </w:tcPr>
          <w:p w14:paraId="06D6C25B" w14:textId="56005C20" w:rsidR="000C292F" w:rsidRPr="00AC713D" w:rsidRDefault="006A7C67" w:rsidP="006A7C67">
            <w:pPr>
              <w:ind w:right="-147"/>
              <w:jc w:val="left"/>
              <w:rPr>
                <w:rFonts w:cs="Arial"/>
                <w:sz w:val="18"/>
                <w:szCs w:val="18"/>
              </w:rPr>
            </w:pPr>
            <w:r w:rsidRPr="00AC713D">
              <w:rPr>
                <w:rFonts w:cs="Arial"/>
                <w:sz w:val="18"/>
                <w:szCs w:val="18"/>
              </w:rPr>
              <w:t>PF</w:t>
            </w:r>
            <w:r w:rsidR="000C292F" w:rsidRPr="00AC713D">
              <w:rPr>
                <w:rFonts w:cs="Arial"/>
                <w:sz w:val="18"/>
                <w:szCs w:val="18"/>
              </w:rPr>
              <w:t>N</w:t>
            </w:r>
            <w:r w:rsidR="00846BC1" w:rsidRPr="00AC713D">
              <w:rPr>
                <w:rFonts w:cs="Arial"/>
                <w:sz w:val="18"/>
                <w:szCs w:val="18"/>
              </w:rPr>
              <w:t>onwovens</w:t>
            </w:r>
            <w:r w:rsidR="000C292F" w:rsidRPr="00AC713D">
              <w:rPr>
                <w:rFonts w:cs="Arial"/>
                <w:sz w:val="18"/>
                <w:szCs w:val="18"/>
              </w:rPr>
              <w:t xml:space="preserve"> RSA (PTY) LTD ***</w:t>
            </w:r>
          </w:p>
        </w:tc>
        <w:tc>
          <w:tcPr>
            <w:tcW w:w="819" w:type="pct"/>
          </w:tcPr>
          <w:p w14:paraId="77EACCB6" w14:textId="77777777" w:rsidR="000C292F" w:rsidRPr="00AC713D" w:rsidRDefault="000C292F" w:rsidP="00E431E6">
            <w:pPr>
              <w:jc w:val="right"/>
              <w:rPr>
                <w:rFonts w:cs="Arial"/>
                <w:sz w:val="18"/>
                <w:szCs w:val="18"/>
              </w:rPr>
            </w:pPr>
            <w:r w:rsidRPr="00AC713D">
              <w:rPr>
                <w:rFonts w:cs="Arial"/>
                <w:sz w:val="18"/>
                <w:szCs w:val="18"/>
              </w:rPr>
              <w:t>11. 7. 2016</w:t>
            </w:r>
          </w:p>
        </w:tc>
        <w:tc>
          <w:tcPr>
            <w:tcW w:w="803" w:type="pct"/>
          </w:tcPr>
          <w:p w14:paraId="05BC500A" w14:textId="77777777" w:rsidR="000C292F" w:rsidRPr="00AC713D" w:rsidRDefault="000C292F" w:rsidP="00E431E6">
            <w:pPr>
              <w:jc w:val="center"/>
              <w:rPr>
                <w:rFonts w:cs="Arial"/>
                <w:sz w:val="18"/>
                <w:szCs w:val="18"/>
              </w:rPr>
            </w:pPr>
            <w:r w:rsidRPr="00AC713D">
              <w:rPr>
                <w:rFonts w:cs="Arial"/>
                <w:sz w:val="18"/>
                <w:szCs w:val="18"/>
              </w:rPr>
              <w:t>100 %</w:t>
            </w:r>
          </w:p>
        </w:tc>
        <w:tc>
          <w:tcPr>
            <w:tcW w:w="588" w:type="pct"/>
          </w:tcPr>
          <w:p w14:paraId="24575518" w14:textId="44D0A100" w:rsidR="000C292F" w:rsidRPr="00AC713D" w:rsidRDefault="00F521E5" w:rsidP="00E431E6">
            <w:pPr>
              <w:jc w:val="right"/>
              <w:rPr>
                <w:rFonts w:cs="Arial"/>
                <w:sz w:val="18"/>
                <w:szCs w:val="18"/>
              </w:rPr>
            </w:pPr>
            <w:r w:rsidRPr="00AC713D">
              <w:rPr>
                <w:rFonts w:cs="Arial"/>
                <w:sz w:val="18"/>
                <w:szCs w:val="18"/>
              </w:rPr>
              <w:t>75</w:t>
            </w:r>
            <w:r w:rsidR="000C292F" w:rsidRPr="00AC713D">
              <w:rPr>
                <w:rFonts w:cs="Arial"/>
                <w:sz w:val="18"/>
                <w:szCs w:val="18"/>
              </w:rPr>
              <w:t xml:space="preserve"> 000 tis. ZAR</w:t>
            </w:r>
          </w:p>
        </w:tc>
        <w:tc>
          <w:tcPr>
            <w:tcW w:w="551" w:type="pct"/>
          </w:tcPr>
          <w:p w14:paraId="45683BCE" w14:textId="66DB2C5C" w:rsidR="000C292F" w:rsidRPr="00AC713D" w:rsidRDefault="00846BC1" w:rsidP="000546B5">
            <w:pPr>
              <w:ind w:right="-120"/>
              <w:jc w:val="right"/>
              <w:rPr>
                <w:rFonts w:cs="Arial"/>
                <w:sz w:val="18"/>
                <w:szCs w:val="18"/>
              </w:rPr>
            </w:pPr>
            <w:r w:rsidRPr="00AC713D">
              <w:rPr>
                <w:rFonts w:cs="Arial"/>
                <w:sz w:val="18"/>
                <w:szCs w:val="18"/>
              </w:rPr>
              <w:t>103 125</w:t>
            </w:r>
            <w:r w:rsidR="00F0747D" w:rsidRPr="00AC713D">
              <w:rPr>
                <w:rFonts w:cs="Arial"/>
                <w:sz w:val="18"/>
                <w:szCs w:val="18"/>
              </w:rPr>
              <w:t xml:space="preserve"> tis. Kč</w:t>
            </w:r>
          </w:p>
        </w:tc>
        <w:tc>
          <w:tcPr>
            <w:tcW w:w="1233" w:type="pct"/>
          </w:tcPr>
          <w:p w14:paraId="4ACB2F9E" w14:textId="4F357C5F" w:rsidR="000C292F" w:rsidRPr="00AC713D" w:rsidRDefault="000C292F" w:rsidP="00AA7280">
            <w:pPr>
              <w:ind w:left="105"/>
              <w:jc w:val="right"/>
              <w:rPr>
                <w:rFonts w:cs="Arial"/>
                <w:sz w:val="18"/>
                <w:szCs w:val="18"/>
              </w:rPr>
            </w:pPr>
            <w:r w:rsidRPr="00AC713D">
              <w:rPr>
                <w:rFonts w:cs="Arial"/>
                <w:sz w:val="18"/>
                <w:szCs w:val="18"/>
              </w:rPr>
              <w:t xml:space="preserve">100% podíl v hodnotě </w:t>
            </w:r>
            <w:r w:rsidR="00F521E5" w:rsidRPr="00AC713D">
              <w:rPr>
                <w:rFonts w:cs="Arial"/>
                <w:sz w:val="18"/>
                <w:szCs w:val="18"/>
              </w:rPr>
              <w:t>75</w:t>
            </w:r>
            <w:r w:rsidRPr="00AC713D">
              <w:rPr>
                <w:rFonts w:cs="Arial"/>
                <w:sz w:val="18"/>
                <w:szCs w:val="18"/>
              </w:rPr>
              <w:t> 000 tis. ZAR</w:t>
            </w:r>
          </w:p>
        </w:tc>
      </w:tr>
    </w:tbl>
    <w:p w14:paraId="2FDC451E" w14:textId="250CD479" w:rsidR="000C292F" w:rsidRPr="00AC713D" w:rsidRDefault="000C292F" w:rsidP="000C292F">
      <w:pPr>
        <w:rPr>
          <w:rFonts w:cs="Arial"/>
          <w:sz w:val="20"/>
          <w:szCs w:val="20"/>
        </w:rPr>
      </w:pPr>
      <w:r w:rsidRPr="00AC713D">
        <w:rPr>
          <w:rFonts w:cs="Arial"/>
          <w:sz w:val="20"/>
          <w:szCs w:val="20"/>
        </w:rPr>
        <w:t>*</w:t>
      </w:r>
      <w:r w:rsidRPr="00AC713D">
        <w:rPr>
          <w:rFonts w:cs="Arial"/>
          <w:sz w:val="20"/>
          <w:szCs w:val="20"/>
          <w:vertAlign w:val="superscript"/>
        </w:rPr>
        <w:t xml:space="preserve"> </w:t>
      </w:r>
      <w:r w:rsidRPr="00AC713D">
        <w:rPr>
          <w:rFonts w:cs="Arial"/>
          <w:sz w:val="20"/>
          <w:szCs w:val="20"/>
        </w:rPr>
        <w:t xml:space="preserve">Společnost </w:t>
      </w:r>
      <w:r w:rsidR="006A7C67" w:rsidRPr="00AC713D">
        <w:rPr>
          <w:rFonts w:cs="Arial"/>
          <w:sz w:val="20"/>
          <w:szCs w:val="20"/>
        </w:rPr>
        <w:t>PFNonwovens</w:t>
      </w:r>
      <w:r w:rsidRPr="00AC713D">
        <w:rPr>
          <w:rFonts w:cs="Arial"/>
          <w:sz w:val="20"/>
          <w:szCs w:val="20"/>
        </w:rPr>
        <w:t xml:space="preserve"> Czech s.r.o. vznikla 14. listopadu 2003 (původním jménem ELK INVESTMENTS s.r.o.). V průběhu roku 2006 byl změněn název obchodní firmy na PEGAS NONWOVENS s.r.o. Ke konci roku 2017 došlo ke změně obchodní firmy na PEGAS NONWOVENS Czech s.r.o.</w:t>
      </w:r>
      <w:r w:rsidR="006A7C67" w:rsidRPr="00AC713D">
        <w:rPr>
          <w:rFonts w:cs="Arial"/>
          <w:sz w:val="20"/>
          <w:szCs w:val="20"/>
        </w:rPr>
        <w:t>, a následně v září 2018 na PFNonwovens Czech s.r.o.</w:t>
      </w:r>
      <w:r w:rsidRPr="00AC713D">
        <w:rPr>
          <w:rFonts w:cs="Arial"/>
          <w:sz w:val="20"/>
          <w:szCs w:val="20"/>
        </w:rPr>
        <w:t xml:space="preserve"> PEGAS a.s., dceřiná společnost společnosti </w:t>
      </w:r>
      <w:r w:rsidR="006A7C67" w:rsidRPr="00AC713D">
        <w:rPr>
          <w:rFonts w:cs="Arial"/>
          <w:sz w:val="20"/>
          <w:szCs w:val="20"/>
        </w:rPr>
        <w:t>PFNonwovens Czech</w:t>
      </w:r>
      <w:r w:rsidRPr="00AC713D">
        <w:rPr>
          <w:rFonts w:cs="Arial"/>
          <w:sz w:val="20"/>
          <w:szCs w:val="20"/>
        </w:rPr>
        <w:t xml:space="preserve"> s.r.o., vznikla v roce 1990. Tato společnost byla sloučena do společnosti </w:t>
      </w:r>
      <w:r w:rsidR="006A7C67" w:rsidRPr="00AC713D">
        <w:rPr>
          <w:rFonts w:cs="Arial"/>
          <w:sz w:val="20"/>
          <w:szCs w:val="20"/>
        </w:rPr>
        <w:t>PFNonwovens Czech</w:t>
      </w:r>
      <w:r w:rsidRPr="00AC713D">
        <w:rPr>
          <w:rFonts w:cs="Arial"/>
          <w:sz w:val="20"/>
          <w:szCs w:val="20"/>
        </w:rPr>
        <w:t xml:space="preserve"> s.r.o. s rozhodným dnem fúze 1. ledna 2006. Společnost PEGAS a.s. byla vymazána z obchodního rejstříku dne 12. května 2006. Společnost CEE Enterprise a.s. byla sloučena do společnosti PEGAS NONWOVENS s.r.o. s rozhodným dnem 1. ledna 2007. Společnost CEE Enterprise a.s. byla vymazána z obchodního rejstříku dne 20. srpna 2007. Bývalá dceřiná společnost PEGAS – DS a.s. zanikla v důsledku fúze sloučením se společností </w:t>
      </w:r>
      <w:r w:rsidR="006A7C67" w:rsidRPr="00AC713D">
        <w:rPr>
          <w:rFonts w:cs="Arial"/>
          <w:sz w:val="20"/>
          <w:szCs w:val="20"/>
        </w:rPr>
        <w:t>PFNonwovens Czech</w:t>
      </w:r>
      <w:r w:rsidRPr="00AC713D">
        <w:rPr>
          <w:rFonts w:cs="Arial"/>
          <w:sz w:val="20"/>
          <w:szCs w:val="20"/>
        </w:rPr>
        <w:t xml:space="preserve"> s.r.o., jakožto společností nástupnickou (od 1. ledna 2011). Společnost PEGAS-NT a.s., bývalá dceřiná společnost, zanikla v důsledku fúze se společností </w:t>
      </w:r>
      <w:r w:rsidR="006A7C67" w:rsidRPr="00AC713D">
        <w:rPr>
          <w:rFonts w:cs="Arial"/>
          <w:sz w:val="20"/>
          <w:szCs w:val="20"/>
        </w:rPr>
        <w:t>PFNonwovens</w:t>
      </w:r>
      <w:r w:rsidRPr="00AC713D">
        <w:rPr>
          <w:rFonts w:cs="Arial"/>
          <w:sz w:val="20"/>
          <w:szCs w:val="20"/>
        </w:rPr>
        <w:t xml:space="preserve"> Czech s.r.o. jakožto společností nástupnickou (od 1. ledna 2017).</w:t>
      </w:r>
      <w:r w:rsidR="00846BC1" w:rsidRPr="00AC713D">
        <w:rPr>
          <w:rFonts w:cs="Arial"/>
          <w:sz w:val="20"/>
          <w:szCs w:val="20"/>
        </w:rPr>
        <w:t xml:space="preserve"> Společnost PFNonwovens International s.r.o., která byla založena jako účelová firma zřízená k realizaci potencionálních budoucích investic, bývala sesterská společnost, zanikla v důsledku fúze se spole</w:t>
      </w:r>
      <w:r w:rsidR="00AA7280">
        <w:rPr>
          <w:rFonts w:cs="Arial"/>
          <w:sz w:val="20"/>
          <w:szCs w:val="20"/>
        </w:rPr>
        <w:t>čností PFNonwovens Czech s.r.o.,</w:t>
      </w:r>
      <w:r w:rsidR="00846BC1" w:rsidRPr="00AC713D">
        <w:rPr>
          <w:rFonts w:cs="Arial"/>
          <w:sz w:val="20"/>
          <w:szCs w:val="20"/>
        </w:rPr>
        <w:t xml:space="preserve"> jakožto společností nástupnickou (od 30. června 2020).</w:t>
      </w:r>
    </w:p>
    <w:p w14:paraId="2FE25AEC" w14:textId="160023CD" w:rsidR="000C292F" w:rsidRPr="00AC713D" w:rsidRDefault="000C292F" w:rsidP="000C292F">
      <w:pPr>
        <w:rPr>
          <w:rFonts w:cs="Arial"/>
          <w:sz w:val="20"/>
          <w:szCs w:val="20"/>
        </w:rPr>
      </w:pPr>
      <w:bookmarkStart w:id="46" w:name="_Toc165188453"/>
      <w:r w:rsidRPr="00AC713D">
        <w:rPr>
          <w:rFonts w:cs="Arial"/>
          <w:sz w:val="20"/>
          <w:szCs w:val="20"/>
        </w:rPr>
        <w:t xml:space="preserve">** Společnost </w:t>
      </w:r>
      <w:r w:rsidR="00846BC1" w:rsidRPr="00AC713D">
        <w:rPr>
          <w:rFonts w:cs="Arial"/>
          <w:sz w:val="20"/>
          <w:szCs w:val="20"/>
        </w:rPr>
        <w:t>PFNonwovens Egypt</w:t>
      </w:r>
      <w:r w:rsidRPr="00AC713D">
        <w:rPr>
          <w:rFonts w:cs="Arial"/>
          <w:sz w:val="20"/>
          <w:szCs w:val="20"/>
        </w:rPr>
        <w:t xml:space="preserve"> LLC byla založena jako účelová firma zřízena k realizaci investice do výstavby a provozování nové výrobní linky v Egyptě. </w:t>
      </w:r>
    </w:p>
    <w:p w14:paraId="19C6DA24" w14:textId="17628871" w:rsidR="000C292F" w:rsidRPr="00AC713D" w:rsidRDefault="000C292F" w:rsidP="000C292F">
      <w:pPr>
        <w:rPr>
          <w:rFonts w:cs="Arial"/>
          <w:sz w:val="20"/>
          <w:szCs w:val="20"/>
        </w:rPr>
      </w:pPr>
      <w:r w:rsidRPr="00AC713D">
        <w:rPr>
          <w:rFonts w:cs="Arial"/>
          <w:sz w:val="20"/>
          <w:szCs w:val="20"/>
        </w:rPr>
        <w:t xml:space="preserve">**** Společnost </w:t>
      </w:r>
      <w:r w:rsidR="006A7C67" w:rsidRPr="00AC713D">
        <w:rPr>
          <w:rFonts w:cs="Arial"/>
          <w:sz w:val="20"/>
          <w:szCs w:val="20"/>
        </w:rPr>
        <w:t>PF</w:t>
      </w:r>
      <w:r w:rsidRPr="00AC713D">
        <w:rPr>
          <w:rFonts w:cs="Arial"/>
          <w:sz w:val="20"/>
          <w:szCs w:val="20"/>
        </w:rPr>
        <w:t>N</w:t>
      </w:r>
      <w:r w:rsidR="00846BC1" w:rsidRPr="00AC713D">
        <w:rPr>
          <w:rFonts w:cs="Arial"/>
          <w:sz w:val="20"/>
          <w:szCs w:val="20"/>
        </w:rPr>
        <w:t>onwovens</w:t>
      </w:r>
      <w:r w:rsidRPr="00AC713D">
        <w:rPr>
          <w:rFonts w:cs="Arial"/>
          <w:sz w:val="20"/>
          <w:szCs w:val="20"/>
        </w:rPr>
        <w:t xml:space="preserve"> RSA (PTY) LTD byla založena jako účelová firma zřízena k realizaci investičního projektu v Jihoafrické republice.</w:t>
      </w:r>
    </w:p>
    <w:p w14:paraId="7CAB58B6" w14:textId="77777777" w:rsidR="000C292F" w:rsidRPr="00AC713D" w:rsidRDefault="000C292F" w:rsidP="000C292F">
      <w:pPr>
        <w:rPr>
          <w:rFonts w:cs="Arial"/>
        </w:rPr>
      </w:pPr>
    </w:p>
    <w:p w14:paraId="3F88C655" w14:textId="77777777" w:rsidR="009566C6" w:rsidRPr="00AC713D" w:rsidRDefault="009566C6" w:rsidP="000C292F">
      <w:pPr>
        <w:pStyle w:val="Nadpis1"/>
        <w:jc w:val="left"/>
        <w:rPr>
          <w:rFonts w:cs="Arial"/>
        </w:rPr>
        <w:sectPr w:rsidR="009566C6" w:rsidRPr="00AC713D" w:rsidSect="00E431E6">
          <w:type w:val="continuous"/>
          <w:pgSz w:w="11906" w:h="16838"/>
          <w:pgMar w:top="1417" w:right="1417" w:bottom="1417" w:left="1417" w:header="708" w:footer="708" w:gutter="0"/>
          <w:cols w:space="708"/>
          <w:docGrid w:linePitch="360"/>
        </w:sectPr>
      </w:pPr>
      <w:bookmarkStart w:id="47" w:name="_Toc269295558"/>
      <w:bookmarkStart w:id="48" w:name="_Toc269907497"/>
      <w:bookmarkEnd w:id="46"/>
    </w:p>
    <w:p w14:paraId="2228B692" w14:textId="2B7EEE4D" w:rsidR="000C292F" w:rsidRPr="00AC713D" w:rsidRDefault="000C292F" w:rsidP="000C292F">
      <w:pPr>
        <w:pStyle w:val="Nadpis1"/>
        <w:jc w:val="left"/>
        <w:rPr>
          <w:rFonts w:cs="Arial"/>
        </w:rPr>
      </w:pPr>
      <w:bookmarkStart w:id="49" w:name="_Toc47644468"/>
      <w:r w:rsidRPr="00AC713D">
        <w:rPr>
          <w:rFonts w:cs="Arial"/>
        </w:rPr>
        <w:lastRenderedPageBreak/>
        <w:t>Mezitímní neauditovaná konsolidovaná účetní závěrka</w:t>
      </w:r>
      <w:bookmarkEnd w:id="49"/>
      <w:r w:rsidRPr="00AC713D">
        <w:rPr>
          <w:rFonts w:cs="Arial"/>
        </w:rPr>
        <w:t xml:space="preserve"> </w:t>
      </w:r>
    </w:p>
    <w:p w14:paraId="0EF0B969" w14:textId="33020532" w:rsidR="000C292F" w:rsidRPr="00AC713D" w:rsidRDefault="000C292F" w:rsidP="000C292F">
      <w:pPr>
        <w:rPr>
          <w:rFonts w:cs="Arial"/>
        </w:rPr>
      </w:pPr>
      <w:r w:rsidRPr="00AC713D">
        <w:rPr>
          <w:rFonts w:cs="Arial"/>
        </w:rPr>
        <w:t xml:space="preserve">připravená v souladu s Mezinárodními standardy účetního výkaznictví za období šesti měsíců končících 30. červnem </w:t>
      </w:r>
      <w:bookmarkEnd w:id="47"/>
      <w:bookmarkEnd w:id="48"/>
      <w:r w:rsidR="00846BC1" w:rsidRPr="00AC713D">
        <w:rPr>
          <w:rFonts w:cs="Arial"/>
        </w:rPr>
        <w:t>2020</w:t>
      </w:r>
    </w:p>
    <w:p w14:paraId="4405B7BA" w14:textId="77777777" w:rsidR="000C292F" w:rsidRPr="00AC713D" w:rsidRDefault="000C292F" w:rsidP="000C292F">
      <w:pPr>
        <w:spacing w:before="0" w:beforeAutospacing="0" w:after="0" w:afterAutospacing="0"/>
        <w:jc w:val="left"/>
        <w:rPr>
          <w:rFonts w:cs="Arial"/>
          <w:b/>
          <w:bCs/>
          <w:kern w:val="32"/>
          <w:sz w:val="28"/>
          <w:szCs w:val="28"/>
        </w:rPr>
      </w:pPr>
      <w:bookmarkStart w:id="50" w:name="_Toc269139308"/>
      <w:bookmarkStart w:id="51" w:name="_Toc269139309"/>
      <w:bookmarkStart w:id="52" w:name="_Toc269139310"/>
      <w:bookmarkStart w:id="53" w:name="_Toc269139311"/>
      <w:bookmarkStart w:id="54" w:name="_Toc175226104"/>
      <w:bookmarkStart w:id="55" w:name="_Toc165188455"/>
      <w:bookmarkStart w:id="56" w:name="_Toc269295559"/>
      <w:bookmarkStart w:id="57" w:name="_Toc269907498"/>
      <w:bookmarkEnd w:id="50"/>
      <w:bookmarkEnd w:id="51"/>
      <w:bookmarkEnd w:id="52"/>
      <w:bookmarkEnd w:id="53"/>
      <w:r w:rsidRPr="00AC713D">
        <w:rPr>
          <w:rFonts w:cs="Arial"/>
        </w:rPr>
        <w:br w:type="page"/>
      </w:r>
    </w:p>
    <w:p w14:paraId="2A663875" w14:textId="5C135447" w:rsidR="000C292F" w:rsidRPr="00AC713D" w:rsidRDefault="000C292F" w:rsidP="000C292F">
      <w:pPr>
        <w:pStyle w:val="Nadpis2"/>
        <w:rPr>
          <w:rFonts w:cs="Arial"/>
        </w:rPr>
      </w:pPr>
      <w:bookmarkStart w:id="58" w:name="_Toc47644469"/>
      <w:bookmarkEnd w:id="54"/>
      <w:bookmarkEnd w:id="55"/>
      <w:r w:rsidRPr="00AC713D">
        <w:rPr>
          <w:rFonts w:cs="Arial"/>
        </w:rPr>
        <w:lastRenderedPageBreak/>
        <w:t>Konsolidovaný výkaz o úplném výsledku ve zkrácené podobě</w:t>
      </w:r>
      <w:bookmarkEnd w:id="56"/>
      <w:bookmarkEnd w:id="57"/>
      <w:r w:rsidRPr="00AC713D">
        <w:rPr>
          <w:rFonts w:cs="Arial"/>
        </w:rPr>
        <w:t xml:space="preserve"> za</w:t>
      </w:r>
      <w:r w:rsidR="00603330">
        <w:rPr>
          <w:rFonts w:cs="Arial"/>
        </w:rPr>
        <w:t> </w:t>
      </w:r>
      <w:r w:rsidRPr="00AC713D">
        <w:rPr>
          <w:rFonts w:cs="Arial"/>
        </w:rPr>
        <w:t>období šesti měsíců</w:t>
      </w:r>
      <w:bookmarkEnd w:id="58"/>
    </w:p>
    <w:p w14:paraId="2E90AAD6" w14:textId="42DEE9F3" w:rsidR="000C292F" w:rsidRPr="00AC713D" w:rsidRDefault="000C292F" w:rsidP="000C292F">
      <w:pPr>
        <w:rPr>
          <w:rFonts w:cs="Arial"/>
        </w:rPr>
      </w:pPr>
    </w:p>
    <w:tbl>
      <w:tblPr>
        <w:tblW w:w="5000" w:type="pct"/>
        <w:tblCellMar>
          <w:left w:w="70" w:type="dxa"/>
          <w:right w:w="70" w:type="dxa"/>
        </w:tblCellMar>
        <w:tblLook w:val="04A0" w:firstRow="1" w:lastRow="0" w:firstColumn="1" w:lastColumn="0" w:noHBand="0" w:noVBand="1"/>
      </w:tblPr>
      <w:tblGrid>
        <w:gridCol w:w="4954"/>
        <w:gridCol w:w="1475"/>
        <w:gridCol w:w="1475"/>
        <w:gridCol w:w="1168"/>
      </w:tblGrid>
      <w:tr w:rsidR="003810B6" w:rsidRPr="00AC713D" w14:paraId="106A2C40" w14:textId="77777777" w:rsidTr="002C4FFF">
        <w:trPr>
          <w:trHeight w:val="255"/>
        </w:trPr>
        <w:tc>
          <w:tcPr>
            <w:tcW w:w="2689" w:type="pct"/>
            <w:tcBorders>
              <w:top w:val="nil"/>
              <w:left w:val="nil"/>
              <w:bottom w:val="nil"/>
              <w:right w:val="nil"/>
            </w:tcBorders>
            <w:shd w:val="clear" w:color="000000" w:fill="2A7FC6"/>
            <w:noWrap/>
            <w:vAlign w:val="bottom"/>
            <w:hideMark/>
          </w:tcPr>
          <w:p w14:paraId="6A01FBF6" w14:textId="77777777" w:rsidR="003810B6" w:rsidRPr="00AC713D" w:rsidRDefault="003810B6" w:rsidP="003810B6">
            <w:pPr>
              <w:spacing w:before="0" w:beforeAutospacing="0" w:after="0" w:afterAutospacing="0"/>
              <w:jc w:val="left"/>
              <w:rPr>
                <w:rFonts w:cs="Arial"/>
                <w:color w:val="FFFFFF"/>
                <w:sz w:val="20"/>
                <w:szCs w:val="20"/>
              </w:rPr>
            </w:pPr>
            <w:r w:rsidRPr="00AC713D">
              <w:rPr>
                <w:rFonts w:cs="Arial"/>
                <w:color w:val="FFFFFF"/>
                <w:sz w:val="20"/>
                <w:szCs w:val="20"/>
              </w:rPr>
              <w:t> </w:t>
            </w:r>
          </w:p>
        </w:tc>
        <w:tc>
          <w:tcPr>
            <w:tcW w:w="1602" w:type="pct"/>
            <w:gridSpan w:val="2"/>
            <w:tcBorders>
              <w:top w:val="nil"/>
              <w:left w:val="nil"/>
              <w:bottom w:val="nil"/>
              <w:right w:val="nil"/>
            </w:tcBorders>
            <w:shd w:val="clear" w:color="000000" w:fill="2A7FC6"/>
            <w:noWrap/>
            <w:vAlign w:val="bottom"/>
            <w:hideMark/>
          </w:tcPr>
          <w:p w14:paraId="692BFCFB" w14:textId="77777777" w:rsidR="003810B6" w:rsidRPr="00AC713D" w:rsidRDefault="003810B6" w:rsidP="003810B6">
            <w:pPr>
              <w:spacing w:before="0" w:beforeAutospacing="0" w:after="0" w:afterAutospacing="0"/>
              <w:jc w:val="center"/>
              <w:rPr>
                <w:rFonts w:cs="Arial"/>
                <w:b/>
                <w:bCs/>
                <w:color w:val="FFFFFF"/>
                <w:sz w:val="20"/>
                <w:szCs w:val="20"/>
              </w:rPr>
            </w:pPr>
            <w:r w:rsidRPr="00AC713D">
              <w:rPr>
                <w:rFonts w:cs="Arial"/>
                <w:b/>
                <w:bCs/>
                <w:color w:val="FFFFFF"/>
                <w:sz w:val="20"/>
                <w:szCs w:val="20"/>
              </w:rPr>
              <w:t>Období šesti měsíců do</w:t>
            </w:r>
          </w:p>
        </w:tc>
        <w:tc>
          <w:tcPr>
            <w:tcW w:w="709" w:type="pct"/>
            <w:tcBorders>
              <w:top w:val="nil"/>
              <w:left w:val="nil"/>
              <w:bottom w:val="nil"/>
              <w:right w:val="nil"/>
            </w:tcBorders>
            <w:shd w:val="clear" w:color="000000" w:fill="2A7FC6"/>
            <w:noWrap/>
            <w:vAlign w:val="bottom"/>
            <w:hideMark/>
          </w:tcPr>
          <w:p w14:paraId="5795299C" w14:textId="77777777" w:rsidR="003810B6" w:rsidRPr="00AC713D" w:rsidRDefault="003810B6" w:rsidP="003810B6">
            <w:pPr>
              <w:spacing w:before="0" w:beforeAutospacing="0" w:after="0" w:afterAutospacing="0"/>
              <w:jc w:val="center"/>
              <w:rPr>
                <w:rFonts w:cs="Arial"/>
                <w:b/>
                <w:bCs/>
                <w:color w:val="FFFFFF"/>
                <w:sz w:val="20"/>
                <w:szCs w:val="20"/>
              </w:rPr>
            </w:pPr>
            <w:r w:rsidRPr="00AC713D">
              <w:rPr>
                <w:rFonts w:cs="Arial"/>
                <w:b/>
                <w:bCs/>
                <w:color w:val="FFFFFF"/>
                <w:sz w:val="20"/>
                <w:szCs w:val="20"/>
              </w:rPr>
              <w:t> </w:t>
            </w:r>
          </w:p>
        </w:tc>
      </w:tr>
      <w:tr w:rsidR="003810B6" w:rsidRPr="00AC713D" w14:paraId="40B1C361" w14:textId="77777777" w:rsidTr="002C4FFF">
        <w:trPr>
          <w:trHeight w:val="510"/>
        </w:trPr>
        <w:tc>
          <w:tcPr>
            <w:tcW w:w="2689" w:type="pct"/>
            <w:tcBorders>
              <w:top w:val="nil"/>
              <w:left w:val="nil"/>
              <w:bottom w:val="nil"/>
              <w:right w:val="nil"/>
            </w:tcBorders>
            <w:shd w:val="clear" w:color="000000" w:fill="2A7FC6"/>
            <w:noWrap/>
            <w:vAlign w:val="bottom"/>
            <w:hideMark/>
          </w:tcPr>
          <w:p w14:paraId="54306046" w14:textId="77777777" w:rsidR="003810B6" w:rsidRPr="00AC713D" w:rsidRDefault="003810B6" w:rsidP="003810B6">
            <w:pPr>
              <w:spacing w:before="0" w:beforeAutospacing="0" w:after="0" w:afterAutospacing="0"/>
              <w:jc w:val="left"/>
              <w:rPr>
                <w:rFonts w:cs="Arial"/>
                <w:b/>
                <w:bCs/>
                <w:color w:val="FFFFFF"/>
                <w:sz w:val="20"/>
                <w:szCs w:val="20"/>
              </w:rPr>
            </w:pPr>
            <w:r w:rsidRPr="00AC713D">
              <w:rPr>
                <w:rFonts w:cs="Arial"/>
                <w:b/>
                <w:bCs/>
                <w:color w:val="FFFFFF"/>
                <w:sz w:val="20"/>
                <w:szCs w:val="20"/>
              </w:rPr>
              <w:t>v tis. Kč</w:t>
            </w:r>
          </w:p>
        </w:tc>
        <w:tc>
          <w:tcPr>
            <w:tcW w:w="801" w:type="pct"/>
            <w:tcBorders>
              <w:top w:val="nil"/>
              <w:left w:val="nil"/>
              <w:bottom w:val="nil"/>
              <w:right w:val="nil"/>
            </w:tcBorders>
            <w:shd w:val="clear" w:color="000000" w:fill="2A7FC6"/>
            <w:vAlign w:val="bottom"/>
            <w:hideMark/>
          </w:tcPr>
          <w:p w14:paraId="5EEA5324" w14:textId="5E585289" w:rsidR="003810B6" w:rsidRPr="00AC713D" w:rsidRDefault="00846BC1" w:rsidP="003810B6">
            <w:pPr>
              <w:spacing w:before="0" w:beforeAutospacing="0" w:after="0" w:afterAutospacing="0"/>
              <w:jc w:val="center"/>
              <w:rPr>
                <w:rFonts w:cs="Arial"/>
                <w:b/>
                <w:bCs/>
                <w:color w:val="FFFFFF"/>
                <w:sz w:val="20"/>
                <w:szCs w:val="20"/>
              </w:rPr>
            </w:pPr>
            <w:r w:rsidRPr="00AC713D">
              <w:rPr>
                <w:rFonts w:cs="Arial"/>
                <w:b/>
                <w:bCs/>
                <w:color w:val="FFFFFF"/>
                <w:sz w:val="20"/>
                <w:szCs w:val="20"/>
              </w:rPr>
              <w:t>30. června</w:t>
            </w:r>
            <w:r w:rsidRPr="00AC713D">
              <w:rPr>
                <w:rFonts w:cs="Arial"/>
                <w:b/>
                <w:bCs/>
                <w:color w:val="FFFFFF"/>
                <w:sz w:val="20"/>
                <w:szCs w:val="20"/>
              </w:rPr>
              <w:br/>
              <w:t>2019</w:t>
            </w:r>
          </w:p>
        </w:tc>
        <w:tc>
          <w:tcPr>
            <w:tcW w:w="801" w:type="pct"/>
            <w:tcBorders>
              <w:top w:val="nil"/>
              <w:left w:val="nil"/>
              <w:bottom w:val="nil"/>
              <w:right w:val="nil"/>
            </w:tcBorders>
            <w:shd w:val="clear" w:color="000000" w:fill="2A7FC6"/>
            <w:vAlign w:val="bottom"/>
            <w:hideMark/>
          </w:tcPr>
          <w:p w14:paraId="5E8473A1" w14:textId="3B3DEC37" w:rsidR="003810B6" w:rsidRPr="00AC713D" w:rsidRDefault="00846BC1" w:rsidP="003810B6">
            <w:pPr>
              <w:spacing w:before="0" w:beforeAutospacing="0" w:after="0" w:afterAutospacing="0"/>
              <w:jc w:val="center"/>
              <w:rPr>
                <w:rFonts w:cs="Arial"/>
                <w:b/>
                <w:bCs/>
                <w:color w:val="FFFFFF"/>
                <w:sz w:val="20"/>
                <w:szCs w:val="20"/>
              </w:rPr>
            </w:pPr>
            <w:r w:rsidRPr="00AC713D">
              <w:rPr>
                <w:rFonts w:cs="Arial"/>
                <w:b/>
                <w:bCs/>
                <w:color w:val="FFFFFF"/>
                <w:sz w:val="20"/>
                <w:szCs w:val="20"/>
              </w:rPr>
              <w:t>30. června</w:t>
            </w:r>
            <w:r w:rsidRPr="00AC713D">
              <w:rPr>
                <w:rFonts w:cs="Arial"/>
                <w:b/>
                <w:bCs/>
                <w:color w:val="FFFFFF"/>
                <w:sz w:val="20"/>
                <w:szCs w:val="20"/>
              </w:rPr>
              <w:br/>
              <w:t>2020</w:t>
            </w:r>
          </w:p>
        </w:tc>
        <w:tc>
          <w:tcPr>
            <w:tcW w:w="709" w:type="pct"/>
            <w:tcBorders>
              <w:top w:val="nil"/>
              <w:left w:val="nil"/>
              <w:bottom w:val="nil"/>
              <w:right w:val="nil"/>
            </w:tcBorders>
            <w:shd w:val="clear" w:color="000000" w:fill="2A7FC6"/>
            <w:noWrap/>
            <w:vAlign w:val="bottom"/>
            <w:hideMark/>
          </w:tcPr>
          <w:p w14:paraId="1A54C261" w14:textId="77777777" w:rsidR="003810B6" w:rsidRPr="00AC713D" w:rsidRDefault="003810B6" w:rsidP="003810B6">
            <w:pPr>
              <w:spacing w:before="0" w:beforeAutospacing="0" w:after="0" w:afterAutospacing="0"/>
              <w:jc w:val="left"/>
              <w:rPr>
                <w:rFonts w:cs="Arial"/>
                <w:color w:val="FFFFFF"/>
                <w:sz w:val="20"/>
                <w:szCs w:val="20"/>
              </w:rPr>
            </w:pPr>
            <w:r w:rsidRPr="00AC713D">
              <w:rPr>
                <w:rFonts w:cs="Arial"/>
                <w:color w:val="FFFFFF"/>
                <w:sz w:val="20"/>
                <w:szCs w:val="20"/>
              </w:rPr>
              <w:t> </w:t>
            </w:r>
          </w:p>
        </w:tc>
      </w:tr>
      <w:tr w:rsidR="003810B6" w:rsidRPr="00AC713D" w14:paraId="13817F65" w14:textId="77777777" w:rsidTr="002C4FFF">
        <w:trPr>
          <w:trHeight w:val="255"/>
        </w:trPr>
        <w:tc>
          <w:tcPr>
            <w:tcW w:w="2689" w:type="pct"/>
            <w:tcBorders>
              <w:top w:val="nil"/>
              <w:left w:val="nil"/>
              <w:bottom w:val="nil"/>
              <w:right w:val="nil"/>
            </w:tcBorders>
            <w:shd w:val="clear" w:color="000000" w:fill="2A7FC6"/>
            <w:noWrap/>
            <w:vAlign w:val="bottom"/>
            <w:hideMark/>
          </w:tcPr>
          <w:p w14:paraId="7EA1264B" w14:textId="77777777" w:rsidR="003810B6" w:rsidRPr="00AC713D" w:rsidRDefault="003810B6" w:rsidP="003810B6">
            <w:pPr>
              <w:spacing w:before="0" w:beforeAutospacing="0" w:after="0" w:afterAutospacing="0"/>
              <w:jc w:val="left"/>
              <w:rPr>
                <w:rFonts w:cs="Arial"/>
                <w:color w:val="FFFFFF"/>
                <w:sz w:val="20"/>
                <w:szCs w:val="20"/>
              </w:rPr>
            </w:pPr>
            <w:r w:rsidRPr="00AC713D">
              <w:rPr>
                <w:rFonts w:cs="Arial"/>
                <w:color w:val="FFFFFF"/>
                <w:sz w:val="20"/>
                <w:szCs w:val="20"/>
              </w:rPr>
              <w:t> </w:t>
            </w:r>
          </w:p>
        </w:tc>
        <w:tc>
          <w:tcPr>
            <w:tcW w:w="801" w:type="pct"/>
            <w:tcBorders>
              <w:top w:val="nil"/>
              <w:left w:val="nil"/>
              <w:bottom w:val="nil"/>
              <w:right w:val="nil"/>
            </w:tcBorders>
            <w:shd w:val="clear" w:color="000000" w:fill="2A7FC6"/>
            <w:noWrap/>
            <w:vAlign w:val="bottom"/>
            <w:hideMark/>
          </w:tcPr>
          <w:p w14:paraId="07470515" w14:textId="77777777" w:rsidR="003810B6" w:rsidRPr="00AC713D" w:rsidRDefault="003810B6" w:rsidP="003810B6">
            <w:pPr>
              <w:spacing w:before="0" w:beforeAutospacing="0" w:after="0" w:afterAutospacing="0"/>
              <w:jc w:val="center"/>
              <w:rPr>
                <w:rFonts w:cs="Arial"/>
                <w:color w:val="FFFFFF"/>
                <w:sz w:val="20"/>
                <w:szCs w:val="20"/>
              </w:rPr>
            </w:pPr>
            <w:r w:rsidRPr="00AC713D">
              <w:rPr>
                <w:rFonts w:cs="Arial"/>
                <w:color w:val="FFFFFF"/>
                <w:sz w:val="20"/>
                <w:szCs w:val="20"/>
              </w:rPr>
              <w:t>(neauditované)</w:t>
            </w:r>
          </w:p>
        </w:tc>
        <w:tc>
          <w:tcPr>
            <w:tcW w:w="801" w:type="pct"/>
            <w:tcBorders>
              <w:top w:val="nil"/>
              <w:left w:val="nil"/>
              <w:bottom w:val="nil"/>
              <w:right w:val="nil"/>
            </w:tcBorders>
            <w:shd w:val="clear" w:color="000000" w:fill="2A7FC6"/>
            <w:noWrap/>
            <w:vAlign w:val="bottom"/>
            <w:hideMark/>
          </w:tcPr>
          <w:p w14:paraId="4A9AB797" w14:textId="77777777" w:rsidR="003810B6" w:rsidRPr="00AC713D" w:rsidRDefault="003810B6" w:rsidP="003810B6">
            <w:pPr>
              <w:spacing w:before="0" w:beforeAutospacing="0" w:after="0" w:afterAutospacing="0"/>
              <w:jc w:val="center"/>
              <w:rPr>
                <w:rFonts w:cs="Arial"/>
                <w:color w:val="FFFFFF"/>
                <w:sz w:val="20"/>
                <w:szCs w:val="20"/>
              </w:rPr>
            </w:pPr>
            <w:r w:rsidRPr="00AC713D">
              <w:rPr>
                <w:rFonts w:cs="Arial"/>
                <w:color w:val="FFFFFF"/>
                <w:sz w:val="20"/>
                <w:szCs w:val="20"/>
              </w:rPr>
              <w:t>(neauditované)</w:t>
            </w:r>
          </w:p>
        </w:tc>
        <w:tc>
          <w:tcPr>
            <w:tcW w:w="709" w:type="pct"/>
            <w:tcBorders>
              <w:top w:val="nil"/>
              <w:left w:val="nil"/>
              <w:bottom w:val="nil"/>
              <w:right w:val="nil"/>
            </w:tcBorders>
            <w:shd w:val="clear" w:color="000000" w:fill="2A7FC6"/>
            <w:noWrap/>
            <w:vAlign w:val="bottom"/>
            <w:hideMark/>
          </w:tcPr>
          <w:p w14:paraId="2C820834" w14:textId="77777777" w:rsidR="003810B6" w:rsidRPr="00AC713D" w:rsidRDefault="003810B6" w:rsidP="003810B6">
            <w:pPr>
              <w:spacing w:before="0" w:beforeAutospacing="0" w:after="0" w:afterAutospacing="0"/>
              <w:jc w:val="center"/>
              <w:rPr>
                <w:rFonts w:cs="Arial"/>
                <w:b/>
                <w:bCs/>
                <w:color w:val="FFFFFF"/>
                <w:sz w:val="20"/>
                <w:szCs w:val="20"/>
              </w:rPr>
            </w:pPr>
            <w:r w:rsidRPr="00AC713D">
              <w:rPr>
                <w:rFonts w:cs="Arial"/>
                <w:b/>
                <w:bCs/>
                <w:color w:val="FFFFFF"/>
                <w:sz w:val="20"/>
                <w:szCs w:val="20"/>
              </w:rPr>
              <w:t>% změna</w:t>
            </w:r>
          </w:p>
        </w:tc>
      </w:tr>
      <w:tr w:rsidR="003810B6" w:rsidRPr="00AC713D" w14:paraId="5AA40CC7" w14:textId="77777777" w:rsidTr="002C4FFF">
        <w:trPr>
          <w:trHeight w:val="255"/>
        </w:trPr>
        <w:tc>
          <w:tcPr>
            <w:tcW w:w="2689" w:type="pct"/>
            <w:tcBorders>
              <w:top w:val="nil"/>
              <w:left w:val="nil"/>
              <w:bottom w:val="nil"/>
              <w:right w:val="nil"/>
            </w:tcBorders>
            <w:shd w:val="clear" w:color="auto" w:fill="auto"/>
            <w:noWrap/>
            <w:vAlign w:val="bottom"/>
            <w:hideMark/>
          </w:tcPr>
          <w:p w14:paraId="6A010AA0" w14:textId="77777777" w:rsidR="003810B6" w:rsidRPr="00AC713D" w:rsidRDefault="003810B6" w:rsidP="003810B6">
            <w:pPr>
              <w:spacing w:before="0" w:beforeAutospacing="0" w:after="0" w:afterAutospacing="0"/>
              <w:jc w:val="center"/>
              <w:rPr>
                <w:rFonts w:cs="Arial"/>
                <w:b/>
                <w:bCs/>
                <w:color w:val="FFFFFF"/>
                <w:sz w:val="20"/>
                <w:szCs w:val="20"/>
              </w:rPr>
            </w:pPr>
          </w:p>
        </w:tc>
        <w:tc>
          <w:tcPr>
            <w:tcW w:w="801" w:type="pct"/>
            <w:tcBorders>
              <w:top w:val="nil"/>
              <w:left w:val="nil"/>
              <w:bottom w:val="nil"/>
              <w:right w:val="nil"/>
            </w:tcBorders>
            <w:shd w:val="clear" w:color="auto" w:fill="auto"/>
            <w:noWrap/>
            <w:vAlign w:val="bottom"/>
            <w:hideMark/>
          </w:tcPr>
          <w:p w14:paraId="45017A29" w14:textId="77777777" w:rsidR="003810B6" w:rsidRPr="00AC713D" w:rsidRDefault="003810B6" w:rsidP="003810B6">
            <w:pPr>
              <w:spacing w:before="0" w:beforeAutospacing="0" w:after="0" w:afterAutospacing="0"/>
              <w:jc w:val="left"/>
              <w:rPr>
                <w:rFonts w:cs="Arial"/>
                <w:sz w:val="20"/>
                <w:szCs w:val="20"/>
              </w:rPr>
            </w:pPr>
          </w:p>
        </w:tc>
        <w:tc>
          <w:tcPr>
            <w:tcW w:w="801" w:type="pct"/>
            <w:tcBorders>
              <w:top w:val="nil"/>
              <w:left w:val="nil"/>
              <w:bottom w:val="nil"/>
              <w:right w:val="nil"/>
            </w:tcBorders>
            <w:shd w:val="clear" w:color="auto" w:fill="auto"/>
            <w:noWrap/>
            <w:vAlign w:val="bottom"/>
            <w:hideMark/>
          </w:tcPr>
          <w:p w14:paraId="64B84F28" w14:textId="77777777" w:rsidR="003810B6" w:rsidRPr="00AC713D" w:rsidRDefault="003810B6" w:rsidP="003810B6">
            <w:pPr>
              <w:spacing w:before="0" w:beforeAutospacing="0" w:after="0" w:afterAutospacing="0"/>
              <w:jc w:val="left"/>
              <w:rPr>
                <w:rFonts w:cs="Arial"/>
                <w:sz w:val="20"/>
                <w:szCs w:val="20"/>
              </w:rPr>
            </w:pPr>
          </w:p>
        </w:tc>
        <w:tc>
          <w:tcPr>
            <w:tcW w:w="709" w:type="pct"/>
            <w:tcBorders>
              <w:top w:val="nil"/>
              <w:left w:val="nil"/>
              <w:bottom w:val="nil"/>
              <w:right w:val="nil"/>
            </w:tcBorders>
            <w:shd w:val="clear" w:color="auto" w:fill="auto"/>
            <w:noWrap/>
            <w:vAlign w:val="bottom"/>
            <w:hideMark/>
          </w:tcPr>
          <w:p w14:paraId="0DC1B0B0" w14:textId="77777777" w:rsidR="003810B6" w:rsidRPr="00AC713D" w:rsidRDefault="003810B6" w:rsidP="003810B6">
            <w:pPr>
              <w:spacing w:before="0" w:beforeAutospacing="0" w:after="0" w:afterAutospacing="0"/>
              <w:jc w:val="left"/>
              <w:rPr>
                <w:rFonts w:cs="Arial"/>
                <w:sz w:val="20"/>
                <w:szCs w:val="20"/>
              </w:rPr>
            </w:pPr>
          </w:p>
        </w:tc>
      </w:tr>
      <w:tr w:rsidR="00907A78" w:rsidRPr="00AC713D" w14:paraId="4FAFA171" w14:textId="77777777" w:rsidTr="002C4FFF">
        <w:trPr>
          <w:trHeight w:val="255"/>
        </w:trPr>
        <w:tc>
          <w:tcPr>
            <w:tcW w:w="2689" w:type="pct"/>
            <w:tcBorders>
              <w:top w:val="nil"/>
              <w:left w:val="nil"/>
              <w:bottom w:val="single" w:sz="4" w:space="0" w:color="9C9D9F"/>
              <w:right w:val="nil"/>
            </w:tcBorders>
            <w:shd w:val="clear" w:color="auto" w:fill="auto"/>
            <w:noWrap/>
            <w:vAlign w:val="bottom"/>
            <w:hideMark/>
          </w:tcPr>
          <w:p w14:paraId="628B1B03" w14:textId="4B9018BD" w:rsidR="00907A78" w:rsidRPr="00AC713D" w:rsidRDefault="00907A78" w:rsidP="00907A78">
            <w:pPr>
              <w:spacing w:before="0" w:beforeAutospacing="0" w:after="0" w:afterAutospacing="0"/>
              <w:jc w:val="left"/>
              <w:rPr>
                <w:rFonts w:cs="Arial"/>
                <w:sz w:val="20"/>
                <w:szCs w:val="20"/>
              </w:rPr>
            </w:pPr>
            <w:r w:rsidRPr="00AC713D">
              <w:rPr>
                <w:rFonts w:cs="Arial"/>
                <w:sz w:val="20"/>
                <w:szCs w:val="20"/>
              </w:rPr>
              <w:t>Výnosy</w:t>
            </w:r>
          </w:p>
        </w:tc>
        <w:tc>
          <w:tcPr>
            <w:tcW w:w="801" w:type="pct"/>
            <w:tcBorders>
              <w:top w:val="nil"/>
              <w:left w:val="nil"/>
              <w:bottom w:val="single" w:sz="4" w:space="0" w:color="9C9D9F"/>
              <w:right w:val="nil"/>
            </w:tcBorders>
            <w:shd w:val="clear" w:color="auto" w:fill="auto"/>
            <w:noWrap/>
            <w:vAlign w:val="bottom"/>
            <w:hideMark/>
          </w:tcPr>
          <w:p w14:paraId="0D983170" w14:textId="36BABC75" w:rsidR="00907A78" w:rsidRPr="00AC713D" w:rsidRDefault="00907A78" w:rsidP="00907A78">
            <w:pPr>
              <w:spacing w:before="0" w:beforeAutospacing="0" w:after="0" w:afterAutospacing="0"/>
              <w:ind w:firstLineChars="100" w:firstLine="200"/>
              <w:jc w:val="right"/>
              <w:rPr>
                <w:rFonts w:cs="Arial"/>
                <w:sz w:val="20"/>
                <w:szCs w:val="20"/>
              </w:rPr>
            </w:pPr>
            <w:r w:rsidRPr="00AC713D">
              <w:rPr>
                <w:rFonts w:cs="Arial"/>
                <w:sz w:val="20"/>
                <w:szCs w:val="20"/>
              </w:rPr>
              <w:t>3 159 265</w:t>
            </w:r>
          </w:p>
        </w:tc>
        <w:tc>
          <w:tcPr>
            <w:tcW w:w="801" w:type="pct"/>
            <w:tcBorders>
              <w:top w:val="nil"/>
              <w:left w:val="nil"/>
              <w:bottom w:val="single" w:sz="4" w:space="0" w:color="9C9D9F"/>
              <w:right w:val="nil"/>
            </w:tcBorders>
            <w:shd w:val="clear" w:color="auto" w:fill="auto"/>
            <w:noWrap/>
            <w:vAlign w:val="bottom"/>
          </w:tcPr>
          <w:p w14:paraId="22AD4605" w14:textId="5EBC0D7E" w:rsidR="00907A78" w:rsidRPr="00AC713D" w:rsidRDefault="00907A78" w:rsidP="00907A78">
            <w:pPr>
              <w:spacing w:before="0" w:beforeAutospacing="0" w:after="0" w:afterAutospacing="0"/>
              <w:ind w:firstLineChars="100" w:firstLine="200"/>
              <w:jc w:val="right"/>
              <w:rPr>
                <w:rFonts w:cs="Arial"/>
                <w:sz w:val="20"/>
                <w:szCs w:val="20"/>
              </w:rPr>
            </w:pPr>
            <w:r>
              <w:rPr>
                <w:rFonts w:cs="Arial"/>
                <w:sz w:val="20"/>
                <w:szCs w:val="20"/>
              </w:rPr>
              <w:t>3 347 325</w:t>
            </w:r>
          </w:p>
        </w:tc>
        <w:tc>
          <w:tcPr>
            <w:tcW w:w="709" w:type="pct"/>
            <w:tcBorders>
              <w:top w:val="nil"/>
              <w:left w:val="nil"/>
              <w:bottom w:val="single" w:sz="4" w:space="0" w:color="9C9D9F"/>
              <w:right w:val="nil"/>
            </w:tcBorders>
            <w:shd w:val="clear" w:color="auto" w:fill="auto"/>
            <w:noWrap/>
            <w:vAlign w:val="bottom"/>
          </w:tcPr>
          <w:p w14:paraId="6C63E75C" w14:textId="6F5E91AF" w:rsidR="00907A78" w:rsidRPr="00AC713D" w:rsidRDefault="00907A78" w:rsidP="00907A78">
            <w:pPr>
              <w:spacing w:before="0" w:beforeAutospacing="0" w:after="0" w:afterAutospacing="0"/>
              <w:ind w:firstLineChars="100" w:firstLine="200"/>
              <w:jc w:val="right"/>
              <w:rPr>
                <w:rFonts w:cs="Arial"/>
                <w:sz w:val="20"/>
                <w:szCs w:val="20"/>
              </w:rPr>
            </w:pPr>
            <w:r>
              <w:rPr>
                <w:rFonts w:cs="Arial"/>
                <w:sz w:val="20"/>
                <w:szCs w:val="20"/>
              </w:rPr>
              <w:t>6,0%</w:t>
            </w:r>
          </w:p>
        </w:tc>
      </w:tr>
      <w:tr w:rsidR="00907A78" w:rsidRPr="00AC713D" w14:paraId="30C99C73" w14:textId="77777777" w:rsidTr="002C4FFF">
        <w:trPr>
          <w:trHeight w:val="255"/>
        </w:trPr>
        <w:tc>
          <w:tcPr>
            <w:tcW w:w="2689" w:type="pct"/>
            <w:tcBorders>
              <w:top w:val="nil"/>
              <w:left w:val="nil"/>
              <w:bottom w:val="nil"/>
              <w:right w:val="nil"/>
            </w:tcBorders>
            <w:shd w:val="clear" w:color="auto" w:fill="auto"/>
            <w:noWrap/>
            <w:vAlign w:val="bottom"/>
            <w:hideMark/>
          </w:tcPr>
          <w:p w14:paraId="1FD150FB" w14:textId="77777777" w:rsidR="00907A78" w:rsidRPr="00AC713D" w:rsidRDefault="00907A78" w:rsidP="00907A78">
            <w:pPr>
              <w:spacing w:before="0" w:beforeAutospacing="0" w:after="0" w:afterAutospacing="0"/>
              <w:ind w:firstLineChars="100" w:firstLine="200"/>
              <w:jc w:val="right"/>
              <w:rPr>
                <w:rFonts w:cs="Arial"/>
                <w:sz w:val="20"/>
                <w:szCs w:val="20"/>
              </w:rPr>
            </w:pPr>
          </w:p>
        </w:tc>
        <w:tc>
          <w:tcPr>
            <w:tcW w:w="801" w:type="pct"/>
            <w:tcBorders>
              <w:top w:val="nil"/>
              <w:left w:val="nil"/>
              <w:bottom w:val="nil"/>
              <w:right w:val="nil"/>
            </w:tcBorders>
            <w:shd w:val="clear" w:color="auto" w:fill="auto"/>
            <w:noWrap/>
            <w:vAlign w:val="bottom"/>
            <w:hideMark/>
          </w:tcPr>
          <w:p w14:paraId="3C1C7A5C" w14:textId="77777777" w:rsidR="00907A78" w:rsidRPr="00AC713D" w:rsidRDefault="00907A78" w:rsidP="00907A78">
            <w:pPr>
              <w:spacing w:before="0" w:beforeAutospacing="0" w:after="0" w:afterAutospacing="0"/>
              <w:jc w:val="left"/>
              <w:rPr>
                <w:rFonts w:cs="Arial"/>
                <w:sz w:val="20"/>
                <w:szCs w:val="20"/>
              </w:rPr>
            </w:pPr>
          </w:p>
        </w:tc>
        <w:tc>
          <w:tcPr>
            <w:tcW w:w="801" w:type="pct"/>
            <w:tcBorders>
              <w:top w:val="nil"/>
              <w:left w:val="nil"/>
              <w:bottom w:val="nil"/>
              <w:right w:val="nil"/>
            </w:tcBorders>
            <w:shd w:val="clear" w:color="auto" w:fill="auto"/>
            <w:noWrap/>
            <w:vAlign w:val="bottom"/>
          </w:tcPr>
          <w:p w14:paraId="2B8EF8B6" w14:textId="77777777" w:rsidR="00907A78" w:rsidRPr="00AC713D" w:rsidRDefault="00907A78" w:rsidP="00907A78">
            <w:pPr>
              <w:spacing w:before="0" w:beforeAutospacing="0" w:after="0" w:afterAutospacing="0"/>
              <w:ind w:firstLineChars="100" w:firstLine="200"/>
              <w:jc w:val="right"/>
              <w:rPr>
                <w:rFonts w:cs="Arial"/>
                <w:sz w:val="20"/>
                <w:szCs w:val="20"/>
              </w:rPr>
            </w:pPr>
          </w:p>
        </w:tc>
        <w:tc>
          <w:tcPr>
            <w:tcW w:w="709" w:type="pct"/>
            <w:tcBorders>
              <w:top w:val="nil"/>
              <w:left w:val="nil"/>
              <w:bottom w:val="nil"/>
              <w:right w:val="nil"/>
            </w:tcBorders>
            <w:shd w:val="clear" w:color="auto" w:fill="auto"/>
            <w:noWrap/>
            <w:vAlign w:val="bottom"/>
          </w:tcPr>
          <w:p w14:paraId="26E81711" w14:textId="77777777" w:rsidR="00907A78" w:rsidRPr="00AC713D" w:rsidRDefault="00907A78" w:rsidP="00907A78">
            <w:pPr>
              <w:spacing w:before="0" w:beforeAutospacing="0" w:after="0" w:afterAutospacing="0"/>
              <w:ind w:firstLineChars="100" w:firstLine="200"/>
              <w:jc w:val="right"/>
              <w:rPr>
                <w:rFonts w:cs="Arial"/>
                <w:sz w:val="20"/>
                <w:szCs w:val="20"/>
              </w:rPr>
            </w:pPr>
          </w:p>
        </w:tc>
      </w:tr>
      <w:tr w:rsidR="00907A78" w:rsidRPr="00AC713D" w14:paraId="63AB0B5D" w14:textId="77777777" w:rsidTr="002C4FFF">
        <w:trPr>
          <w:trHeight w:val="255"/>
        </w:trPr>
        <w:tc>
          <w:tcPr>
            <w:tcW w:w="2689" w:type="pct"/>
            <w:tcBorders>
              <w:top w:val="nil"/>
              <w:left w:val="nil"/>
              <w:bottom w:val="single" w:sz="4" w:space="0" w:color="9C9D9F"/>
              <w:right w:val="nil"/>
            </w:tcBorders>
            <w:shd w:val="clear" w:color="auto" w:fill="auto"/>
            <w:noWrap/>
            <w:vAlign w:val="bottom"/>
            <w:hideMark/>
          </w:tcPr>
          <w:p w14:paraId="4183C73C" w14:textId="77777777" w:rsidR="00907A78" w:rsidRPr="00AC713D" w:rsidRDefault="00907A78" w:rsidP="00907A78">
            <w:pPr>
              <w:spacing w:before="0" w:beforeAutospacing="0" w:after="0" w:afterAutospacing="0"/>
              <w:jc w:val="left"/>
              <w:rPr>
                <w:rFonts w:cs="Arial"/>
                <w:sz w:val="20"/>
                <w:szCs w:val="20"/>
              </w:rPr>
            </w:pPr>
            <w:r w:rsidRPr="00AC713D">
              <w:rPr>
                <w:rFonts w:cs="Arial"/>
                <w:sz w:val="20"/>
                <w:szCs w:val="20"/>
              </w:rPr>
              <w:t>Spotřeba materiálu a služeb</w:t>
            </w:r>
          </w:p>
        </w:tc>
        <w:tc>
          <w:tcPr>
            <w:tcW w:w="801" w:type="pct"/>
            <w:tcBorders>
              <w:top w:val="nil"/>
              <w:left w:val="nil"/>
              <w:bottom w:val="single" w:sz="4" w:space="0" w:color="9C9D9F"/>
              <w:right w:val="nil"/>
            </w:tcBorders>
            <w:shd w:val="clear" w:color="auto" w:fill="auto"/>
            <w:noWrap/>
            <w:vAlign w:val="bottom"/>
            <w:hideMark/>
          </w:tcPr>
          <w:p w14:paraId="777F325E" w14:textId="0CF7673C" w:rsidR="00907A78" w:rsidRPr="00AC713D" w:rsidRDefault="00907A78" w:rsidP="00907A78">
            <w:pPr>
              <w:spacing w:before="0" w:beforeAutospacing="0" w:after="0" w:afterAutospacing="0"/>
              <w:ind w:firstLineChars="100" w:firstLine="200"/>
              <w:jc w:val="right"/>
              <w:rPr>
                <w:rFonts w:cs="Arial"/>
                <w:sz w:val="20"/>
                <w:szCs w:val="20"/>
              </w:rPr>
            </w:pPr>
            <w:r w:rsidRPr="00AC713D">
              <w:rPr>
                <w:rFonts w:cs="Arial"/>
                <w:sz w:val="20"/>
                <w:szCs w:val="20"/>
              </w:rPr>
              <w:t>-2 343 429</w:t>
            </w:r>
          </w:p>
        </w:tc>
        <w:tc>
          <w:tcPr>
            <w:tcW w:w="801" w:type="pct"/>
            <w:tcBorders>
              <w:top w:val="nil"/>
              <w:left w:val="nil"/>
              <w:bottom w:val="single" w:sz="4" w:space="0" w:color="9C9D9F"/>
              <w:right w:val="nil"/>
            </w:tcBorders>
            <w:shd w:val="clear" w:color="auto" w:fill="auto"/>
            <w:noWrap/>
            <w:vAlign w:val="bottom"/>
          </w:tcPr>
          <w:p w14:paraId="65BC3DBA" w14:textId="1A07CA88" w:rsidR="00907A78" w:rsidRPr="00AC713D" w:rsidRDefault="00907A78" w:rsidP="00907A78">
            <w:pPr>
              <w:spacing w:before="0" w:beforeAutospacing="0" w:after="0" w:afterAutospacing="0"/>
              <w:ind w:firstLineChars="100" w:firstLine="200"/>
              <w:jc w:val="right"/>
              <w:rPr>
                <w:rFonts w:cs="Arial"/>
                <w:sz w:val="20"/>
                <w:szCs w:val="20"/>
              </w:rPr>
            </w:pPr>
            <w:r>
              <w:rPr>
                <w:rFonts w:cs="Arial"/>
                <w:sz w:val="20"/>
                <w:szCs w:val="20"/>
              </w:rPr>
              <w:t>-2 474 668</w:t>
            </w:r>
          </w:p>
        </w:tc>
        <w:tc>
          <w:tcPr>
            <w:tcW w:w="709" w:type="pct"/>
            <w:tcBorders>
              <w:top w:val="nil"/>
              <w:left w:val="nil"/>
              <w:bottom w:val="single" w:sz="4" w:space="0" w:color="9C9D9F"/>
              <w:right w:val="nil"/>
            </w:tcBorders>
            <w:shd w:val="clear" w:color="auto" w:fill="auto"/>
            <w:noWrap/>
            <w:vAlign w:val="bottom"/>
          </w:tcPr>
          <w:p w14:paraId="0198F2E6" w14:textId="37F182DF" w:rsidR="00907A78" w:rsidRPr="00AC713D" w:rsidRDefault="00907A78" w:rsidP="00907A78">
            <w:pPr>
              <w:spacing w:before="0" w:beforeAutospacing="0" w:after="0" w:afterAutospacing="0"/>
              <w:ind w:firstLineChars="100" w:firstLine="200"/>
              <w:jc w:val="right"/>
              <w:rPr>
                <w:rFonts w:cs="Arial"/>
                <w:sz w:val="20"/>
                <w:szCs w:val="20"/>
              </w:rPr>
            </w:pPr>
            <w:r>
              <w:rPr>
                <w:rFonts w:cs="Arial"/>
                <w:sz w:val="20"/>
                <w:szCs w:val="20"/>
              </w:rPr>
              <w:t>5,6%</w:t>
            </w:r>
          </w:p>
        </w:tc>
      </w:tr>
      <w:tr w:rsidR="00907A78" w:rsidRPr="00AC713D" w14:paraId="16B48595" w14:textId="77777777" w:rsidTr="002C4FFF">
        <w:trPr>
          <w:trHeight w:val="255"/>
        </w:trPr>
        <w:tc>
          <w:tcPr>
            <w:tcW w:w="2689" w:type="pct"/>
            <w:tcBorders>
              <w:top w:val="nil"/>
              <w:left w:val="nil"/>
              <w:bottom w:val="single" w:sz="4" w:space="0" w:color="9C9D9F"/>
              <w:right w:val="nil"/>
            </w:tcBorders>
            <w:shd w:val="clear" w:color="auto" w:fill="auto"/>
            <w:noWrap/>
            <w:vAlign w:val="bottom"/>
            <w:hideMark/>
          </w:tcPr>
          <w:p w14:paraId="33DFD643" w14:textId="77777777" w:rsidR="00907A78" w:rsidRPr="00AC713D" w:rsidRDefault="00907A78" w:rsidP="00907A78">
            <w:pPr>
              <w:spacing w:before="0" w:beforeAutospacing="0" w:after="0" w:afterAutospacing="0"/>
              <w:jc w:val="left"/>
              <w:rPr>
                <w:rFonts w:cs="Arial"/>
                <w:sz w:val="20"/>
                <w:szCs w:val="20"/>
              </w:rPr>
            </w:pPr>
            <w:r w:rsidRPr="00AC713D">
              <w:rPr>
                <w:rFonts w:cs="Arial"/>
                <w:sz w:val="20"/>
                <w:szCs w:val="20"/>
              </w:rPr>
              <w:t>Osobní náklady</w:t>
            </w:r>
          </w:p>
        </w:tc>
        <w:tc>
          <w:tcPr>
            <w:tcW w:w="801" w:type="pct"/>
            <w:tcBorders>
              <w:top w:val="nil"/>
              <w:left w:val="nil"/>
              <w:bottom w:val="single" w:sz="4" w:space="0" w:color="9C9D9F"/>
              <w:right w:val="nil"/>
            </w:tcBorders>
            <w:shd w:val="clear" w:color="auto" w:fill="auto"/>
            <w:noWrap/>
            <w:vAlign w:val="bottom"/>
            <w:hideMark/>
          </w:tcPr>
          <w:p w14:paraId="2D2BA7BA" w14:textId="5B8618B3" w:rsidR="00907A78" w:rsidRPr="00AC713D" w:rsidRDefault="00907A78" w:rsidP="00907A78">
            <w:pPr>
              <w:spacing w:before="0" w:beforeAutospacing="0" w:after="0" w:afterAutospacing="0"/>
              <w:ind w:firstLineChars="100" w:firstLine="200"/>
              <w:jc w:val="right"/>
              <w:rPr>
                <w:rFonts w:cs="Arial"/>
                <w:sz w:val="20"/>
                <w:szCs w:val="20"/>
              </w:rPr>
            </w:pPr>
            <w:r w:rsidRPr="00AC713D">
              <w:rPr>
                <w:rFonts w:cs="Arial"/>
                <w:sz w:val="20"/>
                <w:szCs w:val="20"/>
              </w:rPr>
              <w:t>-178 541</w:t>
            </w:r>
          </w:p>
        </w:tc>
        <w:tc>
          <w:tcPr>
            <w:tcW w:w="801" w:type="pct"/>
            <w:tcBorders>
              <w:top w:val="nil"/>
              <w:left w:val="nil"/>
              <w:bottom w:val="single" w:sz="4" w:space="0" w:color="9C9D9F"/>
              <w:right w:val="nil"/>
            </w:tcBorders>
            <w:shd w:val="clear" w:color="auto" w:fill="auto"/>
            <w:noWrap/>
            <w:vAlign w:val="bottom"/>
          </w:tcPr>
          <w:p w14:paraId="7ECE46CF" w14:textId="47367915" w:rsidR="00907A78" w:rsidRPr="00AC713D" w:rsidRDefault="00907A78" w:rsidP="00907A78">
            <w:pPr>
              <w:spacing w:before="0" w:beforeAutospacing="0" w:after="0" w:afterAutospacing="0"/>
              <w:ind w:firstLineChars="100" w:firstLine="200"/>
              <w:jc w:val="right"/>
              <w:rPr>
                <w:rFonts w:cs="Arial"/>
                <w:sz w:val="20"/>
                <w:szCs w:val="20"/>
              </w:rPr>
            </w:pPr>
            <w:r>
              <w:rPr>
                <w:rFonts w:cs="Arial"/>
                <w:sz w:val="20"/>
                <w:szCs w:val="20"/>
              </w:rPr>
              <w:t>-194 117</w:t>
            </w:r>
          </w:p>
        </w:tc>
        <w:tc>
          <w:tcPr>
            <w:tcW w:w="709" w:type="pct"/>
            <w:tcBorders>
              <w:top w:val="nil"/>
              <w:left w:val="nil"/>
              <w:bottom w:val="single" w:sz="4" w:space="0" w:color="9C9D9F"/>
              <w:right w:val="nil"/>
            </w:tcBorders>
            <w:shd w:val="clear" w:color="auto" w:fill="auto"/>
            <w:noWrap/>
            <w:vAlign w:val="bottom"/>
          </w:tcPr>
          <w:p w14:paraId="4A7F74E6" w14:textId="0FCFECD4" w:rsidR="00907A78" w:rsidRPr="00AC713D" w:rsidRDefault="00907A78" w:rsidP="00907A78">
            <w:pPr>
              <w:spacing w:before="0" w:beforeAutospacing="0" w:after="0" w:afterAutospacing="0"/>
              <w:ind w:firstLineChars="100" w:firstLine="200"/>
              <w:jc w:val="right"/>
              <w:rPr>
                <w:rFonts w:cs="Arial"/>
                <w:sz w:val="20"/>
                <w:szCs w:val="20"/>
              </w:rPr>
            </w:pPr>
            <w:r>
              <w:rPr>
                <w:rFonts w:cs="Arial"/>
                <w:sz w:val="20"/>
                <w:szCs w:val="20"/>
              </w:rPr>
              <w:t>8,7%</w:t>
            </w:r>
          </w:p>
        </w:tc>
      </w:tr>
      <w:tr w:rsidR="00907A78" w:rsidRPr="00AC713D" w14:paraId="6E91434C" w14:textId="77777777" w:rsidTr="002C4FFF">
        <w:trPr>
          <w:trHeight w:val="255"/>
        </w:trPr>
        <w:tc>
          <w:tcPr>
            <w:tcW w:w="2689" w:type="pct"/>
            <w:tcBorders>
              <w:top w:val="nil"/>
              <w:left w:val="nil"/>
              <w:bottom w:val="single" w:sz="4" w:space="0" w:color="9C9D9F"/>
              <w:right w:val="nil"/>
            </w:tcBorders>
            <w:shd w:val="clear" w:color="auto" w:fill="auto"/>
            <w:noWrap/>
            <w:vAlign w:val="bottom"/>
            <w:hideMark/>
          </w:tcPr>
          <w:p w14:paraId="2675596E" w14:textId="77777777" w:rsidR="00907A78" w:rsidRPr="00AC713D" w:rsidRDefault="00907A78" w:rsidP="00907A78">
            <w:pPr>
              <w:spacing w:before="0" w:beforeAutospacing="0" w:after="0" w:afterAutospacing="0"/>
              <w:jc w:val="left"/>
              <w:rPr>
                <w:rFonts w:cs="Arial"/>
                <w:sz w:val="20"/>
                <w:szCs w:val="20"/>
              </w:rPr>
            </w:pPr>
            <w:r w:rsidRPr="00AC713D">
              <w:rPr>
                <w:rFonts w:cs="Arial"/>
                <w:sz w:val="20"/>
                <w:szCs w:val="20"/>
              </w:rPr>
              <w:t>Ostatní provozní výnosy/(náklady) netto</w:t>
            </w:r>
          </w:p>
        </w:tc>
        <w:tc>
          <w:tcPr>
            <w:tcW w:w="801" w:type="pct"/>
            <w:tcBorders>
              <w:top w:val="nil"/>
              <w:left w:val="nil"/>
              <w:bottom w:val="single" w:sz="4" w:space="0" w:color="9C9D9F"/>
              <w:right w:val="nil"/>
            </w:tcBorders>
            <w:shd w:val="clear" w:color="auto" w:fill="auto"/>
            <w:noWrap/>
            <w:vAlign w:val="bottom"/>
            <w:hideMark/>
          </w:tcPr>
          <w:p w14:paraId="7EF4A28E" w14:textId="2281CEE8" w:rsidR="00907A78" w:rsidRPr="00AC713D" w:rsidRDefault="00907A78" w:rsidP="00907A78">
            <w:pPr>
              <w:spacing w:before="0" w:beforeAutospacing="0" w:after="0" w:afterAutospacing="0"/>
              <w:ind w:firstLineChars="100" w:firstLine="200"/>
              <w:jc w:val="right"/>
              <w:rPr>
                <w:rFonts w:cs="Arial"/>
                <w:sz w:val="20"/>
                <w:szCs w:val="20"/>
              </w:rPr>
            </w:pPr>
            <w:r w:rsidRPr="00AC713D">
              <w:rPr>
                <w:rFonts w:cs="Arial"/>
                <w:sz w:val="20"/>
                <w:szCs w:val="20"/>
              </w:rPr>
              <w:t>-31 503</w:t>
            </w:r>
          </w:p>
        </w:tc>
        <w:tc>
          <w:tcPr>
            <w:tcW w:w="801" w:type="pct"/>
            <w:tcBorders>
              <w:top w:val="nil"/>
              <w:left w:val="nil"/>
              <w:bottom w:val="single" w:sz="4" w:space="0" w:color="9C9D9F"/>
              <w:right w:val="nil"/>
            </w:tcBorders>
            <w:shd w:val="clear" w:color="auto" w:fill="auto"/>
            <w:noWrap/>
            <w:vAlign w:val="bottom"/>
          </w:tcPr>
          <w:p w14:paraId="0A0D1A60" w14:textId="36BD3E75" w:rsidR="00907A78" w:rsidRPr="00AC713D" w:rsidRDefault="00907A78" w:rsidP="00907A78">
            <w:pPr>
              <w:spacing w:before="0" w:beforeAutospacing="0" w:after="0" w:afterAutospacing="0"/>
              <w:ind w:firstLineChars="100" w:firstLine="200"/>
              <w:jc w:val="right"/>
              <w:rPr>
                <w:rFonts w:cs="Arial"/>
                <w:sz w:val="20"/>
                <w:szCs w:val="20"/>
              </w:rPr>
            </w:pPr>
            <w:r>
              <w:rPr>
                <w:rFonts w:cs="Arial"/>
                <w:sz w:val="20"/>
                <w:szCs w:val="20"/>
              </w:rPr>
              <w:t>-18 988</w:t>
            </w:r>
          </w:p>
        </w:tc>
        <w:tc>
          <w:tcPr>
            <w:tcW w:w="709" w:type="pct"/>
            <w:tcBorders>
              <w:top w:val="nil"/>
              <w:left w:val="nil"/>
              <w:bottom w:val="single" w:sz="4" w:space="0" w:color="9C9D9F"/>
              <w:right w:val="nil"/>
            </w:tcBorders>
            <w:shd w:val="clear" w:color="auto" w:fill="auto"/>
            <w:noWrap/>
            <w:vAlign w:val="bottom"/>
          </w:tcPr>
          <w:p w14:paraId="33B980DC" w14:textId="1511E63F" w:rsidR="00907A78" w:rsidRPr="00AC713D" w:rsidRDefault="00907A78" w:rsidP="00907A78">
            <w:pPr>
              <w:spacing w:before="0" w:beforeAutospacing="0" w:after="0" w:afterAutospacing="0"/>
              <w:ind w:firstLineChars="100" w:firstLine="200"/>
              <w:jc w:val="right"/>
              <w:rPr>
                <w:rFonts w:cs="Arial"/>
                <w:sz w:val="20"/>
                <w:szCs w:val="20"/>
              </w:rPr>
            </w:pPr>
            <w:r>
              <w:rPr>
                <w:rFonts w:cs="Arial"/>
                <w:sz w:val="20"/>
                <w:szCs w:val="20"/>
              </w:rPr>
              <w:t>-39,7%</w:t>
            </w:r>
          </w:p>
        </w:tc>
      </w:tr>
      <w:tr w:rsidR="00907A78" w:rsidRPr="00AC713D" w14:paraId="75ADB9CA" w14:textId="77777777" w:rsidTr="002C4FFF">
        <w:trPr>
          <w:trHeight w:val="255"/>
        </w:trPr>
        <w:tc>
          <w:tcPr>
            <w:tcW w:w="2689" w:type="pct"/>
            <w:tcBorders>
              <w:top w:val="nil"/>
              <w:left w:val="nil"/>
              <w:bottom w:val="single" w:sz="4" w:space="0" w:color="9C9D9F"/>
              <w:right w:val="nil"/>
            </w:tcBorders>
            <w:shd w:val="clear" w:color="auto" w:fill="auto"/>
            <w:noWrap/>
            <w:vAlign w:val="bottom"/>
            <w:hideMark/>
          </w:tcPr>
          <w:p w14:paraId="55CFB078" w14:textId="77777777" w:rsidR="00907A78" w:rsidRPr="00AC713D" w:rsidRDefault="00907A78" w:rsidP="00907A78">
            <w:pPr>
              <w:spacing w:before="0" w:beforeAutospacing="0" w:after="0" w:afterAutospacing="0"/>
              <w:jc w:val="left"/>
              <w:rPr>
                <w:rFonts w:cs="Arial"/>
                <w:b/>
                <w:bCs/>
                <w:sz w:val="20"/>
                <w:szCs w:val="20"/>
              </w:rPr>
            </w:pPr>
            <w:r w:rsidRPr="00AC713D">
              <w:rPr>
                <w:rFonts w:cs="Arial"/>
                <w:b/>
                <w:bCs/>
                <w:sz w:val="20"/>
                <w:szCs w:val="20"/>
              </w:rPr>
              <w:t>EBITDA</w:t>
            </w:r>
          </w:p>
        </w:tc>
        <w:tc>
          <w:tcPr>
            <w:tcW w:w="801" w:type="pct"/>
            <w:tcBorders>
              <w:top w:val="nil"/>
              <w:left w:val="nil"/>
              <w:bottom w:val="single" w:sz="4" w:space="0" w:color="9C9D9F"/>
              <w:right w:val="nil"/>
            </w:tcBorders>
            <w:shd w:val="clear" w:color="auto" w:fill="auto"/>
            <w:noWrap/>
            <w:vAlign w:val="bottom"/>
            <w:hideMark/>
          </w:tcPr>
          <w:p w14:paraId="1BB1E129" w14:textId="274F0EED" w:rsidR="00907A78" w:rsidRPr="00AC713D" w:rsidRDefault="00907A78" w:rsidP="00907A78">
            <w:pPr>
              <w:spacing w:before="0" w:beforeAutospacing="0" w:after="0" w:afterAutospacing="0"/>
              <w:ind w:firstLineChars="100" w:firstLine="201"/>
              <w:jc w:val="right"/>
              <w:rPr>
                <w:rFonts w:cs="Arial"/>
                <w:b/>
                <w:bCs/>
                <w:sz w:val="20"/>
                <w:szCs w:val="20"/>
              </w:rPr>
            </w:pPr>
            <w:r w:rsidRPr="00AC713D">
              <w:rPr>
                <w:rFonts w:cs="Arial"/>
                <w:b/>
                <w:bCs/>
                <w:sz w:val="20"/>
                <w:szCs w:val="20"/>
              </w:rPr>
              <w:t>605 792</w:t>
            </w:r>
          </w:p>
        </w:tc>
        <w:tc>
          <w:tcPr>
            <w:tcW w:w="801" w:type="pct"/>
            <w:tcBorders>
              <w:top w:val="nil"/>
              <w:left w:val="nil"/>
              <w:bottom w:val="single" w:sz="4" w:space="0" w:color="9C9D9F"/>
              <w:right w:val="nil"/>
            </w:tcBorders>
            <w:shd w:val="clear" w:color="auto" w:fill="auto"/>
            <w:noWrap/>
            <w:vAlign w:val="bottom"/>
          </w:tcPr>
          <w:p w14:paraId="12179526" w14:textId="6ABACD42" w:rsidR="00907A78" w:rsidRPr="00AC713D" w:rsidRDefault="00907A78" w:rsidP="00907A78">
            <w:pPr>
              <w:spacing w:before="0" w:beforeAutospacing="0" w:after="0" w:afterAutospacing="0"/>
              <w:ind w:firstLineChars="100" w:firstLine="201"/>
              <w:jc w:val="right"/>
              <w:rPr>
                <w:rFonts w:cs="Arial"/>
                <w:b/>
                <w:bCs/>
                <w:sz w:val="20"/>
                <w:szCs w:val="20"/>
              </w:rPr>
            </w:pPr>
            <w:r>
              <w:rPr>
                <w:rFonts w:cs="Arial"/>
                <w:b/>
                <w:bCs/>
                <w:sz w:val="20"/>
                <w:szCs w:val="20"/>
              </w:rPr>
              <w:t>659 552</w:t>
            </w:r>
          </w:p>
        </w:tc>
        <w:tc>
          <w:tcPr>
            <w:tcW w:w="709" w:type="pct"/>
            <w:tcBorders>
              <w:top w:val="nil"/>
              <w:left w:val="nil"/>
              <w:bottom w:val="single" w:sz="4" w:space="0" w:color="9C9D9F"/>
              <w:right w:val="nil"/>
            </w:tcBorders>
            <w:shd w:val="clear" w:color="auto" w:fill="auto"/>
            <w:noWrap/>
            <w:vAlign w:val="bottom"/>
          </w:tcPr>
          <w:p w14:paraId="2DC18F93" w14:textId="1B615D08" w:rsidR="00907A78" w:rsidRPr="00AC713D" w:rsidRDefault="00907A78" w:rsidP="00907A78">
            <w:pPr>
              <w:spacing w:before="0" w:beforeAutospacing="0" w:after="0" w:afterAutospacing="0"/>
              <w:ind w:firstLineChars="100" w:firstLine="201"/>
              <w:jc w:val="right"/>
              <w:rPr>
                <w:rFonts w:cs="Arial"/>
                <w:b/>
                <w:bCs/>
                <w:sz w:val="20"/>
                <w:szCs w:val="20"/>
              </w:rPr>
            </w:pPr>
            <w:r>
              <w:rPr>
                <w:rFonts w:cs="Arial"/>
                <w:b/>
                <w:bCs/>
                <w:sz w:val="20"/>
                <w:szCs w:val="20"/>
              </w:rPr>
              <w:t>8,9%</w:t>
            </w:r>
          </w:p>
        </w:tc>
      </w:tr>
      <w:tr w:rsidR="00907A78" w:rsidRPr="00AC713D" w14:paraId="259508A2" w14:textId="77777777" w:rsidTr="002C4FFF">
        <w:trPr>
          <w:trHeight w:val="255"/>
        </w:trPr>
        <w:tc>
          <w:tcPr>
            <w:tcW w:w="2689" w:type="pct"/>
            <w:tcBorders>
              <w:top w:val="nil"/>
              <w:left w:val="nil"/>
              <w:bottom w:val="single" w:sz="4" w:space="0" w:color="9C9D9F"/>
              <w:right w:val="nil"/>
            </w:tcBorders>
            <w:shd w:val="clear" w:color="auto" w:fill="auto"/>
            <w:noWrap/>
            <w:vAlign w:val="bottom"/>
            <w:hideMark/>
          </w:tcPr>
          <w:p w14:paraId="24BD6DD9" w14:textId="77777777" w:rsidR="00907A78" w:rsidRPr="00AC713D" w:rsidRDefault="00907A78" w:rsidP="00907A78">
            <w:pPr>
              <w:spacing w:before="0" w:beforeAutospacing="0" w:after="0" w:afterAutospacing="0"/>
              <w:jc w:val="left"/>
              <w:rPr>
                <w:rFonts w:cs="Arial"/>
                <w:b/>
                <w:bCs/>
                <w:i/>
                <w:iCs/>
                <w:sz w:val="20"/>
                <w:szCs w:val="20"/>
              </w:rPr>
            </w:pPr>
            <w:r w:rsidRPr="00AC713D">
              <w:rPr>
                <w:rFonts w:cs="Arial"/>
                <w:b/>
                <w:bCs/>
                <w:i/>
                <w:iCs/>
                <w:sz w:val="20"/>
                <w:szCs w:val="20"/>
              </w:rPr>
              <w:t xml:space="preserve">EBITDA marže </w:t>
            </w:r>
          </w:p>
        </w:tc>
        <w:tc>
          <w:tcPr>
            <w:tcW w:w="801" w:type="pct"/>
            <w:tcBorders>
              <w:top w:val="nil"/>
              <w:left w:val="nil"/>
              <w:bottom w:val="single" w:sz="4" w:space="0" w:color="9C9D9F"/>
              <w:right w:val="nil"/>
            </w:tcBorders>
            <w:shd w:val="clear" w:color="auto" w:fill="auto"/>
            <w:noWrap/>
            <w:vAlign w:val="bottom"/>
            <w:hideMark/>
          </w:tcPr>
          <w:p w14:paraId="122BF43A" w14:textId="5135C6B1" w:rsidR="00907A78" w:rsidRPr="00AC713D" w:rsidRDefault="00907A78" w:rsidP="00907A78">
            <w:pPr>
              <w:spacing w:before="0" w:beforeAutospacing="0" w:after="0" w:afterAutospacing="0"/>
              <w:ind w:firstLineChars="100" w:firstLine="201"/>
              <w:jc w:val="right"/>
              <w:rPr>
                <w:rFonts w:cs="Arial"/>
                <w:b/>
                <w:bCs/>
                <w:i/>
                <w:iCs/>
                <w:sz w:val="20"/>
                <w:szCs w:val="20"/>
              </w:rPr>
            </w:pPr>
            <w:r w:rsidRPr="00AC713D">
              <w:rPr>
                <w:rFonts w:cs="Arial"/>
                <w:b/>
                <w:bCs/>
                <w:i/>
                <w:iCs/>
                <w:sz w:val="20"/>
                <w:szCs w:val="20"/>
              </w:rPr>
              <w:t>19,2%</w:t>
            </w:r>
          </w:p>
        </w:tc>
        <w:tc>
          <w:tcPr>
            <w:tcW w:w="801" w:type="pct"/>
            <w:tcBorders>
              <w:top w:val="nil"/>
              <w:left w:val="nil"/>
              <w:bottom w:val="single" w:sz="4" w:space="0" w:color="9C9D9F"/>
              <w:right w:val="nil"/>
            </w:tcBorders>
            <w:shd w:val="clear" w:color="auto" w:fill="auto"/>
            <w:noWrap/>
            <w:vAlign w:val="bottom"/>
          </w:tcPr>
          <w:p w14:paraId="3B45191B" w14:textId="013ABFA5" w:rsidR="00907A78" w:rsidRPr="00AC713D" w:rsidRDefault="00907A78" w:rsidP="00907A78">
            <w:pPr>
              <w:spacing w:before="0" w:beforeAutospacing="0" w:after="0" w:afterAutospacing="0"/>
              <w:ind w:firstLineChars="100" w:firstLine="201"/>
              <w:jc w:val="right"/>
              <w:rPr>
                <w:rFonts w:cs="Arial"/>
                <w:b/>
                <w:bCs/>
                <w:i/>
                <w:iCs/>
                <w:sz w:val="20"/>
                <w:szCs w:val="20"/>
              </w:rPr>
            </w:pPr>
            <w:r>
              <w:rPr>
                <w:rFonts w:cs="Arial"/>
                <w:b/>
                <w:bCs/>
                <w:i/>
                <w:iCs/>
                <w:sz w:val="20"/>
                <w:szCs w:val="20"/>
              </w:rPr>
              <w:t>19,7%</w:t>
            </w:r>
          </w:p>
        </w:tc>
        <w:tc>
          <w:tcPr>
            <w:tcW w:w="709" w:type="pct"/>
            <w:tcBorders>
              <w:top w:val="nil"/>
              <w:left w:val="nil"/>
              <w:bottom w:val="single" w:sz="4" w:space="0" w:color="9C9D9F"/>
              <w:right w:val="nil"/>
            </w:tcBorders>
            <w:shd w:val="clear" w:color="auto" w:fill="auto"/>
            <w:noWrap/>
            <w:vAlign w:val="bottom"/>
          </w:tcPr>
          <w:p w14:paraId="64E0F7F3" w14:textId="45D6D836" w:rsidR="00907A78" w:rsidRPr="00AC713D" w:rsidRDefault="00907A78" w:rsidP="00907A78">
            <w:pPr>
              <w:spacing w:before="0" w:beforeAutospacing="0" w:after="0" w:afterAutospacing="0"/>
              <w:ind w:firstLineChars="100" w:firstLine="201"/>
              <w:jc w:val="right"/>
              <w:rPr>
                <w:rFonts w:cs="Arial"/>
                <w:b/>
                <w:bCs/>
                <w:i/>
                <w:iCs/>
                <w:sz w:val="20"/>
                <w:szCs w:val="20"/>
              </w:rPr>
            </w:pPr>
            <w:r>
              <w:rPr>
                <w:rFonts w:cs="Arial"/>
                <w:b/>
                <w:bCs/>
                <w:i/>
                <w:iCs/>
                <w:sz w:val="20"/>
                <w:szCs w:val="20"/>
              </w:rPr>
              <w:t>0,5 p.b.</w:t>
            </w:r>
          </w:p>
        </w:tc>
      </w:tr>
      <w:tr w:rsidR="00907A78" w:rsidRPr="00AC713D" w14:paraId="02C83CC5" w14:textId="77777777" w:rsidTr="002C4FFF">
        <w:trPr>
          <w:trHeight w:val="255"/>
        </w:trPr>
        <w:tc>
          <w:tcPr>
            <w:tcW w:w="2689" w:type="pct"/>
            <w:tcBorders>
              <w:top w:val="nil"/>
              <w:left w:val="nil"/>
              <w:bottom w:val="nil"/>
              <w:right w:val="nil"/>
            </w:tcBorders>
            <w:shd w:val="clear" w:color="auto" w:fill="auto"/>
            <w:noWrap/>
            <w:vAlign w:val="bottom"/>
            <w:hideMark/>
          </w:tcPr>
          <w:p w14:paraId="61790325" w14:textId="77777777" w:rsidR="00907A78" w:rsidRPr="00AC713D" w:rsidRDefault="00907A78" w:rsidP="00907A78">
            <w:pPr>
              <w:spacing w:before="0" w:beforeAutospacing="0" w:after="0" w:afterAutospacing="0"/>
              <w:ind w:firstLineChars="100" w:firstLine="201"/>
              <w:jc w:val="right"/>
              <w:rPr>
                <w:rFonts w:cs="Arial"/>
                <w:b/>
                <w:bCs/>
                <w:i/>
                <w:iCs/>
                <w:sz w:val="20"/>
                <w:szCs w:val="20"/>
              </w:rPr>
            </w:pPr>
          </w:p>
        </w:tc>
        <w:tc>
          <w:tcPr>
            <w:tcW w:w="801" w:type="pct"/>
            <w:tcBorders>
              <w:top w:val="nil"/>
              <w:left w:val="nil"/>
              <w:bottom w:val="nil"/>
              <w:right w:val="nil"/>
            </w:tcBorders>
            <w:shd w:val="clear" w:color="auto" w:fill="auto"/>
            <w:noWrap/>
            <w:vAlign w:val="bottom"/>
            <w:hideMark/>
          </w:tcPr>
          <w:p w14:paraId="7A7A898A" w14:textId="77777777" w:rsidR="00907A78" w:rsidRPr="00AC713D" w:rsidRDefault="00907A78" w:rsidP="00907A78">
            <w:pPr>
              <w:spacing w:before="0" w:beforeAutospacing="0" w:after="0" w:afterAutospacing="0"/>
              <w:jc w:val="left"/>
              <w:rPr>
                <w:rFonts w:cs="Arial"/>
                <w:sz w:val="20"/>
                <w:szCs w:val="20"/>
              </w:rPr>
            </w:pPr>
          </w:p>
        </w:tc>
        <w:tc>
          <w:tcPr>
            <w:tcW w:w="801" w:type="pct"/>
            <w:tcBorders>
              <w:top w:val="nil"/>
              <w:left w:val="nil"/>
              <w:bottom w:val="nil"/>
              <w:right w:val="nil"/>
            </w:tcBorders>
            <w:shd w:val="clear" w:color="auto" w:fill="auto"/>
            <w:noWrap/>
            <w:vAlign w:val="bottom"/>
          </w:tcPr>
          <w:p w14:paraId="49FB70F0" w14:textId="77777777" w:rsidR="00907A78" w:rsidRPr="00AC713D" w:rsidRDefault="00907A78" w:rsidP="00907A78">
            <w:pPr>
              <w:spacing w:before="0" w:beforeAutospacing="0" w:after="0" w:afterAutospacing="0"/>
              <w:ind w:firstLineChars="100" w:firstLine="200"/>
              <w:jc w:val="right"/>
              <w:rPr>
                <w:rFonts w:cs="Arial"/>
                <w:sz w:val="20"/>
                <w:szCs w:val="20"/>
              </w:rPr>
            </w:pPr>
          </w:p>
        </w:tc>
        <w:tc>
          <w:tcPr>
            <w:tcW w:w="709" w:type="pct"/>
            <w:tcBorders>
              <w:top w:val="nil"/>
              <w:left w:val="nil"/>
              <w:bottom w:val="nil"/>
              <w:right w:val="nil"/>
            </w:tcBorders>
            <w:shd w:val="clear" w:color="auto" w:fill="auto"/>
            <w:noWrap/>
            <w:vAlign w:val="bottom"/>
          </w:tcPr>
          <w:p w14:paraId="4E288020" w14:textId="77777777" w:rsidR="00907A78" w:rsidRPr="00AC713D" w:rsidRDefault="00907A78" w:rsidP="00907A78">
            <w:pPr>
              <w:spacing w:before="0" w:beforeAutospacing="0" w:after="0" w:afterAutospacing="0"/>
              <w:ind w:firstLineChars="100" w:firstLine="200"/>
              <w:jc w:val="right"/>
              <w:rPr>
                <w:rFonts w:cs="Arial"/>
                <w:sz w:val="20"/>
                <w:szCs w:val="20"/>
              </w:rPr>
            </w:pPr>
          </w:p>
        </w:tc>
      </w:tr>
      <w:tr w:rsidR="00907A78" w:rsidRPr="00AC713D" w14:paraId="4CB84C82" w14:textId="77777777" w:rsidTr="002C4FFF">
        <w:trPr>
          <w:trHeight w:val="255"/>
        </w:trPr>
        <w:tc>
          <w:tcPr>
            <w:tcW w:w="2689" w:type="pct"/>
            <w:tcBorders>
              <w:top w:val="nil"/>
              <w:left w:val="nil"/>
              <w:bottom w:val="single" w:sz="4" w:space="0" w:color="9C9D9F"/>
              <w:right w:val="nil"/>
            </w:tcBorders>
            <w:shd w:val="clear" w:color="auto" w:fill="auto"/>
            <w:vAlign w:val="bottom"/>
            <w:hideMark/>
          </w:tcPr>
          <w:p w14:paraId="56D00FAE" w14:textId="77777777" w:rsidR="00907A78" w:rsidRPr="00AC713D" w:rsidRDefault="00907A78" w:rsidP="00907A78">
            <w:pPr>
              <w:spacing w:before="0" w:beforeAutospacing="0" w:after="0" w:afterAutospacing="0"/>
              <w:jc w:val="left"/>
              <w:rPr>
                <w:rFonts w:cs="Arial"/>
                <w:sz w:val="20"/>
                <w:szCs w:val="20"/>
              </w:rPr>
            </w:pPr>
            <w:r w:rsidRPr="00AC713D">
              <w:rPr>
                <w:rFonts w:cs="Arial"/>
                <w:sz w:val="20"/>
                <w:szCs w:val="20"/>
              </w:rPr>
              <w:t>Odpisy dlouhodobého nehmotného a hmotného majetku</w:t>
            </w:r>
          </w:p>
        </w:tc>
        <w:tc>
          <w:tcPr>
            <w:tcW w:w="801" w:type="pct"/>
            <w:tcBorders>
              <w:top w:val="nil"/>
              <w:left w:val="nil"/>
              <w:bottom w:val="single" w:sz="4" w:space="0" w:color="9C9D9F"/>
              <w:right w:val="nil"/>
            </w:tcBorders>
            <w:shd w:val="clear" w:color="auto" w:fill="auto"/>
            <w:noWrap/>
            <w:vAlign w:val="bottom"/>
            <w:hideMark/>
          </w:tcPr>
          <w:p w14:paraId="06F6764F" w14:textId="041A2952" w:rsidR="00907A78" w:rsidRPr="00AC713D" w:rsidRDefault="00907A78" w:rsidP="00907A78">
            <w:pPr>
              <w:spacing w:before="0" w:beforeAutospacing="0" w:after="0" w:afterAutospacing="0"/>
              <w:ind w:firstLineChars="100" w:firstLine="200"/>
              <w:jc w:val="right"/>
              <w:rPr>
                <w:rFonts w:cs="Arial"/>
                <w:sz w:val="20"/>
                <w:szCs w:val="20"/>
              </w:rPr>
            </w:pPr>
            <w:r w:rsidRPr="00AC713D">
              <w:rPr>
                <w:rFonts w:cs="Arial"/>
                <w:sz w:val="20"/>
                <w:szCs w:val="20"/>
              </w:rPr>
              <w:t>-252 576</w:t>
            </w:r>
          </w:p>
        </w:tc>
        <w:tc>
          <w:tcPr>
            <w:tcW w:w="801" w:type="pct"/>
            <w:tcBorders>
              <w:top w:val="nil"/>
              <w:left w:val="nil"/>
              <w:bottom w:val="single" w:sz="4" w:space="0" w:color="9C9D9F"/>
              <w:right w:val="nil"/>
            </w:tcBorders>
            <w:shd w:val="clear" w:color="auto" w:fill="auto"/>
            <w:noWrap/>
            <w:vAlign w:val="bottom"/>
          </w:tcPr>
          <w:p w14:paraId="382574FD" w14:textId="5E315D18" w:rsidR="00907A78" w:rsidRPr="00AC713D" w:rsidRDefault="00907A78" w:rsidP="00907A78">
            <w:pPr>
              <w:spacing w:before="0" w:beforeAutospacing="0" w:after="0" w:afterAutospacing="0"/>
              <w:ind w:firstLineChars="100" w:firstLine="200"/>
              <w:jc w:val="right"/>
              <w:rPr>
                <w:rFonts w:cs="Arial"/>
                <w:sz w:val="20"/>
                <w:szCs w:val="20"/>
              </w:rPr>
            </w:pPr>
            <w:r>
              <w:rPr>
                <w:rFonts w:cs="Arial"/>
                <w:sz w:val="20"/>
                <w:szCs w:val="20"/>
              </w:rPr>
              <w:t>-292 250</w:t>
            </w:r>
          </w:p>
        </w:tc>
        <w:tc>
          <w:tcPr>
            <w:tcW w:w="709" w:type="pct"/>
            <w:tcBorders>
              <w:top w:val="nil"/>
              <w:left w:val="nil"/>
              <w:bottom w:val="single" w:sz="4" w:space="0" w:color="9C9D9F"/>
              <w:right w:val="nil"/>
            </w:tcBorders>
            <w:shd w:val="clear" w:color="auto" w:fill="auto"/>
            <w:noWrap/>
            <w:vAlign w:val="bottom"/>
          </w:tcPr>
          <w:p w14:paraId="1005E1E8" w14:textId="26CD3FFB" w:rsidR="00907A78" w:rsidRPr="00AC713D" w:rsidRDefault="00907A78" w:rsidP="00907A78">
            <w:pPr>
              <w:spacing w:before="0" w:beforeAutospacing="0" w:after="0" w:afterAutospacing="0"/>
              <w:ind w:firstLineChars="100" w:firstLine="200"/>
              <w:jc w:val="right"/>
              <w:rPr>
                <w:rFonts w:cs="Arial"/>
                <w:sz w:val="20"/>
                <w:szCs w:val="20"/>
              </w:rPr>
            </w:pPr>
            <w:r>
              <w:rPr>
                <w:rFonts w:cs="Arial"/>
                <w:sz w:val="20"/>
                <w:szCs w:val="20"/>
              </w:rPr>
              <w:t>15,7%</w:t>
            </w:r>
          </w:p>
        </w:tc>
      </w:tr>
      <w:tr w:rsidR="00907A78" w:rsidRPr="00AC713D" w14:paraId="6F201DF2" w14:textId="77777777" w:rsidTr="002C4FFF">
        <w:trPr>
          <w:trHeight w:val="255"/>
        </w:trPr>
        <w:tc>
          <w:tcPr>
            <w:tcW w:w="2689" w:type="pct"/>
            <w:tcBorders>
              <w:top w:val="nil"/>
              <w:left w:val="nil"/>
              <w:bottom w:val="single" w:sz="4" w:space="0" w:color="9C9D9F"/>
              <w:right w:val="nil"/>
            </w:tcBorders>
            <w:shd w:val="clear" w:color="auto" w:fill="auto"/>
            <w:noWrap/>
            <w:vAlign w:val="bottom"/>
            <w:hideMark/>
          </w:tcPr>
          <w:p w14:paraId="555BFF27" w14:textId="77777777" w:rsidR="00907A78" w:rsidRPr="00AC713D" w:rsidRDefault="00907A78" w:rsidP="00907A78">
            <w:pPr>
              <w:spacing w:before="0" w:beforeAutospacing="0" w:after="0" w:afterAutospacing="0"/>
              <w:jc w:val="left"/>
              <w:rPr>
                <w:rFonts w:cs="Arial"/>
                <w:b/>
                <w:bCs/>
                <w:sz w:val="20"/>
                <w:szCs w:val="20"/>
              </w:rPr>
            </w:pPr>
            <w:r w:rsidRPr="00AC713D">
              <w:rPr>
                <w:rFonts w:cs="Arial"/>
                <w:b/>
                <w:bCs/>
                <w:sz w:val="20"/>
                <w:szCs w:val="20"/>
              </w:rPr>
              <w:t>Provozní zisk</w:t>
            </w:r>
          </w:p>
        </w:tc>
        <w:tc>
          <w:tcPr>
            <w:tcW w:w="801" w:type="pct"/>
            <w:tcBorders>
              <w:top w:val="nil"/>
              <w:left w:val="nil"/>
              <w:bottom w:val="single" w:sz="4" w:space="0" w:color="9C9D9F"/>
              <w:right w:val="nil"/>
            </w:tcBorders>
            <w:shd w:val="clear" w:color="auto" w:fill="auto"/>
            <w:noWrap/>
            <w:vAlign w:val="bottom"/>
            <w:hideMark/>
          </w:tcPr>
          <w:p w14:paraId="45585289" w14:textId="45F8B9DC" w:rsidR="00907A78" w:rsidRPr="00AC713D" w:rsidRDefault="00907A78" w:rsidP="00907A78">
            <w:pPr>
              <w:spacing w:before="0" w:beforeAutospacing="0" w:after="0" w:afterAutospacing="0"/>
              <w:ind w:firstLineChars="100" w:firstLine="201"/>
              <w:jc w:val="right"/>
              <w:rPr>
                <w:rFonts w:cs="Arial"/>
                <w:b/>
                <w:bCs/>
                <w:sz w:val="20"/>
                <w:szCs w:val="20"/>
              </w:rPr>
            </w:pPr>
            <w:r w:rsidRPr="00AC713D">
              <w:rPr>
                <w:rFonts w:cs="Arial"/>
                <w:b/>
                <w:bCs/>
                <w:sz w:val="20"/>
                <w:szCs w:val="20"/>
              </w:rPr>
              <w:t>353 215</w:t>
            </w:r>
          </w:p>
        </w:tc>
        <w:tc>
          <w:tcPr>
            <w:tcW w:w="801" w:type="pct"/>
            <w:tcBorders>
              <w:top w:val="nil"/>
              <w:left w:val="nil"/>
              <w:bottom w:val="single" w:sz="4" w:space="0" w:color="9C9D9F"/>
              <w:right w:val="nil"/>
            </w:tcBorders>
            <w:shd w:val="clear" w:color="auto" w:fill="auto"/>
            <w:noWrap/>
            <w:vAlign w:val="bottom"/>
          </w:tcPr>
          <w:p w14:paraId="686323AA" w14:textId="2B1C46FE" w:rsidR="00907A78" w:rsidRPr="00AC713D" w:rsidRDefault="00907A78" w:rsidP="00907A78">
            <w:pPr>
              <w:spacing w:before="0" w:beforeAutospacing="0" w:after="0" w:afterAutospacing="0"/>
              <w:ind w:firstLineChars="100" w:firstLine="201"/>
              <w:jc w:val="right"/>
              <w:rPr>
                <w:rFonts w:cs="Arial"/>
                <w:b/>
                <w:bCs/>
                <w:sz w:val="20"/>
                <w:szCs w:val="20"/>
              </w:rPr>
            </w:pPr>
            <w:r>
              <w:rPr>
                <w:rFonts w:cs="Arial"/>
                <w:b/>
                <w:bCs/>
                <w:sz w:val="20"/>
                <w:szCs w:val="20"/>
              </w:rPr>
              <w:t>367 302</w:t>
            </w:r>
          </w:p>
        </w:tc>
        <w:tc>
          <w:tcPr>
            <w:tcW w:w="709" w:type="pct"/>
            <w:tcBorders>
              <w:top w:val="nil"/>
              <w:left w:val="nil"/>
              <w:bottom w:val="single" w:sz="4" w:space="0" w:color="9C9D9F"/>
              <w:right w:val="nil"/>
            </w:tcBorders>
            <w:shd w:val="clear" w:color="auto" w:fill="auto"/>
            <w:noWrap/>
            <w:vAlign w:val="bottom"/>
          </w:tcPr>
          <w:p w14:paraId="3E5C1F0D" w14:textId="76DC4AB3" w:rsidR="00907A78" w:rsidRPr="00AC713D" w:rsidRDefault="00907A78" w:rsidP="00907A78">
            <w:pPr>
              <w:spacing w:before="0" w:beforeAutospacing="0" w:after="0" w:afterAutospacing="0"/>
              <w:ind w:firstLineChars="100" w:firstLine="201"/>
              <w:jc w:val="right"/>
              <w:rPr>
                <w:rFonts w:cs="Arial"/>
                <w:b/>
                <w:bCs/>
                <w:sz w:val="20"/>
                <w:szCs w:val="20"/>
              </w:rPr>
            </w:pPr>
            <w:r>
              <w:rPr>
                <w:rFonts w:cs="Arial"/>
                <w:b/>
                <w:bCs/>
                <w:sz w:val="20"/>
                <w:szCs w:val="20"/>
              </w:rPr>
              <w:t>4,0%</w:t>
            </w:r>
          </w:p>
        </w:tc>
      </w:tr>
      <w:tr w:rsidR="00907A78" w:rsidRPr="00AC713D" w14:paraId="40A2EBC2" w14:textId="77777777" w:rsidTr="00A634D5">
        <w:trPr>
          <w:trHeight w:val="255"/>
        </w:trPr>
        <w:tc>
          <w:tcPr>
            <w:tcW w:w="2689" w:type="pct"/>
            <w:tcBorders>
              <w:top w:val="nil"/>
              <w:left w:val="nil"/>
              <w:right w:val="nil"/>
            </w:tcBorders>
            <w:shd w:val="clear" w:color="auto" w:fill="auto"/>
            <w:noWrap/>
            <w:vAlign w:val="bottom"/>
            <w:hideMark/>
          </w:tcPr>
          <w:p w14:paraId="3E29C027" w14:textId="77777777" w:rsidR="00907A78" w:rsidRPr="00AC713D" w:rsidRDefault="00907A78" w:rsidP="00907A78">
            <w:pPr>
              <w:spacing w:before="0" w:beforeAutospacing="0" w:after="0" w:afterAutospacing="0"/>
              <w:ind w:firstLineChars="100" w:firstLine="201"/>
              <w:jc w:val="right"/>
              <w:rPr>
                <w:rFonts w:cs="Arial"/>
                <w:b/>
                <w:bCs/>
                <w:sz w:val="20"/>
                <w:szCs w:val="20"/>
              </w:rPr>
            </w:pPr>
          </w:p>
        </w:tc>
        <w:tc>
          <w:tcPr>
            <w:tcW w:w="801" w:type="pct"/>
            <w:tcBorders>
              <w:top w:val="nil"/>
              <w:left w:val="nil"/>
              <w:right w:val="nil"/>
            </w:tcBorders>
            <w:shd w:val="clear" w:color="auto" w:fill="auto"/>
            <w:noWrap/>
            <w:vAlign w:val="bottom"/>
            <w:hideMark/>
          </w:tcPr>
          <w:p w14:paraId="62BD8017" w14:textId="77777777" w:rsidR="00907A78" w:rsidRPr="00AC713D" w:rsidRDefault="00907A78" w:rsidP="00907A78">
            <w:pPr>
              <w:spacing w:before="0" w:beforeAutospacing="0" w:after="0" w:afterAutospacing="0"/>
              <w:jc w:val="left"/>
              <w:rPr>
                <w:rFonts w:cs="Arial"/>
                <w:sz w:val="20"/>
                <w:szCs w:val="20"/>
              </w:rPr>
            </w:pPr>
          </w:p>
        </w:tc>
        <w:tc>
          <w:tcPr>
            <w:tcW w:w="801" w:type="pct"/>
            <w:tcBorders>
              <w:top w:val="nil"/>
              <w:left w:val="nil"/>
              <w:right w:val="nil"/>
            </w:tcBorders>
            <w:shd w:val="clear" w:color="auto" w:fill="auto"/>
            <w:noWrap/>
            <w:vAlign w:val="bottom"/>
          </w:tcPr>
          <w:p w14:paraId="1AE7F016" w14:textId="77777777" w:rsidR="00907A78" w:rsidRPr="00AC713D" w:rsidRDefault="00907A78" w:rsidP="00907A78">
            <w:pPr>
              <w:spacing w:before="0" w:beforeAutospacing="0" w:after="0" w:afterAutospacing="0"/>
              <w:ind w:firstLineChars="100" w:firstLine="200"/>
              <w:jc w:val="right"/>
              <w:rPr>
                <w:rFonts w:cs="Arial"/>
                <w:sz w:val="20"/>
                <w:szCs w:val="20"/>
              </w:rPr>
            </w:pPr>
          </w:p>
        </w:tc>
        <w:tc>
          <w:tcPr>
            <w:tcW w:w="709" w:type="pct"/>
            <w:tcBorders>
              <w:top w:val="nil"/>
              <w:left w:val="nil"/>
              <w:right w:val="nil"/>
            </w:tcBorders>
            <w:shd w:val="clear" w:color="auto" w:fill="auto"/>
            <w:noWrap/>
            <w:vAlign w:val="bottom"/>
          </w:tcPr>
          <w:p w14:paraId="4EF24DE3" w14:textId="77777777" w:rsidR="00907A78" w:rsidRPr="00AC713D" w:rsidRDefault="00907A78" w:rsidP="00907A78">
            <w:pPr>
              <w:spacing w:before="0" w:beforeAutospacing="0" w:after="0" w:afterAutospacing="0"/>
              <w:ind w:firstLineChars="100" w:firstLine="200"/>
              <w:jc w:val="right"/>
              <w:rPr>
                <w:rFonts w:cs="Arial"/>
                <w:sz w:val="20"/>
                <w:szCs w:val="20"/>
              </w:rPr>
            </w:pPr>
          </w:p>
        </w:tc>
      </w:tr>
      <w:tr w:rsidR="00907A78" w:rsidRPr="00AC713D" w14:paraId="244BE9AD" w14:textId="77777777" w:rsidTr="00A634D5">
        <w:trPr>
          <w:trHeight w:val="255"/>
        </w:trPr>
        <w:tc>
          <w:tcPr>
            <w:tcW w:w="2689" w:type="pct"/>
            <w:tcBorders>
              <w:top w:val="nil"/>
              <w:left w:val="nil"/>
              <w:bottom w:val="single" w:sz="4" w:space="0" w:color="9C9D9F"/>
              <w:right w:val="nil"/>
            </w:tcBorders>
            <w:shd w:val="clear" w:color="auto" w:fill="auto"/>
            <w:noWrap/>
            <w:vAlign w:val="bottom"/>
            <w:hideMark/>
          </w:tcPr>
          <w:p w14:paraId="453B59B4" w14:textId="796BF2D6" w:rsidR="00907A78" w:rsidRPr="00AC713D" w:rsidRDefault="00907A78" w:rsidP="00907A78">
            <w:pPr>
              <w:spacing w:before="0" w:beforeAutospacing="0" w:after="0" w:afterAutospacing="0"/>
              <w:jc w:val="left"/>
              <w:rPr>
                <w:rFonts w:cs="Arial"/>
                <w:sz w:val="20"/>
                <w:szCs w:val="20"/>
              </w:rPr>
            </w:pPr>
            <w:r w:rsidRPr="00AC713D">
              <w:rPr>
                <w:rFonts w:cs="Arial"/>
                <w:sz w:val="20"/>
                <w:szCs w:val="20"/>
              </w:rPr>
              <w:t>Kurzové zisky a ostatní finanční výnosy</w:t>
            </w:r>
            <w:r>
              <w:rPr>
                <w:rFonts w:cs="Arial"/>
                <w:sz w:val="20"/>
                <w:szCs w:val="20"/>
              </w:rPr>
              <w:t>{náklady) netto</w:t>
            </w:r>
          </w:p>
        </w:tc>
        <w:tc>
          <w:tcPr>
            <w:tcW w:w="801" w:type="pct"/>
            <w:tcBorders>
              <w:top w:val="nil"/>
              <w:left w:val="nil"/>
              <w:bottom w:val="single" w:sz="4" w:space="0" w:color="9C9D9F"/>
              <w:right w:val="nil"/>
            </w:tcBorders>
            <w:shd w:val="clear" w:color="auto" w:fill="auto"/>
            <w:noWrap/>
            <w:vAlign w:val="bottom"/>
            <w:hideMark/>
          </w:tcPr>
          <w:p w14:paraId="10ED1B45" w14:textId="6F8E0F26" w:rsidR="00907A78" w:rsidRPr="00AC713D" w:rsidRDefault="00907A78" w:rsidP="00907A78">
            <w:pPr>
              <w:spacing w:before="0" w:beforeAutospacing="0" w:after="0" w:afterAutospacing="0"/>
              <w:ind w:firstLineChars="100" w:firstLine="200"/>
              <w:jc w:val="right"/>
              <w:rPr>
                <w:rFonts w:cs="Arial"/>
                <w:sz w:val="20"/>
                <w:szCs w:val="20"/>
              </w:rPr>
            </w:pPr>
            <w:r>
              <w:rPr>
                <w:rFonts w:cs="Arial"/>
                <w:color w:val="000000"/>
                <w:sz w:val="20"/>
                <w:szCs w:val="20"/>
              </w:rPr>
              <w:t>22 437</w:t>
            </w:r>
          </w:p>
        </w:tc>
        <w:tc>
          <w:tcPr>
            <w:tcW w:w="801" w:type="pct"/>
            <w:tcBorders>
              <w:top w:val="nil"/>
              <w:left w:val="nil"/>
              <w:bottom w:val="single" w:sz="4" w:space="0" w:color="9C9D9F"/>
              <w:right w:val="nil"/>
            </w:tcBorders>
            <w:shd w:val="clear" w:color="auto" w:fill="auto"/>
            <w:noWrap/>
            <w:vAlign w:val="bottom"/>
          </w:tcPr>
          <w:p w14:paraId="733BE77A" w14:textId="7E2B3A98" w:rsidR="00907A78" w:rsidRPr="00AC713D" w:rsidRDefault="00907A78" w:rsidP="00907A78">
            <w:pPr>
              <w:spacing w:before="0" w:beforeAutospacing="0" w:after="0" w:afterAutospacing="0"/>
              <w:ind w:firstLineChars="100" w:firstLine="200"/>
              <w:jc w:val="right"/>
              <w:rPr>
                <w:rFonts w:cs="Arial"/>
                <w:sz w:val="20"/>
                <w:szCs w:val="20"/>
              </w:rPr>
            </w:pPr>
            <w:r>
              <w:rPr>
                <w:rFonts w:cs="Arial"/>
                <w:color w:val="000000"/>
                <w:sz w:val="20"/>
                <w:szCs w:val="20"/>
              </w:rPr>
              <w:t>-242 282</w:t>
            </w:r>
          </w:p>
        </w:tc>
        <w:tc>
          <w:tcPr>
            <w:tcW w:w="709" w:type="pct"/>
            <w:tcBorders>
              <w:top w:val="nil"/>
              <w:left w:val="nil"/>
              <w:bottom w:val="single" w:sz="4" w:space="0" w:color="9C9D9F"/>
              <w:right w:val="nil"/>
            </w:tcBorders>
            <w:shd w:val="clear" w:color="auto" w:fill="auto"/>
            <w:noWrap/>
            <w:vAlign w:val="bottom"/>
          </w:tcPr>
          <w:p w14:paraId="5C2C231D" w14:textId="0488CB82" w:rsidR="00907A78" w:rsidRPr="00AC713D" w:rsidRDefault="00907A78" w:rsidP="00907A78">
            <w:pPr>
              <w:spacing w:before="0" w:beforeAutospacing="0" w:after="0" w:afterAutospacing="0"/>
              <w:ind w:firstLineChars="100" w:firstLine="200"/>
              <w:jc w:val="right"/>
              <w:rPr>
                <w:rFonts w:cs="Arial"/>
                <w:sz w:val="20"/>
                <w:szCs w:val="20"/>
              </w:rPr>
            </w:pPr>
            <w:r>
              <w:rPr>
                <w:rFonts w:cs="Arial"/>
                <w:sz w:val="20"/>
                <w:szCs w:val="20"/>
              </w:rPr>
              <w:t>n/a</w:t>
            </w:r>
          </w:p>
        </w:tc>
      </w:tr>
      <w:tr w:rsidR="00907A78" w:rsidRPr="00AC713D" w14:paraId="1C1C672F" w14:textId="77777777" w:rsidTr="00A634D5">
        <w:trPr>
          <w:trHeight w:val="255"/>
        </w:trPr>
        <w:tc>
          <w:tcPr>
            <w:tcW w:w="2689" w:type="pct"/>
            <w:tcBorders>
              <w:top w:val="single" w:sz="4" w:space="0" w:color="9C9D9F"/>
              <w:left w:val="nil"/>
              <w:bottom w:val="single" w:sz="4" w:space="0" w:color="9C9D9F"/>
              <w:right w:val="nil"/>
            </w:tcBorders>
            <w:shd w:val="clear" w:color="auto" w:fill="auto"/>
            <w:noWrap/>
            <w:vAlign w:val="bottom"/>
            <w:hideMark/>
          </w:tcPr>
          <w:p w14:paraId="100DD33E" w14:textId="1EE097D2" w:rsidR="00907A78" w:rsidRPr="00AC713D" w:rsidRDefault="00907A78" w:rsidP="00907A78">
            <w:pPr>
              <w:spacing w:before="0" w:beforeAutospacing="0" w:after="0" w:afterAutospacing="0"/>
              <w:jc w:val="left"/>
              <w:rPr>
                <w:rFonts w:cs="Arial"/>
                <w:sz w:val="20"/>
                <w:szCs w:val="20"/>
              </w:rPr>
            </w:pPr>
            <w:r w:rsidRPr="00AC713D">
              <w:rPr>
                <w:rFonts w:cs="Arial"/>
                <w:sz w:val="20"/>
                <w:szCs w:val="20"/>
              </w:rPr>
              <w:t>Úrokové výnosy</w:t>
            </w:r>
            <w:r>
              <w:rPr>
                <w:rFonts w:cs="Arial"/>
                <w:sz w:val="20"/>
                <w:szCs w:val="20"/>
              </w:rPr>
              <w:t>/(náklady) netto</w:t>
            </w:r>
          </w:p>
        </w:tc>
        <w:tc>
          <w:tcPr>
            <w:tcW w:w="801" w:type="pct"/>
            <w:tcBorders>
              <w:top w:val="single" w:sz="4" w:space="0" w:color="9C9D9F"/>
              <w:left w:val="nil"/>
              <w:bottom w:val="single" w:sz="4" w:space="0" w:color="9C9D9F"/>
              <w:right w:val="nil"/>
            </w:tcBorders>
            <w:shd w:val="clear" w:color="auto" w:fill="auto"/>
            <w:noWrap/>
            <w:vAlign w:val="bottom"/>
            <w:hideMark/>
          </w:tcPr>
          <w:p w14:paraId="7D6DA5F8" w14:textId="37E829A7" w:rsidR="00907A78" w:rsidRPr="00AC713D" w:rsidRDefault="00907A78" w:rsidP="00907A78">
            <w:pPr>
              <w:spacing w:before="0" w:beforeAutospacing="0" w:after="0" w:afterAutospacing="0"/>
              <w:ind w:firstLineChars="100" w:firstLine="200"/>
              <w:jc w:val="right"/>
              <w:rPr>
                <w:rFonts w:cs="Arial"/>
                <w:sz w:val="20"/>
                <w:szCs w:val="20"/>
              </w:rPr>
            </w:pPr>
            <w:r>
              <w:rPr>
                <w:rFonts w:cs="Arial"/>
                <w:color w:val="000000"/>
                <w:sz w:val="20"/>
                <w:szCs w:val="20"/>
              </w:rPr>
              <w:t>-55 306</w:t>
            </w:r>
          </w:p>
        </w:tc>
        <w:tc>
          <w:tcPr>
            <w:tcW w:w="801" w:type="pct"/>
            <w:tcBorders>
              <w:top w:val="single" w:sz="4" w:space="0" w:color="9C9D9F"/>
              <w:left w:val="nil"/>
              <w:bottom w:val="single" w:sz="4" w:space="0" w:color="9C9D9F"/>
              <w:right w:val="nil"/>
            </w:tcBorders>
            <w:shd w:val="clear" w:color="auto" w:fill="auto"/>
            <w:noWrap/>
            <w:vAlign w:val="bottom"/>
          </w:tcPr>
          <w:p w14:paraId="728520FD" w14:textId="5F364EF3" w:rsidR="00907A78" w:rsidRPr="00AC713D" w:rsidRDefault="00907A78" w:rsidP="00907A78">
            <w:pPr>
              <w:spacing w:before="0" w:beforeAutospacing="0" w:after="0" w:afterAutospacing="0"/>
              <w:ind w:firstLineChars="100" w:firstLine="200"/>
              <w:jc w:val="right"/>
              <w:rPr>
                <w:rFonts w:cs="Arial"/>
                <w:sz w:val="20"/>
                <w:szCs w:val="20"/>
              </w:rPr>
            </w:pPr>
            <w:r>
              <w:rPr>
                <w:rFonts w:cs="Arial"/>
                <w:color w:val="000000"/>
                <w:sz w:val="20"/>
                <w:szCs w:val="20"/>
              </w:rPr>
              <w:t>-61 099</w:t>
            </w:r>
          </w:p>
        </w:tc>
        <w:tc>
          <w:tcPr>
            <w:tcW w:w="709" w:type="pct"/>
            <w:tcBorders>
              <w:top w:val="single" w:sz="4" w:space="0" w:color="9C9D9F"/>
              <w:left w:val="nil"/>
              <w:bottom w:val="single" w:sz="4" w:space="0" w:color="9C9D9F"/>
              <w:right w:val="nil"/>
            </w:tcBorders>
            <w:shd w:val="clear" w:color="auto" w:fill="auto"/>
            <w:noWrap/>
            <w:vAlign w:val="bottom"/>
          </w:tcPr>
          <w:p w14:paraId="784F7A86" w14:textId="5905CE86" w:rsidR="00907A78" w:rsidRPr="00AC713D" w:rsidRDefault="00907A78" w:rsidP="00907A78">
            <w:pPr>
              <w:spacing w:before="0" w:beforeAutospacing="0" w:after="0" w:afterAutospacing="0"/>
              <w:ind w:firstLineChars="100" w:firstLine="200"/>
              <w:jc w:val="right"/>
              <w:rPr>
                <w:rFonts w:cs="Arial"/>
                <w:sz w:val="20"/>
                <w:szCs w:val="20"/>
              </w:rPr>
            </w:pPr>
            <w:r>
              <w:rPr>
                <w:rFonts w:cs="Arial"/>
                <w:sz w:val="20"/>
                <w:szCs w:val="20"/>
              </w:rPr>
              <w:t>10%</w:t>
            </w:r>
          </w:p>
        </w:tc>
      </w:tr>
      <w:tr w:rsidR="00907A78" w:rsidRPr="00AC713D" w14:paraId="3ECB3408" w14:textId="77777777" w:rsidTr="00A634D5">
        <w:trPr>
          <w:trHeight w:val="255"/>
        </w:trPr>
        <w:tc>
          <w:tcPr>
            <w:tcW w:w="2689" w:type="pct"/>
            <w:tcBorders>
              <w:top w:val="single" w:sz="4" w:space="0" w:color="9C9D9F"/>
              <w:left w:val="nil"/>
              <w:bottom w:val="single" w:sz="4" w:space="0" w:color="9C9D9F"/>
              <w:right w:val="nil"/>
            </w:tcBorders>
            <w:shd w:val="clear" w:color="auto" w:fill="auto"/>
            <w:noWrap/>
            <w:vAlign w:val="bottom"/>
            <w:hideMark/>
          </w:tcPr>
          <w:p w14:paraId="3E53F7D7" w14:textId="77777777" w:rsidR="00907A78" w:rsidRPr="00AC713D" w:rsidRDefault="00907A78" w:rsidP="00907A78">
            <w:pPr>
              <w:spacing w:before="0" w:beforeAutospacing="0" w:after="0" w:afterAutospacing="0"/>
              <w:jc w:val="left"/>
              <w:rPr>
                <w:rFonts w:cs="Arial"/>
                <w:b/>
                <w:bCs/>
                <w:sz w:val="20"/>
                <w:szCs w:val="20"/>
              </w:rPr>
            </w:pPr>
            <w:r w:rsidRPr="00AC713D">
              <w:rPr>
                <w:rFonts w:cs="Arial"/>
                <w:b/>
                <w:bCs/>
                <w:sz w:val="20"/>
                <w:szCs w:val="20"/>
              </w:rPr>
              <w:t>Zisk před zdaněním</w:t>
            </w:r>
          </w:p>
        </w:tc>
        <w:tc>
          <w:tcPr>
            <w:tcW w:w="801" w:type="pct"/>
            <w:tcBorders>
              <w:top w:val="single" w:sz="4" w:space="0" w:color="9C9D9F"/>
              <w:left w:val="nil"/>
              <w:bottom w:val="single" w:sz="4" w:space="0" w:color="9C9D9F"/>
              <w:right w:val="nil"/>
            </w:tcBorders>
            <w:shd w:val="clear" w:color="auto" w:fill="auto"/>
            <w:noWrap/>
            <w:vAlign w:val="bottom"/>
            <w:hideMark/>
          </w:tcPr>
          <w:p w14:paraId="3657CFCB" w14:textId="4C9D4387" w:rsidR="00907A78" w:rsidRPr="00AC713D" w:rsidRDefault="00907A78" w:rsidP="00907A78">
            <w:pPr>
              <w:spacing w:before="0" w:beforeAutospacing="0" w:after="0" w:afterAutospacing="0"/>
              <w:ind w:firstLineChars="100" w:firstLine="201"/>
              <w:jc w:val="right"/>
              <w:rPr>
                <w:rFonts w:cs="Arial"/>
                <w:b/>
                <w:bCs/>
                <w:sz w:val="20"/>
                <w:szCs w:val="20"/>
              </w:rPr>
            </w:pPr>
            <w:r w:rsidRPr="00AC713D">
              <w:rPr>
                <w:rFonts w:cs="Arial"/>
                <w:b/>
                <w:bCs/>
                <w:sz w:val="20"/>
                <w:szCs w:val="20"/>
              </w:rPr>
              <w:t>320 347</w:t>
            </w:r>
          </w:p>
        </w:tc>
        <w:tc>
          <w:tcPr>
            <w:tcW w:w="801" w:type="pct"/>
            <w:tcBorders>
              <w:top w:val="single" w:sz="4" w:space="0" w:color="9C9D9F"/>
              <w:left w:val="nil"/>
              <w:bottom w:val="single" w:sz="4" w:space="0" w:color="9C9D9F"/>
              <w:right w:val="nil"/>
            </w:tcBorders>
            <w:shd w:val="clear" w:color="auto" w:fill="auto"/>
            <w:noWrap/>
            <w:vAlign w:val="bottom"/>
          </w:tcPr>
          <w:p w14:paraId="61CB6CAB" w14:textId="20BBB58E" w:rsidR="00907A78" w:rsidRPr="00AC713D" w:rsidRDefault="00907A78" w:rsidP="00907A78">
            <w:pPr>
              <w:spacing w:before="0" w:beforeAutospacing="0" w:after="0" w:afterAutospacing="0"/>
              <w:ind w:firstLineChars="100" w:firstLine="201"/>
              <w:jc w:val="right"/>
              <w:rPr>
                <w:rFonts w:cs="Arial"/>
                <w:b/>
                <w:bCs/>
                <w:sz w:val="20"/>
                <w:szCs w:val="20"/>
              </w:rPr>
            </w:pPr>
            <w:r>
              <w:rPr>
                <w:rFonts w:cs="Arial"/>
                <w:b/>
                <w:bCs/>
                <w:sz w:val="20"/>
                <w:szCs w:val="20"/>
              </w:rPr>
              <w:t>63 922</w:t>
            </w:r>
          </w:p>
        </w:tc>
        <w:tc>
          <w:tcPr>
            <w:tcW w:w="709" w:type="pct"/>
            <w:tcBorders>
              <w:top w:val="single" w:sz="4" w:space="0" w:color="9C9D9F"/>
              <w:left w:val="nil"/>
              <w:bottom w:val="single" w:sz="4" w:space="0" w:color="9C9D9F"/>
              <w:right w:val="nil"/>
            </w:tcBorders>
            <w:shd w:val="clear" w:color="auto" w:fill="auto"/>
            <w:noWrap/>
            <w:vAlign w:val="bottom"/>
          </w:tcPr>
          <w:p w14:paraId="5414D8BA" w14:textId="5C30D23D" w:rsidR="00907A78" w:rsidRPr="00AC713D" w:rsidRDefault="00907A78" w:rsidP="00907A78">
            <w:pPr>
              <w:spacing w:before="0" w:beforeAutospacing="0" w:after="0" w:afterAutospacing="0"/>
              <w:ind w:firstLineChars="100" w:firstLine="201"/>
              <w:jc w:val="right"/>
              <w:rPr>
                <w:rFonts w:cs="Arial"/>
                <w:b/>
                <w:bCs/>
                <w:sz w:val="20"/>
                <w:szCs w:val="20"/>
              </w:rPr>
            </w:pPr>
            <w:r>
              <w:rPr>
                <w:rFonts w:cs="Arial"/>
                <w:b/>
                <w:bCs/>
                <w:sz w:val="20"/>
                <w:szCs w:val="20"/>
              </w:rPr>
              <w:t>-80,0%</w:t>
            </w:r>
          </w:p>
        </w:tc>
      </w:tr>
      <w:tr w:rsidR="00907A78" w:rsidRPr="00AC713D" w14:paraId="5C1AF4F0" w14:textId="77777777" w:rsidTr="002C4FFF">
        <w:trPr>
          <w:trHeight w:val="255"/>
        </w:trPr>
        <w:tc>
          <w:tcPr>
            <w:tcW w:w="2689" w:type="pct"/>
            <w:tcBorders>
              <w:top w:val="nil"/>
              <w:left w:val="nil"/>
              <w:bottom w:val="nil"/>
              <w:right w:val="nil"/>
            </w:tcBorders>
            <w:shd w:val="clear" w:color="auto" w:fill="auto"/>
            <w:noWrap/>
            <w:vAlign w:val="bottom"/>
            <w:hideMark/>
          </w:tcPr>
          <w:p w14:paraId="1497F64B" w14:textId="77777777" w:rsidR="00907A78" w:rsidRPr="00AC713D" w:rsidRDefault="00907A78" w:rsidP="00907A78">
            <w:pPr>
              <w:spacing w:before="0" w:beforeAutospacing="0" w:after="0" w:afterAutospacing="0"/>
              <w:ind w:firstLineChars="100" w:firstLine="201"/>
              <w:jc w:val="right"/>
              <w:rPr>
                <w:rFonts w:cs="Arial"/>
                <w:b/>
                <w:bCs/>
                <w:sz w:val="20"/>
                <w:szCs w:val="20"/>
              </w:rPr>
            </w:pPr>
          </w:p>
        </w:tc>
        <w:tc>
          <w:tcPr>
            <w:tcW w:w="801" w:type="pct"/>
            <w:tcBorders>
              <w:top w:val="nil"/>
              <w:left w:val="nil"/>
              <w:bottom w:val="nil"/>
              <w:right w:val="nil"/>
            </w:tcBorders>
            <w:shd w:val="clear" w:color="auto" w:fill="auto"/>
            <w:noWrap/>
            <w:vAlign w:val="bottom"/>
            <w:hideMark/>
          </w:tcPr>
          <w:p w14:paraId="24D0577E" w14:textId="77777777" w:rsidR="00907A78" w:rsidRPr="00AC713D" w:rsidRDefault="00907A78" w:rsidP="00907A78">
            <w:pPr>
              <w:spacing w:before="0" w:beforeAutospacing="0" w:after="0" w:afterAutospacing="0"/>
              <w:jc w:val="left"/>
              <w:rPr>
                <w:rFonts w:cs="Arial"/>
                <w:sz w:val="20"/>
                <w:szCs w:val="20"/>
              </w:rPr>
            </w:pPr>
          </w:p>
        </w:tc>
        <w:tc>
          <w:tcPr>
            <w:tcW w:w="801" w:type="pct"/>
            <w:tcBorders>
              <w:top w:val="nil"/>
              <w:left w:val="nil"/>
              <w:bottom w:val="nil"/>
              <w:right w:val="nil"/>
            </w:tcBorders>
            <w:shd w:val="clear" w:color="auto" w:fill="auto"/>
            <w:noWrap/>
            <w:vAlign w:val="bottom"/>
          </w:tcPr>
          <w:p w14:paraId="67B931BF" w14:textId="77777777" w:rsidR="00907A78" w:rsidRPr="00AC713D" w:rsidRDefault="00907A78" w:rsidP="00907A78">
            <w:pPr>
              <w:spacing w:before="0" w:beforeAutospacing="0" w:after="0" w:afterAutospacing="0"/>
              <w:ind w:firstLineChars="100" w:firstLine="200"/>
              <w:jc w:val="right"/>
              <w:rPr>
                <w:rFonts w:cs="Arial"/>
                <w:sz w:val="20"/>
                <w:szCs w:val="20"/>
              </w:rPr>
            </w:pPr>
          </w:p>
        </w:tc>
        <w:tc>
          <w:tcPr>
            <w:tcW w:w="709" w:type="pct"/>
            <w:tcBorders>
              <w:top w:val="nil"/>
              <w:left w:val="nil"/>
              <w:bottom w:val="nil"/>
              <w:right w:val="nil"/>
            </w:tcBorders>
            <w:shd w:val="clear" w:color="auto" w:fill="auto"/>
            <w:noWrap/>
            <w:vAlign w:val="bottom"/>
          </w:tcPr>
          <w:p w14:paraId="46B65656" w14:textId="77777777" w:rsidR="00907A78" w:rsidRPr="00AC713D" w:rsidRDefault="00907A78" w:rsidP="00907A78">
            <w:pPr>
              <w:spacing w:before="0" w:beforeAutospacing="0" w:after="0" w:afterAutospacing="0"/>
              <w:ind w:firstLineChars="100" w:firstLine="200"/>
              <w:jc w:val="right"/>
              <w:rPr>
                <w:rFonts w:cs="Arial"/>
                <w:sz w:val="20"/>
                <w:szCs w:val="20"/>
              </w:rPr>
            </w:pPr>
          </w:p>
        </w:tc>
      </w:tr>
      <w:tr w:rsidR="00907A78" w:rsidRPr="00AC713D" w14:paraId="3F4424DC" w14:textId="77777777" w:rsidTr="002C4FFF">
        <w:trPr>
          <w:trHeight w:val="255"/>
        </w:trPr>
        <w:tc>
          <w:tcPr>
            <w:tcW w:w="2689" w:type="pct"/>
            <w:tcBorders>
              <w:top w:val="nil"/>
              <w:left w:val="nil"/>
              <w:bottom w:val="single" w:sz="4" w:space="0" w:color="9C9D9F"/>
              <w:right w:val="nil"/>
            </w:tcBorders>
            <w:shd w:val="clear" w:color="auto" w:fill="auto"/>
            <w:noWrap/>
            <w:vAlign w:val="bottom"/>
            <w:hideMark/>
          </w:tcPr>
          <w:p w14:paraId="113370E9" w14:textId="77777777" w:rsidR="00907A78" w:rsidRPr="00AC713D" w:rsidRDefault="00907A78" w:rsidP="00907A78">
            <w:pPr>
              <w:spacing w:before="0" w:beforeAutospacing="0" w:after="0" w:afterAutospacing="0"/>
              <w:jc w:val="left"/>
              <w:rPr>
                <w:rFonts w:cs="Arial"/>
                <w:sz w:val="20"/>
                <w:szCs w:val="20"/>
              </w:rPr>
            </w:pPr>
            <w:r w:rsidRPr="00AC713D">
              <w:rPr>
                <w:rFonts w:cs="Arial"/>
                <w:sz w:val="20"/>
                <w:szCs w:val="20"/>
              </w:rPr>
              <w:t>Daň z příjmů</w:t>
            </w:r>
          </w:p>
        </w:tc>
        <w:tc>
          <w:tcPr>
            <w:tcW w:w="801" w:type="pct"/>
            <w:tcBorders>
              <w:top w:val="nil"/>
              <w:left w:val="nil"/>
              <w:bottom w:val="single" w:sz="4" w:space="0" w:color="9C9D9F"/>
              <w:right w:val="nil"/>
            </w:tcBorders>
            <w:shd w:val="clear" w:color="auto" w:fill="auto"/>
            <w:noWrap/>
            <w:vAlign w:val="bottom"/>
            <w:hideMark/>
          </w:tcPr>
          <w:p w14:paraId="7D7F4653" w14:textId="20FE4D8A" w:rsidR="00907A78" w:rsidRPr="00AC713D" w:rsidRDefault="00907A78" w:rsidP="00907A78">
            <w:pPr>
              <w:spacing w:before="0" w:beforeAutospacing="0" w:after="0" w:afterAutospacing="0"/>
              <w:ind w:firstLineChars="100" w:firstLine="200"/>
              <w:jc w:val="right"/>
              <w:rPr>
                <w:rFonts w:cs="Arial"/>
                <w:sz w:val="20"/>
                <w:szCs w:val="20"/>
              </w:rPr>
            </w:pPr>
            <w:r w:rsidRPr="00AC713D">
              <w:rPr>
                <w:rFonts w:cs="Arial"/>
                <w:sz w:val="20"/>
                <w:szCs w:val="20"/>
              </w:rPr>
              <w:t>-73 501</w:t>
            </w:r>
          </w:p>
        </w:tc>
        <w:tc>
          <w:tcPr>
            <w:tcW w:w="801" w:type="pct"/>
            <w:tcBorders>
              <w:top w:val="nil"/>
              <w:left w:val="nil"/>
              <w:bottom w:val="single" w:sz="4" w:space="0" w:color="9C9D9F"/>
              <w:right w:val="nil"/>
            </w:tcBorders>
            <w:shd w:val="clear" w:color="auto" w:fill="auto"/>
            <w:noWrap/>
            <w:vAlign w:val="bottom"/>
          </w:tcPr>
          <w:p w14:paraId="16B9DA63" w14:textId="57FE5D34" w:rsidR="00907A78" w:rsidRPr="00AC713D" w:rsidRDefault="00907A78" w:rsidP="00907A78">
            <w:pPr>
              <w:spacing w:before="0" w:beforeAutospacing="0" w:after="0" w:afterAutospacing="0"/>
              <w:ind w:firstLineChars="100" w:firstLine="200"/>
              <w:jc w:val="right"/>
              <w:rPr>
                <w:rFonts w:cs="Arial"/>
                <w:sz w:val="20"/>
                <w:szCs w:val="20"/>
              </w:rPr>
            </w:pPr>
            <w:r>
              <w:rPr>
                <w:rFonts w:cs="Arial"/>
                <w:sz w:val="20"/>
                <w:szCs w:val="20"/>
              </w:rPr>
              <w:t>-54 607</w:t>
            </w:r>
          </w:p>
        </w:tc>
        <w:tc>
          <w:tcPr>
            <w:tcW w:w="709" w:type="pct"/>
            <w:tcBorders>
              <w:top w:val="nil"/>
              <w:left w:val="nil"/>
              <w:bottom w:val="single" w:sz="4" w:space="0" w:color="9C9D9F"/>
              <w:right w:val="nil"/>
            </w:tcBorders>
            <w:shd w:val="clear" w:color="auto" w:fill="auto"/>
            <w:noWrap/>
            <w:vAlign w:val="bottom"/>
          </w:tcPr>
          <w:p w14:paraId="72FBC1BB" w14:textId="544A7512" w:rsidR="00907A78" w:rsidRPr="00AC713D" w:rsidRDefault="00907A78" w:rsidP="00907A78">
            <w:pPr>
              <w:spacing w:before="0" w:beforeAutospacing="0" w:after="0" w:afterAutospacing="0"/>
              <w:ind w:firstLineChars="100" w:firstLine="200"/>
              <w:jc w:val="right"/>
              <w:rPr>
                <w:rFonts w:cs="Arial"/>
                <w:sz w:val="20"/>
                <w:szCs w:val="20"/>
              </w:rPr>
            </w:pPr>
            <w:r>
              <w:rPr>
                <w:rFonts w:cs="Arial"/>
                <w:sz w:val="20"/>
                <w:szCs w:val="20"/>
              </w:rPr>
              <w:t>-25,7%</w:t>
            </w:r>
          </w:p>
        </w:tc>
      </w:tr>
      <w:tr w:rsidR="00907A78" w:rsidRPr="00AC713D" w14:paraId="4C79E1FE" w14:textId="77777777" w:rsidTr="002C4FFF">
        <w:trPr>
          <w:trHeight w:val="255"/>
        </w:trPr>
        <w:tc>
          <w:tcPr>
            <w:tcW w:w="2689" w:type="pct"/>
            <w:tcBorders>
              <w:top w:val="nil"/>
              <w:left w:val="nil"/>
              <w:bottom w:val="single" w:sz="4" w:space="0" w:color="9C9D9F"/>
              <w:right w:val="nil"/>
            </w:tcBorders>
            <w:shd w:val="clear" w:color="auto" w:fill="auto"/>
            <w:noWrap/>
            <w:vAlign w:val="bottom"/>
            <w:hideMark/>
          </w:tcPr>
          <w:p w14:paraId="3446E490" w14:textId="77777777" w:rsidR="00907A78" w:rsidRPr="00AC713D" w:rsidRDefault="00907A78" w:rsidP="00907A78">
            <w:pPr>
              <w:spacing w:before="0" w:beforeAutospacing="0" w:after="0" w:afterAutospacing="0"/>
              <w:jc w:val="left"/>
              <w:rPr>
                <w:rFonts w:cs="Arial"/>
                <w:b/>
                <w:bCs/>
                <w:sz w:val="20"/>
                <w:szCs w:val="20"/>
              </w:rPr>
            </w:pPr>
            <w:r w:rsidRPr="00AC713D">
              <w:rPr>
                <w:rFonts w:cs="Arial"/>
                <w:b/>
                <w:bCs/>
                <w:sz w:val="20"/>
                <w:szCs w:val="20"/>
              </w:rPr>
              <w:t>Čistý zisk po zdanění</w:t>
            </w:r>
          </w:p>
        </w:tc>
        <w:tc>
          <w:tcPr>
            <w:tcW w:w="801" w:type="pct"/>
            <w:tcBorders>
              <w:top w:val="nil"/>
              <w:left w:val="nil"/>
              <w:bottom w:val="single" w:sz="4" w:space="0" w:color="9C9D9F"/>
              <w:right w:val="nil"/>
            </w:tcBorders>
            <w:shd w:val="clear" w:color="auto" w:fill="auto"/>
            <w:noWrap/>
            <w:vAlign w:val="bottom"/>
            <w:hideMark/>
          </w:tcPr>
          <w:p w14:paraId="1EBB3D95" w14:textId="065E6B21" w:rsidR="00907A78" w:rsidRPr="00AC713D" w:rsidRDefault="00907A78" w:rsidP="00907A78">
            <w:pPr>
              <w:spacing w:before="0" w:beforeAutospacing="0" w:after="0" w:afterAutospacing="0"/>
              <w:ind w:firstLineChars="100" w:firstLine="201"/>
              <w:jc w:val="right"/>
              <w:rPr>
                <w:rFonts w:cs="Arial"/>
                <w:b/>
                <w:bCs/>
                <w:sz w:val="20"/>
                <w:szCs w:val="20"/>
              </w:rPr>
            </w:pPr>
            <w:r w:rsidRPr="00AC713D">
              <w:rPr>
                <w:rFonts w:cs="Arial"/>
                <w:b/>
                <w:bCs/>
                <w:sz w:val="20"/>
                <w:szCs w:val="20"/>
              </w:rPr>
              <w:t>246 846</w:t>
            </w:r>
          </w:p>
        </w:tc>
        <w:tc>
          <w:tcPr>
            <w:tcW w:w="801" w:type="pct"/>
            <w:tcBorders>
              <w:top w:val="nil"/>
              <w:left w:val="nil"/>
              <w:bottom w:val="single" w:sz="4" w:space="0" w:color="9C9D9F"/>
              <w:right w:val="nil"/>
            </w:tcBorders>
            <w:shd w:val="clear" w:color="auto" w:fill="auto"/>
            <w:noWrap/>
            <w:vAlign w:val="bottom"/>
          </w:tcPr>
          <w:p w14:paraId="10364BBB" w14:textId="477A23EE" w:rsidR="00907A78" w:rsidRPr="00AC713D" w:rsidRDefault="00907A78" w:rsidP="00907A78">
            <w:pPr>
              <w:spacing w:before="0" w:beforeAutospacing="0" w:after="0" w:afterAutospacing="0"/>
              <w:ind w:firstLineChars="100" w:firstLine="201"/>
              <w:jc w:val="right"/>
              <w:rPr>
                <w:rFonts w:cs="Arial"/>
                <w:b/>
                <w:bCs/>
                <w:sz w:val="20"/>
                <w:szCs w:val="20"/>
              </w:rPr>
            </w:pPr>
            <w:r>
              <w:rPr>
                <w:rFonts w:cs="Arial"/>
                <w:b/>
                <w:bCs/>
                <w:sz w:val="20"/>
                <w:szCs w:val="20"/>
              </w:rPr>
              <w:t>9 315</w:t>
            </w:r>
          </w:p>
        </w:tc>
        <w:tc>
          <w:tcPr>
            <w:tcW w:w="709" w:type="pct"/>
            <w:tcBorders>
              <w:top w:val="nil"/>
              <w:left w:val="nil"/>
              <w:bottom w:val="single" w:sz="4" w:space="0" w:color="9C9D9F"/>
              <w:right w:val="nil"/>
            </w:tcBorders>
            <w:shd w:val="clear" w:color="auto" w:fill="auto"/>
            <w:noWrap/>
            <w:vAlign w:val="bottom"/>
          </w:tcPr>
          <w:p w14:paraId="0E040D2B" w14:textId="33C14CFC" w:rsidR="00907A78" w:rsidRPr="00AC713D" w:rsidRDefault="00907A78" w:rsidP="00907A78">
            <w:pPr>
              <w:spacing w:before="0" w:beforeAutospacing="0" w:after="0" w:afterAutospacing="0"/>
              <w:ind w:firstLineChars="100" w:firstLine="201"/>
              <w:jc w:val="right"/>
              <w:rPr>
                <w:rFonts w:cs="Arial"/>
                <w:b/>
                <w:bCs/>
                <w:sz w:val="20"/>
                <w:szCs w:val="20"/>
              </w:rPr>
            </w:pPr>
            <w:r>
              <w:rPr>
                <w:rFonts w:cs="Arial"/>
                <w:b/>
                <w:bCs/>
                <w:sz w:val="20"/>
                <w:szCs w:val="20"/>
              </w:rPr>
              <w:t>-96,2%</w:t>
            </w:r>
          </w:p>
        </w:tc>
      </w:tr>
      <w:tr w:rsidR="00907A78" w:rsidRPr="00AC713D" w14:paraId="1A55CF1F" w14:textId="77777777" w:rsidTr="002C4FFF">
        <w:trPr>
          <w:trHeight w:val="255"/>
        </w:trPr>
        <w:tc>
          <w:tcPr>
            <w:tcW w:w="2689" w:type="pct"/>
            <w:tcBorders>
              <w:top w:val="nil"/>
              <w:left w:val="nil"/>
              <w:bottom w:val="nil"/>
              <w:right w:val="nil"/>
            </w:tcBorders>
            <w:shd w:val="clear" w:color="auto" w:fill="auto"/>
            <w:noWrap/>
            <w:vAlign w:val="bottom"/>
            <w:hideMark/>
          </w:tcPr>
          <w:p w14:paraId="7ADFB007" w14:textId="77777777" w:rsidR="00907A78" w:rsidRPr="00AC713D" w:rsidRDefault="00907A78" w:rsidP="00907A78">
            <w:pPr>
              <w:spacing w:before="0" w:beforeAutospacing="0" w:after="0" w:afterAutospacing="0"/>
              <w:ind w:firstLineChars="100" w:firstLine="201"/>
              <w:jc w:val="right"/>
              <w:rPr>
                <w:rFonts w:cs="Arial"/>
                <w:b/>
                <w:bCs/>
                <w:sz w:val="20"/>
                <w:szCs w:val="20"/>
              </w:rPr>
            </w:pPr>
          </w:p>
        </w:tc>
        <w:tc>
          <w:tcPr>
            <w:tcW w:w="801" w:type="pct"/>
            <w:tcBorders>
              <w:top w:val="nil"/>
              <w:left w:val="nil"/>
              <w:bottom w:val="nil"/>
              <w:right w:val="nil"/>
            </w:tcBorders>
            <w:shd w:val="clear" w:color="auto" w:fill="auto"/>
            <w:noWrap/>
            <w:vAlign w:val="bottom"/>
            <w:hideMark/>
          </w:tcPr>
          <w:p w14:paraId="7270E5D1" w14:textId="77777777" w:rsidR="00907A78" w:rsidRPr="00AC713D" w:rsidRDefault="00907A78" w:rsidP="00907A78">
            <w:pPr>
              <w:spacing w:before="0" w:beforeAutospacing="0" w:after="0" w:afterAutospacing="0"/>
              <w:jc w:val="left"/>
              <w:rPr>
                <w:rFonts w:cs="Arial"/>
                <w:sz w:val="20"/>
                <w:szCs w:val="20"/>
              </w:rPr>
            </w:pPr>
          </w:p>
        </w:tc>
        <w:tc>
          <w:tcPr>
            <w:tcW w:w="801" w:type="pct"/>
            <w:tcBorders>
              <w:top w:val="nil"/>
              <w:left w:val="nil"/>
              <w:bottom w:val="nil"/>
              <w:right w:val="nil"/>
            </w:tcBorders>
            <w:shd w:val="clear" w:color="auto" w:fill="auto"/>
            <w:noWrap/>
            <w:vAlign w:val="bottom"/>
          </w:tcPr>
          <w:p w14:paraId="702D64B4" w14:textId="77777777" w:rsidR="00907A78" w:rsidRPr="00AC713D" w:rsidRDefault="00907A78" w:rsidP="00907A78">
            <w:pPr>
              <w:spacing w:before="0" w:beforeAutospacing="0" w:after="0" w:afterAutospacing="0"/>
              <w:ind w:firstLineChars="100" w:firstLine="200"/>
              <w:jc w:val="right"/>
              <w:rPr>
                <w:rFonts w:cs="Arial"/>
                <w:sz w:val="20"/>
                <w:szCs w:val="20"/>
              </w:rPr>
            </w:pPr>
          </w:p>
        </w:tc>
        <w:tc>
          <w:tcPr>
            <w:tcW w:w="709" w:type="pct"/>
            <w:tcBorders>
              <w:top w:val="nil"/>
              <w:left w:val="nil"/>
              <w:bottom w:val="nil"/>
              <w:right w:val="nil"/>
            </w:tcBorders>
            <w:shd w:val="clear" w:color="auto" w:fill="auto"/>
            <w:noWrap/>
            <w:vAlign w:val="bottom"/>
          </w:tcPr>
          <w:p w14:paraId="187D4F3E" w14:textId="77777777" w:rsidR="00907A78" w:rsidRPr="00AC713D" w:rsidRDefault="00907A78" w:rsidP="00907A78">
            <w:pPr>
              <w:spacing w:before="0" w:beforeAutospacing="0" w:after="0" w:afterAutospacing="0"/>
              <w:ind w:firstLineChars="100" w:firstLine="200"/>
              <w:jc w:val="right"/>
              <w:rPr>
                <w:rFonts w:cs="Arial"/>
                <w:sz w:val="20"/>
                <w:szCs w:val="20"/>
              </w:rPr>
            </w:pPr>
          </w:p>
        </w:tc>
      </w:tr>
      <w:tr w:rsidR="00907A78" w:rsidRPr="00AC713D" w14:paraId="2B41F0C8" w14:textId="77777777" w:rsidTr="002C4FFF">
        <w:trPr>
          <w:trHeight w:val="255"/>
        </w:trPr>
        <w:tc>
          <w:tcPr>
            <w:tcW w:w="2689" w:type="pct"/>
            <w:tcBorders>
              <w:top w:val="nil"/>
              <w:left w:val="nil"/>
              <w:bottom w:val="nil"/>
              <w:right w:val="nil"/>
            </w:tcBorders>
            <w:shd w:val="clear" w:color="000000" w:fill="9C9D9F"/>
            <w:noWrap/>
            <w:vAlign w:val="bottom"/>
            <w:hideMark/>
          </w:tcPr>
          <w:p w14:paraId="68F7AAAE" w14:textId="77777777" w:rsidR="00907A78" w:rsidRPr="00AC713D" w:rsidRDefault="00907A78" w:rsidP="00907A78">
            <w:pPr>
              <w:spacing w:before="0" w:beforeAutospacing="0" w:after="0" w:afterAutospacing="0"/>
              <w:jc w:val="left"/>
              <w:rPr>
                <w:rFonts w:cs="Arial"/>
                <w:b/>
                <w:bCs/>
                <w:sz w:val="20"/>
                <w:szCs w:val="20"/>
              </w:rPr>
            </w:pPr>
            <w:r w:rsidRPr="00AC713D">
              <w:rPr>
                <w:rFonts w:cs="Arial"/>
                <w:b/>
                <w:bCs/>
                <w:sz w:val="20"/>
                <w:szCs w:val="20"/>
              </w:rPr>
              <w:t>Ostatní úplný výsledek</w:t>
            </w:r>
          </w:p>
        </w:tc>
        <w:tc>
          <w:tcPr>
            <w:tcW w:w="801" w:type="pct"/>
            <w:tcBorders>
              <w:top w:val="nil"/>
              <w:left w:val="nil"/>
              <w:bottom w:val="nil"/>
              <w:right w:val="nil"/>
            </w:tcBorders>
            <w:shd w:val="clear" w:color="000000" w:fill="9C9D9F"/>
            <w:noWrap/>
            <w:vAlign w:val="bottom"/>
            <w:hideMark/>
          </w:tcPr>
          <w:p w14:paraId="005BCDED" w14:textId="1962F830" w:rsidR="00907A78" w:rsidRPr="00AC713D" w:rsidRDefault="00907A78" w:rsidP="00907A78">
            <w:pPr>
              <w:spacing w:before="0" w:beforeAutospacing="0" w:after="0" w:afterAutospacing="0"/>
              <w:ind w:firstLineChars="100" w:firstLine="200"/>
              <w:jc w:val="right"/>
              <w:rPr>
                <w:rFonts w:cs="Arial"/>
                <w:sz w:val="20"/>
                <w:szCs w:val="20"/>
              </w:rPr>
            </w:pPr>
            <w:r w:rsidRPr="00AC713D">
              <w:rPr>
                <w:rFonts w:cs="Arial"/>
                <w:sz w:val="20"/>
                <w:szCs w:val="20"/>
              </w:rPr>
              <w:t> </w:t>
            </w:r>
          </w:p>
        </w:tc>
        <w:tc>
          <w:tcPr>
            <w:tcW w:w="801" w:type="pct"/>
            <w:tcBorders>
              <w:top w:val="nil"/>
              <w:left w:val="nil"/>
              <w:bottom w:val="nil"/>
              <w:right w:val="nil"/>
            </w:tcBorders>
            <w:shd w:val="clear" w:color="000000" w:fill="9C9D9F"/>
            <w:noWrap/>
            <w:vAlign w:val="bottom"/>
          </w:tcPr>
          <w:p w14:paraId="5CF7A21C" w14:textId="19B32C20" w:rsidR="00907A78" w:rsidRPr="00AC713D" w:rsidRDefault="00907A78" w:rsidP="00907A78">
            <w:pPr>
              <w:spacing w:before="0" w:beforeAutospacing="0" w:after="0" w:afterAutospacing="0"/>
              <w:ind w:firstLineChars="100" w:firstLine="200"/>
              <w:jc w:val="right"/>
              <w:rPr>
                <w:rFonts w:cs="Arial"/>
                <w:sz w:val="20"/>
                <w:szCs w:val="20"/>
              </w:rPr>
            </w:pPr>
            <w:r>
              <w:rPr>
                <w:rFonts w:cs="Arial"/>
                <w:sz w:val="20"/>
                <w:szCs w:val="20"/>
              </w:rPr>
              <w:t> </w:t>
            </w:r>
          </w:p>
        </w:tc>
        <w:tc>
          <w:tcPr>
            <w:tcW w:w="709" w:type="pct"/>
            <w:tcBorders>
              <w:top w:val="nil"/>
              <w:left w:val="nil"/>
              <w:bottom w:val="nil"/>
              <w:right w:val="nil"/>
            </w:tcBorders>
            <w:shd w:val="clear" w:color="000000" w:fill="9C9D9F"/>
            <w:noWrap/>
            <w:vAlign w:val="bottom"/>
          </w:tcPr>
          <w:p w14:paraId="2313020A" w14:textId="09B09388" w:rsidR="00907A78" w:rsidRPr="00AC713D" w:rsidRDefault="00907A78" w:rsidP="00907A78">
            <w:pPr>
              <w:spacing w:before="0" w:beforeAutospacing="0" w:after="0" w:afterAutospacing="0"/>
              <w:ind w:firstLineChars="100" w:firstLine="200"/>
              <w:jc w:val="right"/>
              <w:rPr>
                <w:rFonts w:cs="Arial"/>
                <w:sz w:val="20"/>
                <w:szCs w:val="20"/>
              </w:rPr>
            </w:pPr>
            <w:r>
              <w:rPr>
                <w:rFonts w:cs="Arial"/>
                <w:sz w:val="20"/>
                <w:szCs w:val="20"/>
              </w:rPr>
              <w:t> </w:t>
            </w:r>
          </w:p>
        </w:tc>
      </w:tr>
      <w:tr w:rsidR="00200BC7" w:rsidRPr="00AC713D" w14:paraId="741FD657" w14:textId="77777777" w:rsidTr="002C4FFF">
        <w:trPr>
          <w:trHeight w:val="255"/>
        </w:trPr>
        <w:tc>
          <w:tcPr>
            <w:tcW w:w="2689" w:type="pct"/>
            <w:tcBorders>
              <w:top w:val="nil"/>
              <w:left w:val="nil"/>
              <w:bottom w:val="single" w:sz="4" w:space="0" w:color="9C9D9F"/>
              <w:right w:val="nil"/>
            </w:tcBorders>
            <w:shd w:val="clear" w:color="auto" w:fill="auto"/>
            <w:noWrap/>
            <w:vAlign w:val="bottom"/>
            <w:hideMark/>
          </w:tcPr>
          <w:p w14:paraId="1BBEF682" w14:textId="77777777" w:rsidR="00200BC7" w:rsidRPr="00AC713D" w:rsidRDefault="00200BC7" w:rsidP="00200BC7">
            <w:pPr>
              <w:spacing w:before="0" w:beforeAutospacing="0" w:after="0" w:afterAutospacing="0"/>
              <w:jc w:val="left"/>
              <w:rPr>
                <w:rFonts w:cs="Arial"/>
                <w:sz w:val="20"/>
                <w:szCs w:val="20"/>
              </w:rPr>
            </w:pPr>
            <w:r w:rsidRPr="00AC713D">
              <w:rPr>
                <w:rFonts w:cs="Arial"/>
                <w:sz w:val="20"/>
                <w:szCs w:val="20"/>
              </w:rPr>
              <w:t>Čistý zisk ze zajištění peněžních toků</w:t>
            </w:r>
          </w:p>
        </w:tc>
        <w:tc>
          <w:tcPr>
            <w:tcW w:w="801" w:type="pct"/>
            <w:tcBorders>
              <w:top w:val="nil"/>
              <w:left w:val="nil"/>
              <w:bottom w:val="single" w:sz="4" w:space="0" w:color="9C9D9F"/>
              <w:right w:val="nil"/>
            </w:tcBorders>
            <w:shd w:val="clear" w:color="auto" w:fill="auto"/>
            <w:noWrap/>
            <w:vAlign w:val="bottom"/>
            <w:hideMark/>
          </w:tcPr>
          <w:p w14:paraId="0803A881" w14:textId="71473E0D" w:rsidR="00200BC7" w:rsidRPr="00AC713D" w:rsidRDefault="00200BC7" w:rsidP="00200BC7">
            <w:pPr>
              <w:spacing w:before="0" w:beforeAutospacing="0" w:after="0" w:afterAutospacing="0"/>
              <w:ind w:firstLineChars="100" w:firstLine="200"/>
              <w:jc w:val="right"/>
              <w:rPr>
                <w:rFonts w:cs="Arial"/>
                <w:sz w:val="20"/>
                <w:szCs w:val="20"/>
              </w:rPr>
            </w:pPr>
            <w:r w:rsidRPr="00AC713D">
              <w:rPr>
                <w:rFonts w:cs="Arial"/>
                <w:sz w:val="20"/>
                <w:szCs w:val="20"/>
              </w:rPr>
              <w:t>-9 763</w:t>
            </w:r>
          </w:p>
        </w:tc>
        <w:tc>
          <w:tcPr>
            <w:tcW w:w="801" w:type="pct"/>
            <w:tcBorders>
              <w:top w:val="nil"/>
              <w:left w:val="nil"/>
              <w:bottom w:val="single" w:sz="4" w:space="0" w:color="9C9D9F"/>
              <w:right w:val="nil"/>
            </w:tcBorders>
            <w:shd w:val="clear" w:color="auto" w:fill="auto"/>
            <w:noWrap/>
            <w:vAlign w:val="bottom"/>
          </w:tcPr>
          <w:p w14:paraId="0F641716" w14:textId="1A25C2F2" w:rsidR="00200BC7" w:rsidRPr="00AC713D" w:rsidRDefault="00200BC7" w:rsidP="00200BC7">
            <w:pPr>
              <w:spacing w:before="0" w:beforeAutospacing="0" w:after="0" w:afterAutospacing="0"/>
              <w:ind w:firstLineChars="100" w:firstLine="200"/>
              <w:jc w:val="right"/>
              <w:rPr>
                <w:rFonts w:cs="Arial"/>
                <w:sz w:val="20"/>
                <w:szCs w:val="20"/>
              </w:rPr>
            </w:pPr>
            <w:r>
              <w:rPr>
                <w:rFonts w:cs="Arial"/>
                <w:sz w:val="20"/>
                <w:szCs w:val="20"/>
              </w:rPr>
              <w:t>-53 047</w:t>
            </w:r>
          </w:p>
        </w:tc>
        <w:tc>
          <w:tcPr>
            <w:tcW w:w="709" w:type="pct"/>
            <w:tcBorders>
              <w:top w:val="nil"/>
              <w:left w:val="nil"/>
              <w:bottom w:val="single" w:sz="4" w:space="0" w:color="9C9D9F"/>
              <w:right w:val="nil"/>
            </w:tcBorders>
            <w:shd w:val="clear" w:color="auto" w:fill="auto"/>
            <w:noWrap/>
            <w:vAlign w:val="bottom"/>
          </w:tcPr>
          <w:p w14:paraId="0DD65FA4" w14:textId="67FB8927" w:rsidR="00200BC7" w:rsidRPr="00AC713D" w:rsidRDefault="00200BC7" w:rsidP="00200BC7">
            <w:pPr>
              <w:spacing w:before="0" w:beforeAutospacing="0" w:after="0" w:afterAutospacing="0"/>
              <w:ind w:firstLineChars="100" w:firstLine="200"/>
              <w:jc w:val="right"/>
              <w:rPr>
                <w:rFonts w:cs="Arial"/>
                <w:sz w:val="20"/>
                <w:szCs w:val="20"/>
              </w:rPr>
            </w:pPr>
            <w:r>
              <w:rPr>
                <w:rFonts w:cs="Arial"/>
                <w:sz w:val="20"/>
                <w:szCs w:val="20"/>
              </w:rPr>
              <w:t>443,4%</w:t>
            </w:r>
          </w:p>
        </w:tc>
      </w:tr>
      <w:tr w:rsidR="00200BC7" w:rsidRPr="00AC713D" w14:paraId="02CBC908" w14:textId="77777777" w:rsidTr="002C4FFF">
        <w:trPr>
          <w:trHeight w:val="255"/>
        </w:trPr>
        <w:tc>
          <w:tcPr>
            <w:tcW w:w="2689" w:type="pct"/>
            <w:tcBorders>
              <w:top w:val="nil"/>
              <w:left w:val="nil"/>
              <w:bottom w:val="single" w:sz="4" w:space="0" w:color="9C9D9F"/>
              <w:right w:val="nil"/>
            </w:tcBorders>
            <w:shd w:val="clear" w:color="auto" w:fill="auto"/>
            <w:noWrap/>
            <w:vAlign w:val="bottom"/>
            <w:hideMark/>
          </w:tcPr>
          <w:p w14:paraId="046EB78D" w14:textId="77777777" w:rsidR="00200BC7" w:rsidRPr="00AC713D" w:rsidRDefault="00200BC7" w:rsidP="00200BC7">
            <w:pPr>
              <w:spacing w:before="0" w:beforeAutospacing="0" w:after="0" w:afterAutospacing="0"/>
              <w:jc w:val="left"/>
              <w:rPr>
                <w:rFonts w:cs="Arial"/>
                <w:sz w:val="20"/>
                <w:szCs w:val="20"/>
              </w:rPr>
            </w:pPr>
            <w:r w:rsidRPr="00AC713D">
              <w:rPr>
                <w:rFonts w:cs="Arial"/>
                <w:sz w:val="20"/>
                <w:szCs w:val="20"/>
              </w:rPr>
              <w:t>Kurzové rozdíly vzniklé z přepočtu</w:t>
            </w:r>
          </w:p>
        </w:tc>
        <w:tc>
          <w:tcPr>
            <w:tcW w:w="801" w:type="pct"/>
            <w:tcBorders>
              <w:top w:val="nil"/>
              <w:left w:val="nil"/>
              <w:bottom w:val="single" w:sz="4" w:space="0" w:color="9C9D9F"/>
              <w:right w:val="nil"/>
            </w:tcBorders>
            <w:shd w:val="clear" w:color="auto" w:fill="auto"/>
            <w:noWrap/>
            <w:vAlign w:val="bottom"/>
            <w:hideMark/>
          </w:tcPr>
          <w:p w14:paraId="26845E16" w14:textId="70EFC87C" w:rsidR="00200BC7" w:rsidRPr="00AC713D" w:rsidRDefault="00200BC7" w:rsidP="00200BC7">
            <w:pPr>
              <w:spacing w:before="0" w:beforeAutospacing="0" w:after="0" w:afterAutospacing="0"/>
              <w:ind w:firstLineChars="100" w:firstLine="200"/>
              <w:jc w:val="right"/>
              <w:rPr>
                <w:rFonts w:cs="Arial"/>
                <w:sz w:val="20"/>
                <w:szCs w:val="20"/>
              </w:rPr>
            </w:pPr>
            <w:r w:rsidRPr="00AC713D">
              <w:rPr>
                <w:rFonts w:cs="Arial"/>
                <w:sz w:val="20"/>
                <w:szCs w:val="20"/>
              </w:rPr>
              <w:t>-184</w:t>
            </w:r>
          </w:p>
        </w:tc>
        <w:tc>
          <w:tcPr>
            <w:tcW w:w="801" w:type="pct"/>
            <w:tcBorders>
              <w:top w:val="nil"/>
              <w:left w:val="nil"/>
              <w:bottom w:val="single" w:sz="4" w:space="0" w:color="9C9D9F"/>
              <w:right w:val="nil"/>
            </w:tcBorders>
            <w:shd w:val="clear" w:color="auto" w:fill="auto"/>
            <w:noWrap/>
            <w:vAlign w:val="bottom"/>
          </w:tcPr>
          <w:p w14:paraId="3F1A3EDE" w14:textId="47D8CE89" w:rsidR="00200BC7" w:rsidRPr="00AC713D" w:rsidRDefault="00200BC7" w:rsidP="00200BC7">
            <w:pPr>
              <w:spacing w:before="0" w:beforeAutospacing="0" w:after="0" w:afterAutospacing="0"/>
              <w:ind w:firstLineChars="100" w:firstLine="200"/>
              <w:jc w:val="right"/>
              <w:rPr>
                <w:rFonts w:cs="Arial"/>
                <w:sz w:val="20"/>
                <w:szCs w:val="20"/>
              </w:rPr>
            </w:pPr>
            <w:r>
              <w:rPr>
                <w:rFonts w:cs="Arial"/>
                <w:sz w:val="20"/>
                <w:szCs w:val="20"/>
              </w:rPr>
              <w:t>49 202</w:t>
            </w:r>
          </w:p>
        </w:tc>
        <w:tc>
          <w:tcPr>
            <w:tcW w:w="709" w:type="pct"/>
            <w:tcBorders>
              <w:top w:val="nil"/>
              <w:left w:val="nil"/>
              <w:bottom w:val="single" w:sz="4" w:space="0" w:color="9C9D9F"/>
              <w:right w:val="nil"/>
            </w:tcBorders>
            <w:shd w:val="clear" w:color="auto" w:fill="auto"/>
            <w:noWrap/>
            <w:vAlign w:val="bottom"/>
          </w:tcPr>
          <w:p w14:paraId="6CEAB26C" w14:textId="15C66FAD" w:rsidR="00200BC7" w:rsidRPr="00AC713D" w:rsidRDefault="00200BC7" w:rsidP="00200BC7">
            <w:pPr>
              <w:spacing w:before="0" w:beforeAutospacing="0" w:after="0" w:afterAutospacing="0"/>
              <w:ind w:firstLineChars="100" w:firstLine="200"/>
              <w:jc w:val="right"/>
              <w:rPr>
                <w:rFonts w:cs="Arial"/>
                <w:sz w:val="20"/>
                <w:szCs w:val="20"/>
              </w:rPr>
            </w:pPr>
            <w:r>
              <w:rPr>
                <w:rFonts w:cs="Arial"/>
                <w:sz w:val="20"/>
                <w:szCs w:val="20"/>
              </w:rPr>
              <w:t>n/a</w:t>
            </w:r>
          </w:p>
        </w:tc>
      </w:tr>
      <w:tr w:rsidR="00200BC7" w:rsidRPr="00AC713D" w14:paraId="30D8419E" w14:textId="77777777" w:rsidTr="002C4FFF">
        <w:trPr>
          <w:trHeight w:val="255"/>
        </w:trPr>
        <w:tc>
          <w:tcPr>
            <w:tcW w:w="2689" w:type="pct"/>
            <w:tcBorders>
              <w:top w:val="nil"/>
              <w:left w:val="nil"/>
              <w:bottom w:val="single" w:sz="4" w:space="0" w:color="9C9D9F"/>
              <w:right w:val="nil"/>
            </w:tcBorders>
            <w:shd w:val="clear" w:color="auto" w:fill="auto"/>
            <w:noWrap/>
            <w:vAlign w:val="bottom"/>
            <w:hideMark/>
          </w:tcPr>
          <w:p w14:paraId="5EEBEBAE" w14:textId="77777777" w:rsidR="00200BC7" w:rsidRPr="00AC713D" w:rsidRDefault="00200BC7" w:rsidP="00200BC7">
            <w:pPr>
              <w:spacing w:before="0" w:beforeAutospacing="0" w:after="0" w:afterAutospacing="0"/>
              <w:jc w:val="left"/>
              <w:rPr>
                <w:rFonts w:cs="Arial"/>
                <w:b/>
                <w:bCs/>
                <w:sz w:val="20"/>
                <w:szCs w:val="20"/>
              </w:rPr>
            </w:pPr>
            <w:r w:rsidRPr="00AC713D">
              <w:rPr>
                <w:rFonts w:cs="Arial"/>
                <w:b/>
                <w:bCs/>
                <w:sz w:val="20"/>
                <w:szCs w:val="20"/>
              </w:rPr>
              <w:t>Úplný výsledek za období celkem</w:t>
            </w:r>
          </w:p>
        </w:tc>
        <w:tc>
          <w:tcPr>
            <w:tcW w:w="801" w:type="pct"/>
            <w:tcBorders>
              <w:top w:val="nil"/>
              <w:left w:val="nil"/>
              <w:bottom w:val="single" w:sz="4" w:space="0" w:color="9C9D9F"/>
              <w:right w:val="nil"/>
            </w:tcBorders>
            <w:shd w:val="clear" w:color="auto" w:fill="auto"/>
            <w:noWrap/>
            <w:vAlign w:val="bottom"/>
            <w:hideMark/>
          </w:tcPr>
          <w:p w14:paraId="1BBD5FC3" w14:textId="0C91A05A" w:rsidR="00200BC7" w:rsidRPr="00AC713D" w:rsidRDefault="00200BC7" w:rsidP="00200BC7">
            <w:pPr>
              <w:spacing w:before="0" w:beforeAutospacing="0" w:after="0" w:afterAutospacing="0"/>
              <w:ind w:firstLineChars="100" w:firstLine="201"/>
              <w:jc w:val="right"/>
              <w:rPr>
                <w:rFonts w:cs="Arial"/>
                <w:b/>
                <w:bCs/>
                <w:sz w:val="20"/>
                <w:szCs w:val="20"/>
              </w:rPr>
            </w:pPr>
            <w:r w:rsidRPr="00AC713D">
              <w:rPr>
                <w:rFonts w:cs="Arial"/>
                <w:b/>
                <w:bCs/>
                <w:sz w:val="20"/>
                <w:szCs w:val="20"/>
              </w:rPr>
              <w:t>236 899</w:t>
            </w:r>
          </w:p>
        </w:tc>
        <w:tc>
          <w:tcPr>
            <w:tcW w:w="801" w:type="pct"/>
            <w:tcBorders>
              <w:top w:val="nil"/>
              <w:left w:val="nil"/>
              <w:bottom w:val="single" w:sz="4" w:space="0" w:color="9C9D9F"/>
              <w:right w:val="nil"/>
            </w:tcBorders>
            <w:shd w:val="clear" w:color="auto" w:fill="auto"/>
            <w:noWrap/>
            <w:vAlign w:val="bottom"/>
          </w:tcPr>
          <w:p w14:paraId="4B0F7562" w14:textId="1D2E8E00" w:rsidR="00200BC7" w:rsidRPr="00AC713D" w:rsidRDefault="00200BC7" w:rsidP="00200BC7">
            <w:pPr>
              <w:spacing w:before="0" w:beforeAutospacing="0" w:after="0" w:afterAutospacing="0"/>
              <w:ind w:firstLineChars="100" w:firstLine="201"/>
              <w:jc w:val="right"/>
              <w:rPr>
                <w:rFonts w:cs="Arial"/>
                <w:b/>
                <w:bCs/>
                <w:sz w:val="20"/>
                <w:szCs w:val="20"/>
              </w:rPr>
            </w:pPr>
            <w:r>
              <w:rPr>
                <w:rFonts w:cs="Arial"/>
                <w:b/>
                <w:bCs/>
                <w:sz w:val="20"/>
                <w:szCs w:val="20"/>
              </w:rPr>
              <w:t>5 470</w:t>
            </w:r>
          </w:p>
        </w:tc>
        <w:tc>
          <w:tcPr>
            <w:tcW w:w="709" w:type="pct"/>
            <w:tcBorders>
              <w:top w:val="nil"/>
              <w:left w:val="nil"/>
              <w:bottom w:val="single" w:sz="4" w:space="0" w:color="9C9D9F"/>
              <w:right w:val="nil"/>
            </w:tcBorders>
            <w:shd w:val="clear" w:color="auto" w:fill="auto"/>
            <w:noWrap/>
            <w:vAlign w:val="bottom"/>
          </w:tcPr>
          <w:p w14:paraId="2B171DA0" w14:textId="0D5B0BDB" w:rsidR="00200BC7" w:rsidRPr="00AC713D" w:rsidRDefault="00200BC7" w:rsidP="00200BC7">
            <w:pPr>
              <w:spacing w:before="0" w:beforeAutospacing="0" w:after="0" w:afterAutospacing="0"/>
              <w:ind w:firstLineChars="100" w:firstLine="201"/>
              <w:jc w:val="right"/>
              <w:rPr>
                <w:rFonts w:cs="Arial"/>
                <w:b/>
                <w:bCs/>
                <w:sz w:val="20"/>
                <w:szCs w:val="20"/>
              </w:rPr>
            </w:pPr>
            <w:r>
              <w:rPr>
                <w:rFonts w:cs="Arial"/>
                <w:b/>
                <w:bCs/>
                <w:sz w:val="20"/>
                <w:szCs w:val="20"/>
              </w:rPr>
              <w:t>-97,7%</w:t>
            </w:r>
          </w:p>
        </w:tc>
      </w:tr>
      <w:tr w:rsidR="00907A78" w:rsidRPr="00AC713D" w14:paraId="270404D3" w14:textId="77777777" w:rsidTr="002C4FFF">
        <w:trPr>
          <w:trHeight w:val="255"/>
        </w:trPr>
        <w:tc>
          <w:tcPr>
            <w:tcW w:w="2689" w:type="pct"/>
            <w:tcBorders>
              <w:top w:val="nil"/>
              <w:left w:val="nil"/>
              <w:bottom w:val="nil"/>
              <w:right w:val="nil"/>
            </w:tcBorders>
            <w:shd w:val="clear" w:color="auto" w:fill="auto"/>
            <w:noWrap/>
            <w:vAlign w:val="bottom"/>
            <w:hideMark/>
          </w:tcPr>
          <w:p w14:paraId="735A109A" w14:textId="77777777" w:rsidR="00907A78" w:rsidRPr="00AC713D" w:rsidRDefault="00907A78" w:rsidP="00907A78">
            <w:pPr>
              <w:spacing w:before="0" w:beforeAutospacing="0" w:after="0" w:afterAutospacing="0"/>
              <w:ind w:firstLineChars="100" w:firstLine="201"/>
              <w:jc w:val="right"/>
              <w:rPr>
                <w:rFonts w:cs="Arial"/>
                <w:b/>
                <w:bCs/>
                <w:sz w:val="20"/>
                <w:szCs w:val="20"/>
              </w:rPr>
            </w:pPr>
          </w:p>
        </w:tc>
        <w:tc>
          <w:tcPr>
            <w:tcW w:w="801" w:type="pct"/>
            <w:tcBorders>
              <w:top w:val="nil"/>
              <w:left w:val="nil"/>
              <w:bottom w:val="nil"/>
              <w:right w:val="nil"/>
            </w:tcBorders>
            <w:shd w:val="clear" w:color="auto" w:fill="auto"/>
            <w:noWrap/>
            <w:vAlign w:val="bottom"/>
            <w:hideMark/>
          </w:tcPr>
          <w:p w14:paraId="613BEBB7" w14:textId="77777777" w:rsidR="00907A78" w:rsidRPr="00AC713D" w:rsidRDefault="00907A78" w:rsidP="00907A78">
            <w:pPr>
              <w:spacing w:before="0" w:beforeAutospacing="0" w:after="0" w:afterAutospacing="0"/>
              <w:jc w:val="left"/>
              <w:rPr>
                <w:rFonts w:cs="Arial"/>
                <w:sz w:val="20"/>
                <w:szCs w:val="20"/>
              </w:rPr>
            </w:pPr>
          </w:p>
        </w:tc>
        <w:tc>
          <w:tcPr>
            <w:tcW w:w="801" w:type="pct"/>
            <w:tcBorders>
              <w:top w:val="nil"/>
              <w:left w:val="nil"/>
              <w:bottom w:val="nil"/>
              <w:right w:val="nil"/>
            </w:tcBorders>
            <w:shd w:val="clear" w:color="auto" w:fill="auto"/>
            <w:noWrap/>
            <w:vAlign w:val="bottom"/>
          </w:tcPr>
          <w:p w14:paraId="52CEAA6A" w14:textId="77777777" w:rsidR="00907A78" w:rsidRPr="00AC713D" w:rsidRDefault="00907A78" w:rsidP="00907A78">
            <w:pPr>
              <w:spacing w:before="0" w:beforeAutospacing="0" w:after="0" w:afterAutospacing="0"/>
              <w:ind w:firstLineChars="100" w:firstLine="200"/>
              <w:jc w:val="right"/>
              <w:rPr>
                <w:rFonts w:cs="Arial"/>
                <w:sz w:val="20"/>
                <w:szCs w:val="20"/>
              </w:rPr>
            </w:pPr>
          </w:p>
        </w:tc>
        <w:tc>
          <w:tcPr>
            <w:tcW w:w="709" w:type="pct"/>
            <w:tcBorders>
              <w:top w:val="nil"/>
              <w:left w:val="nil"/>
              <w:bottom w:val="nil"/>
              <w:right w:val="nil"/>
            </w:tcBorders>
            <w:shd w:val="clear" w:color="auto" w:fill="auto"/>
            <w:noWrap/>
            <w:vAlign w:val="bottom"/>
          </w:tcPr>
          <w:p w14:paraId="5D6C83AA" w14:textId="77777777" w:rsidR="00907A78" w:rsidRPr="00AC713D" w:rsidRDefault="00907A78" w:rsidP="00907A78">
            <w:pPr>
              <w:spacing w:before="0" w:beforeAutospacing="0" w:after="0" w:afterAutospacing="0"/>
              <w:ind w:firstLineChars="100" w:firstLine="200"/>
              <w:jc w:val="right"/>
              <w:rPr>
                <w:rFonts w:cs="Arial"/>
                <w:sz w:val="20"/>
                <w:szCs w:val="20"/>
              </w:rPr>
            </w:pPr>
          </w:p>
        </w:tc>
      </w:tr>
      <w:tr w:rsidR="00907A78" w:rsidRPr="00AC713D" w14:paraId="2511F9E8" w14:textId="77777777" w:rsidTr="002C4FFF">
        <w:trPr>
          <w:trHeight w:val="255"/>
        </w:trPr>
        <w:tc>
          <w:tcPr>
            <w:tcW w:w="2689" w:type="pct"/>
            <w:tcBorders>
              <w:top w:val="nil"/>
              <w:left w:val="nil"/>
              <w:bottom w:val="nil"/>
              <w:right w:val="nil"/>
            </w:tcBorders>
            <w:shd w:val="clear" w:color="000000" w:fill="9C9D9F"/>
            <w:noWrap/>
            <w:vAlign w:val="bottom"/>
            <w:hideMark/>
          </w:tcPr>
          <w:p w14:paraId="6039D3FD" w14:textId="77777777" w:rsidR="00907A78" w:rsidRPr="00AC713D" w:rsidRDefault="00907A78" w:rsidP="00907A78">
            <w:pPr>
              <w:spacing w:before="0" w:beforeAutospacing="0" w:after="0" w:afterAutospacing="0"/>
              <w:jc w:val="left"/>
              <w:rPr>
                <w:rFonts w:cs="Arial"/>
                <w:b/>
                <w:bCs/>
                <w:sz w:val="20"/>
                <w:szCs w:val="20"/>
              </w:rPr>
            </w:pPr>
            <w:r w:rsidRPr="00AC713D">
              <w:rPr>
                <w:rFonts w:cs="Arial"/>
                <w:b/>
                <w:bCs/>
                <w:sz w:val="20"/>
                <w:szCs w:val="20"/>
              </w:rPr>
              <w:t>Čistý zisk na akcii</w:t>
            </w:r>
          </w:p>
        </w:tc>
        <w:tc>
          <w:tcPr>
            <w:tcW w:w="801" w:type="pct"/>
            <w:tcBorders>
              <w:top w:val="nil"/>
              <w:left w:val="nil"/>
              <w:bottom w:val="nil"/>
              <w:right w:val="nil"/>
            </w:tcBorders>
            <w:shd w:val="clear" w:color="000000" w:fill="9C9D9F"/>
            <w:noWrap/>
            <w:vAlign w:val="bottom"/>
            <w:hideMark/>
          </w:tcPr>
          <w:p w14:paraId="258679BD" w14:textId="1B5AF50F" w:rsidR="00907A78" w:rsidRPr="00AC713D" w:rsidRDefault="00907A78" w:rsidP="00907A78">
            <w:pPr>
              <w:spacing w:before="0" w:beforeAutospacing="0" w:after="0" w:afterAutospacing="0"/>
              <w:ind w:firstLineChars="100" w:firstLine="200"/>
              <w:jc w:val="right"/>
              <w:rPr>
                <w:rFonts w:cs="Arial"/>
                <w:sz w:val="20"/>
                <w:szCs w:val="20"/>
              </w:rPr>
            </w:pPr>
            <w:r w:rsidRPr="00AC713D">
              <w:rPr>
                <w:rFonts w:cs="Arial"/>
                <w:sz w:val="20"/>
                <w:szCs w:val="20"/>
              </w:rPr>
              <w:t> </w:t>
            </w:r>
          </w:p>
        </w:tc>
        <w:tc>
          <w:tcPr>
            <w:tcW w:w="801" w:type="pct"/>
            <w:tcBorders>
              <w:top w:val="nil"/>
              <w:left w:val="nil"/>
              <w:bottom w:val="nil"/>
              <w:right w:val="nil"/>
            </w:tcBorders>
            <w:shd w:val="clear" w:color="000000" w:fill="9C9D9F"/>
            <w:noWrap/>
            <w:vAlign w:val="bottom"/>
          </w:tcPr>
          <w:p w14:paraId="32F8FF8F" w14:textId="685D8178" w:rsidR="00907A78" w:rsidRPr="00AC713D" w:rsidRDefault="00907A78" w:rsidP="00907A78">
            <w:pPr>
              <w:spacing w:before="0" w:beforeAutospacing="0" w:after="0" w:afterAutospacing="0"/>
              <w:ind w:firstLineChars="100" w:firstLine="200"/>
              <w:jc w:val="right"/>
              <w:rPr>
                <w:rFonts w:cs="Arial"/>
                <w:sz w:val="20"/>
                <w:szCs w:val="20"/>
              </w:rPr>
            </w:pPr>
            <w:r>
              <w:rPr>
                <w:rFonts w:cs="Arial"/>
                <w:sz w:val="20"/>
                <w:szCs w:val="20"/>
              </w:rPr>
              <w:t> </w:t>
            </w:r>
          </w:p>
        </w:tc>
        <w:tc>
          <w:tcPr>
            <w:tcW w:w="709" w:type="pct"/>
            <w:tcBorders>
              <w:top w:val="nil"/>
              <w:left w:val="nil"/>
              <w:bottom w:val="nil"/>
              <w:right w:val="nil"/>
            </w:tcBorders>
            <w:shd w:val="clear" w:color="000000" w:fill="9C9D9F"/>
            <w:noWrap/>
            <w:vAlign w:val="bottom"/>
          </w:tcPr>
          <w:p w14:paraId="1570D7C2" w14:textId="663CC204" w:rsidR="00907A78" w:rsidRPr="00AC713D" w:rsidRDefault="00907A78" w:rsidP="00907A78">
            <w:pPr>
              <w:spacing w:before="0" w:beforeAutospacing="0" w:after="0" w:afterAutospacing="0"/>
              <w:ind w:firstLineChars="100" w:firstLine="200"/>
              <w:jc w:val="right"/>
              <w:rPr>
                <w:rFonts w:cs="Arial"/>
                <w:sz w:val="20"/>
                <w:szCs w:val="20"/>
              </w:rPr>
            </w:pPr>
            <w:r>
              <w:rPr>
                <w:rFonts w:cs="Arial"/>
                <w:sz w:val="20"/>
                <w:szCs w:val="20"/>
              </w:rPr>
              <w:t> </w:t>
            </w:r>
          </w:p>
        </w:tc>
      </w:tr>
      <w:tr w:rsidR="00907A78" w:rsidRPr="00AC713D" w14:paraId="56F96EBD" w14:textId="77777777" w:rsidTr="002C4FFF">
        <w:trPr>
          <w:trHeight w:val="255"/>
        </w:trPr>
        <w:tc>
          <w:tcPr>
            <w:tcW w:w="2689" w:type="pct"/>
            <w:tcBorders>
              <w:top w:val="nil"/>
              <w:left w:val="nil"/>
              <w:bottom w:val="single" w:sz="4" w:space="0" w:color="9C9D9F"/>
              <w:right w:val="nil"/>
            </w:tcBorders>
            <w:shd w:val="clear" w:color="auto" w:fill="auto"/>
            <w:noWrap/>
            <w:vAlign w:val="bottom"/>
            <w:hideMark/>
          </w:tcPr>
          <w:p w14:paraId="3DACF73F" w14:textId="77777777" w:rsidR="00907A78" w:rsidRPr="00AC713D" w:rsidRDefault="00907A78" w:rsidP="00907A78">
            <w:pPr>
              <w:spacing w:before="0" w:beforeAutospacing="0" w:after="0" w:afterAutospacing="0"/>
              <w:jc w:val="left"/>
              <w:rPr>
                <w:rFonts w:cs="Arial"/>
                <w:sz w:val="20"/>
                <w:szCs w:val="20"/>
              </w:rPr>
            </w:pPr>
            <w:r w:rsidRPr="00AC713D">
              <w:rPr>
                <w:rFonts w:cs="Arial"/>
                <w:sz w:val="20"/>
                <w:szCs w:val="20"/>
              </w:rPr>
              <w:t>Základní čistý zisk na akcii (CZK)</w:t>
            </w:r>
          </w:p>
        </w:tc>
        <w:tc>
          <w:tcPr>
            <w:tcW w:w="801" w:type="pct"/>
            <w:tcBorders>
              <w:top w:val="nil"/>
              <w:left w:val="nil"/>
              <w:bottom w:val="single" w:sz="4" w:space="0" w:color="9C9D9F"/>
              <w:right w:val="nil"/>
            </w:tcBorders>
            <w:shd w:val="clear" w:color="auto" w:fill="auto"/>
            <w:noWrap/>
            <w:vAlign w:val="bottom"/>
            <w:hideMark/>
          </w:tcPr>
          <w:p w14:paraId="2F960E0B" w14:textId="1736D5D8" w:rsidR="00907A78" w:rsidRPr="00AC713D" w:rsidRDefault="00907A78" w:rsidP="00907A78">
            <w:pPr>
              <w:spacing w:before="0" w:beforeAutospacing="0" w:after="0" w:afterAutospacing="0"/>
              <w:ind w:firstLineChars="100" w:firstLine="200"/>
              <w:jc w:val="right"/>
              <w:rPr>
                <w:rFonts w:cs="Arial"/>
                <w:sz w:val="20"/>
                <w:szCs w:val="20"/>
              </w:rPr>
            </w:pPr>
            <w:r w:rsidRPr="00AC713D">
              <w:rPr>
                <w:rFonts w:cs="Arial"/>
                <w:sz w:val="20"/>
                <w:szCs w:val="20"/>
              </w:rPr>
              <w:t>28,17</w:t>
            </w:r>
          </w:p>
        </w:tc>
        <w:tc>
          <w:tcPr>
            <w:tcW w:w="801" w:type="pct"/>
            <w:tcBorders>
              <w:top w:val="nil"/>
              <w:left w:val="nil"/>
              <w:bottom w:val="single" w:sz="4" w:space="0" w:color="9C9D9F"/>
              <w:right w:val="nil"/>
            </w:tcBorders>
            <w:shd w:val="clear" w:color="auto" w:fill="auto"/>
            <w:noWrap/>
            <w:vAlign w:val="bottom"/>
          </w:tcPr>
          <w:p w14:paraId="2AA593E3" w14:textId="43EC0319" w:rsidR="00907A78" w:rsidRPr="00AC713D" w:rsidRDefault="00907A78" w:rsidP="00907A78">
            <w:pPr>
              <w:spacing w:before="0" w:beforeAutospacing="0" w:after="0" w:afterAutospacing="0"/>
              <w:ind w:firstLineChars="100" w:firstLine="200"/>
              <w:jc w:val="right"/>
              <w:rPr>
                <w:rFonts w:cs="Arial"/>
                <w:sz w:val="20"/>
                <w:szCs w:val="20"/>
              </w:rPr>
            </w:pPr>
            <w:r>
              <w:rPr>
                <w:rFonts w:cs="Arial"/>
                <w:sz w:val="20"/>
                <w:szCs w:val="20"/>
              </w:rPr>
              <w:t>1,06</w:t>
            </w:r>
          </w:p>
        </w:tc>
        <w:tc>
          <w:tcPr>
            <w:tcW w:w="709" w:type="pct"/>
            <w:tcBorders>
              <w:top w:val="nil"/>
              <w:left w:val="nil"/>
              <w:bottom w:val="single" w:sz="4" w:space="0" w:color="9C9D9F"/>
              <w:right w:val="nil"/>
            </w:tcBorders>
            <w:shd w:val="clear" w:color="auto" w:fill="auto"/>
            <w:noWrap/>
            <w:vAlign w:val="bottom"/>
          </w:tcPr>
          <w:p w14:paraId="2D2747C7" w14:textId="503FA249" w:rsidR="00907A78" w:rsidRPr="00AC713D" w:rsidRDefault="00907A78" w:rsidP="00907A78">
            <w:pPr>
              <w:spacing w:before="0" w:beforeAutospacing="0" w:after="0" w:afterAutospacing="0"/>
              <w:ind w:firstLineChars="100" w:firstLine="200"/>
              <w:jc w:val="right"/>
              <w:rPr>
                <w:rFonts w:cs="Arial"/>
                <w:sz w:val="20"/>
                <w:szCs w:val="20"/>
              </w:rPr>
            </w:pPr>
            <w:r>
              <w:rPr>
                <w:rFonts w:cs="Arial"/>
                <w:sz w:val="20"/>
                <w:szCs w:val="20"/>
              </w:rPr>
              <w:t>-96,2%</w:t>
            </w:r>
          </w:p>
        </w:tc>
      </w:tr>
      <w:tr w:rsidR="00907A78" w:rsidRPr="00AC713D" w14:paraId="042AF1F7" w14:textId="77777777" w:rsidTr="002C4FFF">
        <w:trPr>
          <w:trHeight w:val="255"/>
        </w:trPr>
        <w:tc>
          <w:tcPr>
            <w:tcW w:w="2689" w:type="pct"/>
            <w:tcBorders>
              <w:top w:val="nil"/>
              <w:left w:val="nil"/>
              <w:bottom w:val="single" w:sz="4" w:space="0" w:color="9C9D9F"/>
              <w:right w:val="nil"/>
            </w:tcBorders>
            <w:shd w:val="clear" w:color="auto" w:fill="auto"/>
            <w:noWrap/>
            <w:vAlign w:val="bottom"/>
            <w:hideMark/>
          </w:tcPr>
          <w:p w14:paraId="3A1A3382" w14:textId="77777777" w:rsidR="00907A78" w:rsidRPr="00AC713D" w:rsidRDefault="00907A78" w:rsidP="00907A78">
            <w:pPr>
              <w:spacing w:before="0" w:beforeAutospacing="0" w:after="0" w:afterAutospacing="0"/>
              <w:jc w:val="left"/>
              <w:rPr>
                <w:rFonts w:cs="Arial"/>
                <w:sz w:val="20"/>
                <w:szCs w:val="20"/>
              </w:rPr>
            </w:pPr>
            <w:r w:rsidRPr="00AC713D">
              <w:rPr>
                <w:rFonts w:cs="Arial"/>
                <w:sz w:val="20"/>
                <w:szCs w:val="20"/>
              </w:rPr>
              <w:t>Zředěný čistý zisk na akcii (CZK)</w:t>
            </w:r>
          </w:p>
        </w:tc>
        <w:tc>
          <w:tcPr>
            <w:tcW w:w="801" w:type="pct"/>
            <w:tcBorders>
              <w:top w:val="nil"/>
              <w:left w:val="nil"/>
              <w:bottom w:val="single" w:sz="4" w:space="0" w:color="9C9D9F"/>
              <w:right w:val="nil"/>
            </w:tcBorders>
            <w:shd w:val="clear" w:color="auto" w:fill="auto"/>
            <w:noWrap/>
            <w:vAlign w:val="bottom"/>
            <w:hideMark/>
          </w:tcPr>
          <w:p w14:paraId="1A36DCD1" w14:textId="4F277443" w:rsidR="00907A78" w:rsidRPr="00AC713D" w:rsidRDefault="00907A78" w:rsidP="00907A78">
            <w:pPr>
              <w:spacing w:before="0" w:beforeAutospacing="0" w:after="0" w:afterAutospacing="0"/>
              <w:ind w:firstLineChars="100" w:firstLine="200"/>
              <w:jc w:val="right"/>
              <w:rPr>
                <w:rFonts w:cs="Arial"/>
                <w:sz w:val="20"/>
                <w:szCs w:val="20"/>
              </w:rPr>
            </w:pPr>
            <w:r w:rsidRPr="00AC713D">
              <w:rPr>
                <w:rFonts w:cs="Arial"/>
                <w:sz w:val="20"/>
                <w:szCs w:val="20"/>
              </w:rPr>
              <w:t>28,17</w:t>
            </w:r>
          </w:p>
        </w:tc>
        <w:tc>
          <w:tcPr>
            <w:tcW w:w="801" w:type="pct"/>
            <w:tcBorders>
              <w:top w:val="nil"/>
              <w:left w:val="nil"/>
              <w:bottom w:val="single" w:sz="4" w:space="0" w:color="9C9D9F"/>
              <w:right w:val="nil"/>
            </w:tcBorders>
            <w:shd w:val="clear" w:color="auto" w:fill="auto"/>
            <w:noWrap/>
            <w:vAlign w:val="bottom"/>
          </w:tcPr>
          <w:p w14:paraId="45C2088E" w14:textId="344199F2" w:rsidR="00907A78" w:rsidRPr="00AC713D" w:rsidRDefault="00907A78" w:rsidP="00907A78">
            <w:pPr>
              <w:spacing w:before="0" w:beforeAutospacing="0" w:after="0" w:afterAutospacing="0"/>
              <w:ind w:firstLineChars="100" w:firstLine="200"/>
              <w:jc w:val="right"/>
              <w:rPr>
                <w:rFonts w:cs="Arial"/>
                <w:sz w:val="20"/>
                <w:szCs w:val="20"/>
              </w:rPr>
            </w:pPr>
            <w:r>
              <w:rPr>
                <w:rFonts w:cs="Arial"/>
                <w:sz w:val="20"/>
                <w:szCs w:val="20"/>
              </w:rPr>
              <w:t>1,06</w:t>
            </w:r>
          </w:p>
        </w:tc>
        <w:tc>
          <w:tcPr>
            <w:tcW w:w="709" w:type="pct"/>
            <w:tcBorders>
              <w:top w:val="nil"/>
              <w:left w:val="nil"/>
              <w:bottom w:val="single" w:sz="4" w:space="0" w:color="9C9D9F"/>
              <w:right w:val="nil"/>
            </w:tcBorders>
            <w:shd w:val="clear" w:color="auto" w:fill="auto"/>
            <w:noWrap/>
            <w:vAlign w:val="bottom"/>
          </w:tcPr>
          <w:p w14:paraId="3FCF0621" w14:textId="53BBA112" w:rsidR="00907A78" w:rsidRPr="00AC713D" w:rsidRDefault="00907A78" w:rsidP="00907A78">
            <w:pPr>
              <w:spacing w:before="0" w:beforeAutospacing="0" w:after="0" w:afterAutospacing="0"/>
              <w:ind w:firstLineChars="100" w:firstLine="200"/>
              <w:jc w:val="right"/>
              <w:rPr>
                <w:rFonts w:cs="Arial"/>
                <w:sz w:val="20"/>
                <w:szCs w:val="20"/>
              </w:rPr>
            </w:pPr>
            <w:r>
              <w:rPr>
                <w:rFonts w:cs="Arial"/>
                <w:sz w:val="20"/>
                <w:szCs w:val="20"/>
              </w:rPr>
              <w:t>-96,2%</w:t>
            </w:r>
          </w:p>
        </w:tc>
      </w:tr>
    </w:tbl>
    <w:p w14:paraId="7CC1E67E" w14:textId="77777777" w:rsidR="003810B6" w:rsidRPr="00AC713D" w:rsidRDefault="003810B6" w:rsidP="000C292F">
      <w:pPr>
        <w:rPr>
          <w:rFonts w:cs="Arial"/>
        </w:rPr>
      </w:pPr>
    </w:p>
    <w:p w14:paraId="7025B345" w14:textId="77777777" w:rsidR="003810B6" w:rsidRPr="00AC713D" w:rsidRDefault="003810B6" w:rsidP="00A12AA2">
      <w:pPr>
        <w:rPr>
          <w:rFonts w:cs="Arial"/>
          <w:sz w:val="20"/>
          <w:szCs w:val="20"/>
        </w:rPr>
      </w:pPr>
    </w:p>
    <w:p w14:paraId="4252EF72" w14:textId="141FC46A" w:rsidR="00D40CA6" w:rsidRPr="00AC713D" w:rsidRDefault="00D40CA6" w:rsidP="000C292F">
      <w:pPr>
        <w:rPr>
          <w:rFonts w:cs="Arial"/>
          <w:sz w:val="20"/>
          <w:szCs w:val="20"/>
        </w:rPr>
      </w:pPr>
    </w:p>
    <w:p w14:paraId="69B0738E" w14:textId="77777777" w:rsidR="000C292F" w:rsidRPr="00AC713D" w:rsidRDefault="000C292F" w:rsidP="000C292F">
      <w:pPr>
        <w:rPr>
          <w:rFonts w:cs="Arial"/>
        </w:rPr>
      </w:pPr>
    </w:p>
    <w:p w14:paraId="314DF7DD" w14:textId="77777777" w:rsidR="000C292F" w:rsidRPr="00AC713D" w:rsidRDefault="000C292F" w:rsidP="000C292F">
      <w:pPr>
        <w:spacing w:before="0" w:beforeAutospacing="0" w:after="0" w:afterAutospacing="0"/>
        <w:jc w:val="left"/>
        <w:rPr>
          <w:rFonts w:cs="Arial"/>
          <w:b/>
          <w:bCs/>
          <w:kern w:val="32"/>
          <w:sz w:val="28"/>
          <w:szCs w:val="28"/>
        </w:rPr>
      </w:pPr>
      <w:bookmarkStart w:id="59" w:name="_Toc269139315"/>
      <w:bookmarkStart w:id="60" w:name="_Toc269139316"/>
      <w:bookmarkStart w:id="61" w:name="_Toc269139317"/>
      <w:bookmarkStart w:id="62" w:name="_Toc269139318"/>
      <w:bookmarkStart w:id="63" w:name="_Toc269139319"/>
      <w:bookmarkStart w:id="64" w:name="_Toc269139320"/>
      <w:bookmarkStart w:id="65" w:name="_Toc269139321"/>
      <w:bookmarkStart w:id="66" w:name="_Toc269139322"/>
      <w:bookmarkStart w:id="67" w:name="_Toc269139323"/>
      <w:bookmarkStart w:id="68" w:name="_Toc269111138"/>
      <w:bookmarkStart w:id="69" w:name="_Toc269118411"/>
      <w:bookmarkStart w:id="70" w:name="_Toc269139324"/>
      <w:bookmarkStart w:id="71" w:name="_Toc269111139"/>
      <w:bookmarkStart w:id="72" w:name="_Toc269118412"/>
      <w:bookmarkStart w:id="73" w:name="_Toc269139325"/>
      <w:bookmarkStart w:id="74" w:name="_Toc269295560"/>
      <w:bookmarkStart w:id="75" w:name="_Toc269907499"/>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AC713D">
        <w:rPr>
          <w:rFonts w:cs="Arial"/>
        </w:rPr>
        <w:br w:type="page"/>
      </w:r>
    </w:p>
    <w:p w14:paraId="689F863F" w14:textId="77777777" w:rsidR="000C292F" w:rsidRPr="00AC713D" w:rsidRDefault="000C292F" w:rsidP="000C292F">
      <w:pPr>
        <w:pStyle w:val="Nadpis2"/>
        <w:rPr>
          <w:rFonts w:cs="Arial"/>
        </w:rPr>
      </w:pPr>
      <w:bookmarkStart w:id="76" w:name="_Toc269139327"/>
      <w:bookmarkStart w:id="77" w:name="_Toc269139328"/>
      <w:bookmarkStart w:id="78" w:name="_Toc269139329"/>
      <w:bookmarkStart w:id="79" w:name="_Toc269139330"/>
      <w:bookmarkStart w:id="80" w:name="_Toc269139331"/>
      <w:bookmarkStart w:id="81" w:name="_Toc269111141"/>
      <w:bookmarkStart w:id="82" w:name="_Toc269118414"/>
      <w:bookmarkStart w:id="83" w:name="_Toc269139332"/>
      <w:bookmarkStart w:id="84" w:name="_Toc269111142"/>
      <w:bookmarkStart w:id="85" w:name="_Toc269118415"/>
      <w:bookmarkStart w:id="86" w:name="_Toc269139333"/>
      <w:bookmarkStart w:id="87" w:name="_Toc269111143"/>
      <w:bookmarkStart w:id="88" w:name="_Toc269118416"/>
      <w:bookmarkStart w:id="89" w:name="_Toc269139334"/>
      <w:bookmarkStart w:id="90" w:name="_Toc269295561"/>
      <w:bookmarkStart w:id="91" w:name="_Toc269907500"/>
      <w:bookmarkStart w:id="92" w:name="_Toc47644470"/>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AC713D">
        <w:rPr>
          <w:rFonts w:cs="Arial"/>
        </w:rPr>
        <w:lastRenderedPageBreak/>
        <w:t>Konsolidovaný výkaz o finanční situaci ve zkrácené podobě</w:t>
      </w:r>
      <w:bookmarkEnd w:id="90"/>
      <w:bookmarkEnd w:id="91"/>
      <w:bookmarkEnd w:id="92"/>
    </w:p>
    <w:p w14:paraId="33F3C246" w14:textId="77777777" w:rsidR="00D40CA6" w:rsidRPr="00AC713D" w:rsidRDefault="00D40CA6">
      <w:pPr>
        <w:spacing w:before="0" w:beforeAutospacing="0" w:after="160" w:afterAutospacing="0" w:line="259" w:lineRule="auto"/>
        <w:jc w:val="left"/>
        <w:rPr>
          <w:rFonts w:cs="Arial"/>
        </w:rPr>
      </w:pPr>
      <w:bookmarkStart w:id="93" w:name="_Toc269111145"/>
      <w:bookmarkStart w:id="94" w:name="_Toc269118418"/>
      <w:bookmarkStart w:id="95" w:name="_Toc269139336"/>
      <w:bookmarkStart w:id="96" w:name="_Toc269295562"/>
      <w:bookmarkStart w:id="97" w:name="_Toc269907501"/>
      <w:bookmarkEnd w:id="93"/>
      <w:bookmarkEnd w:id="94"/>
      <w:bookmarkEnd w:id="95"/>
    </w:p>
    <w:tbl>
      <w:tblPr>
        <w:tblW w:w="5000" w:type="pct"/>
        <w:tblLayout w:type="fixed"/>
        <w:tblCellMar>
          <w:left w:w="70" w:type="dxa"/>
          <w:right w:w="70" w:type="dxa"/>
        </w:tblCellMar>
        <w:tblLook w:val="04A0" w:firstRow="1" w:lastRow="0" w:firstColumn="1" w:lastColumn="0" w:noHBand="0" w:noVBand="1"/>
      </w:tblPr>
      <w:tblGrid>
        <w:gridCol w:w="4885"/>
        <w:gridCol w:w="1395"/>
        <w:gridCol w:w="1397"/>
        <w:gridCol w:w="1395"/>
      </w:tblGrid>
      <w:tr w:rsidR="00E4317A" w:rsidRPr="00AC713D" w14:paraId="00850BD6" w14:textId="77777777" w:rsidTr="002C4FFF">
        <w:trPr>
          <w:trHeight w:val="563"/>
        </w:trPr>
        <w:tc>
          <w:tcPr>
            <w:tcW w:w="2692" w:type="pct"/>
            <w:tcBorders>
              <w:top w:val="nil"/>
              <w:left w:val="nil"/>
              <w:bottom w:val="nil"/>
              <w:right w:val="nil"/>
            </w:tcBorders>
            <w:shd w:val="clear" w:color="000000" w:fill="2A7FC6"/>
            <w:noWrap/>
            <w:vAlign w:val="bottom"/>
            <w:hideMark/>
          </w:tcPr>
          <w:p w14:paraId="6AD29E56" w14:textId="77777777" w:rsidR="00E4317A" w:rsidRPr="00AC713D" w:rsidRDefault="00E4317A" w:rsidP="00E4317A">
            <w:pPr>
              <w:spacing w:before="0" w:beforeAutospacing="0" w:after="0" w:afterAutospacing="0"/>
              <w:jc w:val="left"/>
              <w:rPr>
                <w:rFonts w:cs="Arial"/>
                <w:b/>
                <w:bCs/>
                <w:color w:val="FFFFFF"/>
                <w:sz w:val="20"/>
                <w:szCs w:val="20"/>
              </w:rPr>
            </w:pPr>
            <w:r w:rsidRPr="00AC713D">
              <w:rPr>
                <w:rFonts w:cs="Arial"/>
                <w:b/>
                <w:bCs/>
                <w:color w:val="FFFFFF"/>
                <w:sz w:val="20"/>
                <w:szCs w:val="20"/>
              </w:rPr>
              <w:t>v tis. Kč</w:t>
            </w:r>
          </w:p>
        </w:tc>
        <w:tc>
          <w:tcPr>
            <w:tcW w:w="769" w:type="pct"/>
            <w:tcBorders>
              <w:top w:val="nil"/>
              <w:left w:val="nil"/>
              <w:bottom w:val="nil"/>
              <w:right w:val="nil"/>
            </w:tcBorders>
            <w:shd w:val="clear" w:color="000000" w:fill="2A7FC6"/>
            <w:vAlign w:val="bottom"/>
            <w:hideMark/>
          </w:tcPr>
          <w:p w14:paraId="2D112987" w14:textId="6598F4A3" w:rsidR="00E4317A" w:rsidRPr="00AC713D" w:rsidRDefault="00E4317A" w:rsidP="00E4317A">
            <w:pPr>
              <w:spacing w:before="0" w:beforeAutospacing="0" w:after="0" w:afterAutospacing="0"/>
              <w:jc w:val="center"/>
              <w:rPr>
                <w:rFonts w:cs="Arial"/>
                <w:b/>
                <w:bCs/>
                <w:color w:val="FFFFFF"/>
                <w:sz w:val="20"/>
                <w:szCs w:val="20"/>
              </w:rPr>
            </w:pPr>
            <w:r w:rsidRPr="00AC713D">
              <w:rPr>
                <w:rFonts w:cs="Arial"/>
                <w:b/>
                <w:bCs/>
                <w:color w:val="FFFFFF"/>
                <w:sz w:val="20"/>
                <w:szCs w:val="20"/>
              </w:rPr>
              <w:t>30. června</w:t>
            </w:r>
            <w:r w:rsidRPr="00AC713D">
              <w:rPr>
                <w:rFonts w:cs="Arial"/>
                <w:b/>
                <w:bCs/>
                <w:color w:val="FFFFFF"/>
                <w:sz w:val="20"/>
                <w:szCs w:val="20"/>
              </w:rPr>
              <w:br/>
              <w:t>2019</w:t>
            </w:r>
          </w:p>
        </w:tc>
        <w:tc>
          <w:tcPr>
            <w:tcW w:w="770" w:type="pct"/>
            <w:tcBorders>
              <w:top w:val="nil"/>
              <w:left w:val="nil"/>
              <w:bottom w:val="nil"/>
              <w:right w:val="nil"/>
            </w:tcBorders>
            <w:shd w:val="clear" w:color="000000" w:fill="2A7FC6"/>
            <w:vAlign w:val="bottom"/>
          </w:tcPr>
          <w:p w14:paraId="7F1D2356" w14:textId="65F2B057" w:rsidR="00E4317A" w:rsidRPr="00AC713D" w:rsidRDefault="00E4317A" w:rsidP="00424B97">
            <w:pPr>
              <w:spacing w:before="0" w:beforeAutospacing="0" w:after="0" w:afterAutospacing="0"/>
              <w:jc w:val="center"/>
              <w:rPr>
                <w:rFonts w:cs="Arial"/>
                <w:b/>
                <w:bCs/>
                <w:color w:val="FFFFFF"/>
                <w:sz w:val="20"/>
                <w:szCs w:val="20"/>
              </w:rPr>
            </w:pPr>
            <w:r w:rsidRPr="00AC713D">
              <w:rPr>
                <w:rFonts w:cs="Arial"/>
                <w:b/>
                <w:bCs/>
                <w:color w:val="FFFFFF"/>
                <w:sz w:val="20"/>
                <w:szCs w:val="20"/>
              </w:rPr>
              <w:t>31. prosince</w:t>
            </w:r>
            <w:r w:rsidRPr="00AC713D">
              <w:rPr>
                <w:rFonts w:cs="Arial"/>
                <w:b/>
                <w:bCs/>
                <w:color w:val="FFFFFF"/>
                <w:sz w:val="20"/>
                <w:szCs w:val="20"/>
              </w:rPr>
              <w:br/>
              <w:t>2019</w:t>
            </w:r>
          </w:p>
        </w:tc>
        <w:tc>
          <w:tcPr>
            <w:tcW w:w="769" w:type="pct"/>
            <w:tcBorders>
              <w:top w:val="nil"/>
              <w:left w:val="nil"/>
              <w:bottom w:val="nil"/>
              <w:right w:val="nil"/>
            </w:tcBorders>
            <w:shd w:val="clear" w:color="000000" w:fill="2A7FC6"/>
            <w:vAlign w:val="bottom"/>
            <w:hideMark/>
          </w:tcPr>
          <w:p w14:paraId="0672E342" w14:textId="71B4E6B3" w:rsidR="00E4317A" w:rsidRPr="00AC713D" w:rsidRDefault="00E4317A" w:rsidP="00E4317A">
            <w:pPr>
              <w:spacing w:before="0" w:beforeAutospacing="0" w:after="0" w:afterAutospacing="0"/>
              <w:jc w:val="center"/>
              <w:rPr>
                <w:rFonts w:cs="Arial"/>
                <w:b/>
                <w:bCs/>
                <w:color w:val="FFFFFF"/>
                <w:sz w:val="20"/>
                <w:szCs w:val="20"/>
              </w:rPr>
            </w:pPr>
            <w:r w:rsidRPr="00AC713D">
              <w:rPr>
                <w:rFonts w:cs="Arial"/>
                <w:b/>
                <w:bCs/>
                <w:color w:val="FFFFFF"/>
                <w:sz w:val="20"/>
                <w:szCs w:val="20"/>
              </w:rPr>
              <w:t>30. června</w:t>
            </w:r>
            <w:r w:rsidRPr="00AC713D">
              <w:rPr>
                <w:rFonts w:cs="Arial"/>
                <w:b/>
                <w:bCs/>
                <w:color w:val="FFFFFF"/>
                <w:sz w:val="20"/>
                <w:szCs w:val="20"/>
              </w:rPr>
              <w:br/>
              <w:t>2020</w:t>
            </w:r>
          </w:p>
        </w:tc>
      </w:tr>
      <w:tr w:rsidR="00E4317A" w:rsidRPr="00AC713D" w14:paraId="180191C0" w14:textId="77777777" w:rsidTr="002C4FFF">
        <w:trPr>
          <w:trHeight w:val="255"/>
        </w:trPr>
        <w:tc>
          <w:tcPr>
            <w:tcW w:w="2692" w:type="pct"/>
            <w:tcBorders>
              <w:top w:val="nil"/>
              <w:left w:val="nil"/>
              <w:bottom w:val="nil"/>
              <w:right w:val="nil"/>
            </w:tcBorders>
            <w:shd w:val="clear" w:color="000000" w:fill="2A7FC6"/>
            <w:noWrap/>
            <w:vAlign w:val="bottom"/>
            <w:hideMark/>
          </w:tcPr>
          <w:p w14:paraId="0B23AE58" w14:textId="77777777" w:rsidR="00E4317A" w:rsidRPr="00AC713D" w:rsidRDefault="00E4317A" w:rsidP="00E4317A">
            <w:pPr>
              <w:spacing w:before="0" w:beforeAutospacing="0" w:after="0" w:afterAutospacing="0"/>
              <w:jc w:val="left"/>
              <w:rPr>
                <w:rFonts w:cs="Arial"/>
                <w:color w:val="FFFFFF"/>
                <w:sz w:val="20"/>
                <w:szCs w:val="20"/>
              </w:rPr>
            </w:pPr>
            <w:r w:rsidRPr="00AC713D">
              <w:rPr>
                <w:rFonts w:cs="Arial"/>
                <w:color w:val="FFFFFF"/>
                <w:sz w:val="20"/>
                <w:szCs w:val="20"/>
              </w:rPr>
              <w:t> </w:t>
            </w:r>
          </w:p>
        </w:tc>
        <w:tc>
          <w:tcPr>
            <w:tcW w:w="769" w:type="pct"/>
            <w:tcBorders>
              <w:top w:val="nil"/>
              <w:left w:val="nil"/>
              <w:bottom w:val="nil"/>
              <w:right w:val="nil"/>
            </w:tcBorders>
            <w:shd w:val="clear" w:color="000000" w:fill="2A7FC6"/>
            <w:noWrap/>
            <w:vAlign w:val="bottom"/>
            <w:hideMark/>
          </w:tcPr>
          <w:p w14:paraId="72E40FC7" w14:textId="77777777" w:rsidR="00E4317A" w:rsidRPr="002C4FFF" w:rsidRDefault="00E4317A" w:rsidP="00E4317A">
            <w:pPr>
              <w:spacing w:before="0" w:beforeAutospacing="0" w:after="0" w:afterAutospacing="0"/>
              <w:jc w:val="center"/>
              <w:rPr>
                <w:rFonts w:cs="Arial"/>
                <w:color w:val="FFFFFF"/>
                <w:sz w:val="18"/>
                <w:szCs w:val="20"/>
              </w:rPr>
            </w:pPr>
            <w:r w:rsidRPr="002C4FFF">
              <w:rPr>
                <w:rFonts w:cs="Arial"/>
                <w:color w:val="FFFFFF"/>
                <w:sz w:val="18"/>
                <w:szCs w:val="20"/>
              </w:rPr>
              <w:t>(neauditované)</w:t>
            </w:r>
          </w:p>
        </w:tc>
        <w:tc>
          <w:tcPr>
            <w:tcW w:w="770" w:type="pct"/>
            <w:tcBorders>
              <w:top w:val="nil"/>
              <w:left w:val="nil"/>
              <w:bottom w:val="nil"/>
              <w:right w:val="nil"/>
            </w:tcBorders>
            <w:shd w:val="clear" w:color="000000" w:fill="2A7FC6"/>
            <w:vAlign w:val="bottom"/>
          </w:tcPr>
          <w:p w14:paraId="3978D2F4" w14:textId="1BBDE72D" w:rsidR="00E4317A" w:rsidRPr="002C4FFF" w:rsidRDefault="00E4317A" w:rsidP="00424B97">
            <w:pPr>
              <w:spacing w:before="0" w:beforeAutospacing="0" w:after="0" w:afterAutospacing="0"/>
              <w:jc w:val="center"/>
              <w:rPr>
                <w:rFonts w:cs="Arial"/>
                <w:color w:val="FFFFFF"/>
                <w:sz w:val="18"/>
                <w:szCs w:val="20"/>
              </w:rPr>
            </w:pPr>
            <w:r w:rsidRPr="002C4FFF">
              <w:rPr>
                <w:rFonts w:cs="Arial"/>
                <w:color w:val="FFFFFF"/>
                <w:sz w:val="18"/>
                <w:szCs w:val="20"/>
              </w:rPr>
              <w:t>(auditované)</w:t>
            </w:r>
          </w:p>
        </w:tc>
        <w:tc>
          <w:tcPr>
            <w:tcW w:w="769" w:type="pct"/>
            <w:tcBorders>
              <w:top w:val="nil"/>
              <w:left w:val="nil"/>
              <w:bottom w:val="nil"/>
              <w:right w:val="nil"/>
            </w:tcBorders>
            <w:shd w:val="clear" w:color="000000" w:fill="2A7FC6"/>
            <w:noWrap/>
            <w:vAlign w:val="bottom"/>
            <w:hideMark/>
          </w:tcPr>
          <w:p w14:paraId="323E3846" w14:textId="1BE19E0B" w:rsidR="00E4317A" w:rsidRPr="00AC713D" w:rsidRDefault="00E4317A" w:rsidP="00E4317A">
            <w:pPr>
              <w:spacing w:before="0" w:beforeAutospacing="0" w:after="0" w:afterAutospacing="0"/>
              <w:jc w:val="center"/>
              <w:rPr>
                <w:rFonts w:cs="Arial"/>
                <w:color w:val="FFFFFF"/>
                <w:sz w:val="20"/>
                <w:szCs w:val="20"/>
              </w:rPr>
            </w:pPr>
            <w:r w:rsidRPr="002C4FFF">
              <w:rPr>
                <w:rFonts w:cs="Arial"/>
                <w:color w:val="FFFFFF"/>
                <w:sz w:val="18"/>
                <w:szCs w:val="20"/>
              </w:rPr>
              <w:t>(neauditované)</w:t>
            </w:r>
          </w:p>
        </w:tc>
      </w:tr>
      <w:tr w:rsidR="00E4317A" w:rsidRPr="00AC713D" w14:paraId="36CDB1A5" w14:textId="77777777" w:rsidTr="002C4FFF">
        <w:trPr>
          <w:trHeight w:val="150"/>
        </w:trPr>
        <w:tc>
          <w:tcPr>
            <w:tcW w:w="2692" w:type="pct"/>
            <w:tcBorders>
              <w:top w:val="nil"/>
              <w:left w:val="nil"/>
              <w:bottom w:val="nil"/>
              <w:right w:val="nil"/>
            </w:tcBorders>
            <w:shd w:val="clear" w:color="auto" w:fill="auto"/>
            <w:noWrap/>
            <w:vAlign w:val="bottom"/>
            <w:hideMark/>
          </w:tcPr>
          <w:p w14:paraId="0F412EB2" w14:textId="77777777" w:rsidR="00E4317A" w:rsidRPr="00AC713D" w:rsidRDefault="00E4317A" w:rsidP="00E4317A">
            <w:pPr>
              <w:spacing w:before="0" w:beforeAutospacing="0" w:after="0" w:afterAutospacing="0"/>
              <w:jc w:val="center"/>
              <w:rPr>
                <w:rFonts w:cs="Arial"/>
                <w:color w:val="FFFFFF"/>
                <w:sz w:val="20"/>
                <w:szCs w:val="20"/>
              </w:rPr>
            </w:pPr>
          </w:p>
        </w:tc>
        <w:tc>
          <w:tcPr>
            <w:tcW w:w="769" w:type="pct"/>
            <w:tcBorders>
              <w:top w:val="nil"/>
              <w:left w:val="nil"/>
              <w:bottom w:val="nil"/>
              <w:right w:val="nil"/>
            </w:tcBorders>
            <w:shd w:val="clear" w:color="auto" w:fill="auto"/>
            <w:noWrap/>
            <w:vAlign w:val="bottom"/>
            <w:hideMark/>
          </w:tcPr>
          <w:p w14:paraId="52A92221" w14:textId="77777777" w:rsidR="00E4317A" w:rsidRPr="00AC713D" w:rsidRDefault="00E4317A" w:rsidP="00E4317A">
            <w:pPr>
              <w:spacing w:before="0" w:beforeAutospacing="0" w:after="0" w:afterAutospacing="0"/>
              <w:jc w:val="left"/>
              <w:rPr>
                <w:rFonts w:cs="Arial"/>
                <w:sz w:val="20"/>
                <w:szCs w:val="20"/>
              </w:rPr>
            </w:pPr>
          </w:p>
        </w:tc>
        <w:tc>
          <w:tcPr>
            <w:tcW w:w="770" w:type="pct"/>
            <w:tcBorders>
              <w:top w:val="nil"/>
              <w:left w:val="nil"/>
              <w:bottom w:val="nil"/>
              <w:right w:val="nil"/>
            </w:tcBorders>
            <w:vAlign w:val="center"/>
          </w:tcPr>
          <w:p w14:paraId="52C9C373" w14:textId="77777777" w:rsidR="00E4317A" w:rsidRPr="00AC713D" w:rsidRDefault="00E4317A" w:rsidP="00424B97">
            <w:pPr>
              <w:spacing w:before="0" w:beforeAutospacing="0" w:after="0" w:afterAutospacing="0"/>
              <w:ind w:firstLineChars="100" w:firstLine="200"/>
              <w:jc w:val="right"/>
              <w:rPr>
                <w:rFonts w:cs="Arial"/>
                <w:sz w:val="20"/>
                <w:szCs w:val="20"/>
              </w:rPr>
            </w:pPr>
          </w:p>
        </w:tc>
        <w:tc>
          <w:tcPr>
            <w:tcW w:w="769" w:type="pct"/>
            <w:tcBorders>
              <w:top w:val="nil"/>
              <w:left w:val="nil"/>
              <w:bottom w:val="nil"/>
              <w:right w:val="nil"/>
            </w:tcBorders>
            <w:shd w:val="clear" w:color="auto" w:fill="auto"/>
            <w:noWrap/>
            <w:vAlign w:val="bottom"/>
            <w:hideMark/>
          </w:tcPr>
          <w:p w14:paraId="3D8F200F" w14:textId="6B41B500" w:rsidR="00E4317A" w:rsidRPr="00AC713D" w:rsidRDefault="00E4317A" w:rsidP="00E4317A">
            <w:pPr>
              <w:spacing w:before="0" w:beforeAutospacing="0" w:after="0" w:afterAutospacing="0"/>
              <w:ind w:firstLineChars="100" w:firstLine="200"/>
              <w:jc w:val="right"/>
              <w:rPr>
                <w:rFonts w:cs="Arial"/>
                <w:sz w:val="20"/>
                <w:szCs w:val="20"/>
              </w:rPr>
            </w:pPr>
          </w:p>
        </w:tc>
      </w:tr>
      <w:tr w:rsidR="00E4317A" w:rsidRPr="00AC713D" w14:paraId="3DFF8AA0" w14:textId="77777777" w:rsidTr="002C4FFF">
        <w:trPr>
          <w:trHeight w:val="270"/>
        </w:trPr>
        <w:tc>
          <w:tcPr>
            <w:tcW w:w="2692" w:type="pct"/>
            <w:tcBorders>
              <w:top w:val="double" w:sz="6" w:space="0" w:color="9C9D9F"/>
              <w:left w:val="nil"/>
              <w:bottom w:val="nil"/>
              <w:right w:val="nil"/>
            </w:tcBorders>
            <w:shd w:val="clear" w:color="auto" w:fill="auto"/>
            <w:noWrap/>
            <w:vAlign w:val="bottom"/>
            <w:hideMark/>
          </w:tcPr>
          <w:p w14:paraId="0C24EAC0" w14:textId="77777777" w:rsidR="00E4317A" w:rsidRPr="00AC713D" w:rsidRDefault="00E4317A" w:rsidP="00E4317A">
            <w:pPr>
              <w:spacing w:before="0" w:beforeAutospacing="0" w:after="0" w:afterAutospacing="0"/>
              <w:jc w:val="left"/>
              <w:rPr>
                <w:rFonts w:cs="Arial"/>
                <w:b/>
                <w:bCs/>
                <w:sz w:val="20"/>
                <w:szCs w:val="20"/>
              </w:rPr>
            </w:pPr>
            <w:r w:rsidRPr="00AC713D">
              <w:rPr>
                <w:rFonts w:cs="Arial"/>
                <w:b/>
                <w:bCs/>
                <w:sz w:val="20"/>
                <w:szCs w:val="20"/>
              </w:rPr>
              <w:t>Aktiva</w:t>
            </w:r>
          </w:p>
        </w:tc>
        <w:tc>
          <w:tcPr>
            <w:tcW w:w="769" w:type="pct"/>
            <w:tcBorders>
              <w:top w:val="double" w:sz="6" w:space="0" w:color="9C9D9F"/>
              <w:left w:val="nil"/>
              <w:bottom w:val="nil"/>
              <w:right w:val="nil"/>
            </w:tcBorders>
            <w:shd w:val="clear" w:color="auto" w:fill="auto"/>
            <w:noWrap/>
            <w:vAlign w:val="bottom"/>
            <w:hideMark/>
          </w:tcPr>
          <w:p w14:paraId="7F4E7920" w14:textId="77777777" w:rsidR="00E4317A" w:rsidRPr="00AC713D" w:rsidRDefault="00E4317A" w:rsidP="00E4317A">
            <w:pPr>
              <w:spacing w:before="0" w:beforeAutospacing="0" w:after="0" w:afterAutospacing="0"/>
              <w:ind w:firstLineChars="100" w:firstLine="200"/>
              <w:jc w:val="right"/>
              <w:rPr>
                <w:rFonts w:cs="Arial"/>
                <w:sz w:val="20"/>
                <w:szCs w:val="20"/>
              </w:rPr>
            </w:pPr>
            <w:r w:rsidRPr="00AC713D">
              <w:rPr>
                <w:rFonts w:cs="Arial"/>
                <w:sz w:val="20"/>
                <w:szCs w:val="20"/>
              </w:rPr>
              <w:t> </w:t>
            </w:r>
          </w:p>
        </w:tc>
        <w:tc>
          <w:tcPr>
            <w:tcW w:w="770" w:type="pct"/>
            <w:tcBorders>
              <w:top w:val="double" w:sz="6" w:space="0" w:color="9C9D9F"/>
              <w:left w:val="nil"/>
              <w:bottom w:val="nil"/>
              <w:right w:val="nil"/>
            </w:tcBorders>
            <w:vAlign w:val="center"/>
          </w:tcPr>
          <w:p w14:paraId="5FEFEB4A" w14:textId="77777777" w:rsidR="00E4317A" w:rsidRPr="00AC713D" w:rsidRDefault="00E4317A" w:rsidP="00424B97">
            <w:pPr>
              <w:spacing w:before="0" w:beforeAutospacing="0" w:after="0" w:afterAutospacing="0"/>
              <w:ind w:firstLineChars="100" w:firstLine="200"/>
              <w:jc w:val="right"/>
              <w:rPr>
                <w:rFonts w:cs="Arial"/>
                <w:sz w:val="20"/>
                <w:szCs w:val="20"/>
              </w:rPr>
            </w:pPr>
          </w:p>
        </w:tc>
        <w:tc>
          <w:tcPr>
            <w:tcW w:w="769" w:type="pct"/>
            <w:tcBorders>
              <w:top w:val="double" w:sz="6" w:space="0" w:color="9C9D9F"/>
              <w:left w:val="nil"/>
              <w:bottom w:val="nil"/>
              <w:right w:val="nil"/>
            </w:tcBorders>
            <w:shd w:val="clear" w:color="auto" w:fill="auto"/>
            <w:noWrap/>
            <w:vAlign w:val="bottom"/>
            <w:hideMark/>
          </w:tcPr>
          <w:p w14:paraId="0089B55E" w14:textId="215BF5C3" w:rsidR="00E4317A" w:rsidRPr="00AC713D" w:rsidRDefault="00E4317A" w:rsidP="00E4317A">
            <w:pPr>
              <w:spacing w:before="0" w:beforeAutospacing="0" w:after="0" w:afterAutospacing="0"/>
              <w:ind w:firstLineChars="100" w:firstLine="200"/>
              <w:jc w:val="right"/>
              <w:rPr>
                <w:rFonts w:cs="Arial"/>
                <w:sz w:val="20"/>
                <w:szCs w:val="20"/>
              </w:rPr>
            </w:pPr>
            <w:r w:rsidRPr="00AC713D">
              <w:rPr>
                <w:rFonts w:cs="Arial"/>
                <w:sz w:val="20"/>
                <w:szCs w:val="20"/>
              </w:rPr>
              <w:t> </w:t>
            </w:r>
          </w:p>
        </w:tc>
      </w:tr>
      <w:tr w:rsidR="00E4317A" w:rsidRPr="00AC713D" w14:paraId="1AD02499" w14:textId="77777777" w:rsidTr="002C4FFF">
        <w:trPr>
          <w:trHeight w:val="150"/>
        </w:trPr>
        <w:tc>
          <w:tcPr>
            <w:tcW w:w="2692" w:type="pct"/>
            <w:tcBorders>
              <w:top w:val="nil"/>
              <w:left w:val="nil"/>
              <w:bottom w:val="nil"/>
              <w:right w:val="nil"/>
            </w:tcBorders>
            <w:shd w:val="clear" w:color="auto" w:fill="auto"/>
            <w:noWrap/>
            <w:vAlign w:val="bottom"/>
            <w:hideMark/>
          </w:tcPr>
          <w:p w14:paraId="0F75EDCD" w14:textId="77777777" w:rsidR="00E4317A" w:rsidRPr="00AC713D" w:rsidRDefault="00E4317A" w:rsidP="00E4317A">
            <w:pPr>
              <w:spacing w:before="0" w:beforeAutospacing="0" w:after="0" w:afterAutospacing="0"/>
              <w:ind w:firstLineChars="100" w:firstLine="200"/>
              <w:jc w:val="right"/>
              <w:rPr>
                <w:rFonts w:cs="Arial"/>
                <w:sz w:val="20"/>
                <w:szCs w:val="20"/>
              </w:rPr>
            </w:pPr>
          </w:p>
        </w:tc>
        <w:tc>
          <w:tcPr>
            <w:tcW w:w="769" w:type="pct"/>
            <w:tcBorders>
              <w:top w:val="nil"/>
              <w:left w:val="nil"/>
              <w:bottom w:val="nil"/>
              <w:right w:val="nil"/>
            </w:tcBorders>
            <w:shd w:val="clear" w:color="auto" w:fill="auto"/>
            <w:noWrap/>
            <w:vAlign w:val="bottom"/>
            <w:hideMark/>
          </w:tcPr>
          <w:p w14:paraId="3A308FF7" w14:textId="77777777" w:rsidR="00E4317A" w:rsidRPr="00AC713D" w:rsidRDefault="00E4317A" w:rsidP="00E4317A">
            <w:pPr>
              <w:spacing w:before="0" w:beforeAutospacing="0" w:after="0" w:afterAutospacing="0"/>
              <w:jc w:val="left"/>
              <w:rPr>
                <w:rFonts w:cs="Arial"/>
                <w:sz w:val="20"/>
                <w:szCs w:val="20"/>
              </w:rPr>
            </w:pPr>
          </w:p>
        </w:tc>
        <w:tc>
          <w:tcPr>
            <w:tcW w:w="770" w:type="pct"/>
            <w:tcBorders>
              <w:top w:val="nil"/>
              <w:left w:val="nil"/>
              <w:bottom w:val="nil"/>
              <w:right w:val="nil"/>
            </w:tcBorders>
            <w:vAlign w:val="center"/>
          </w:tcPr>
          <w:p w14:paraId="4E6C836C" w14:textId="77777777" w:rsidR="00E4317A" w:rsidRPr="00AC713D" w:rsidRDefault="00E4317A" w:rsidP="00424B97">
            <w:pPr>
              <w:spacing w:before="0" w:beforeAutospacing="0" w:after="0" w:afterAutospacing="0"/>
              <w:ind w:firstLineChars="100" w:firstLine="200"/>
              <w:jc w:val="right"/>
              <w:rPr>
                <w:rFonts w:cs="Arial"/>
                <w:sz w:val="20"/>
                <w:szCs w:val="20"/>
              </w:rPr>
            </w:pPr>
          </w:p>
        </w:tc>
        <w:tc>
          <w:tcPr>
            <w:tcW w:w="769" w:type="pct"/>
            <w:tcBorders>
              <w:top w:val="nil"/>
              <w:left w:val="nil"/>
              <w:bottom w:val="nil"/>
              <w:right w:val="nil"/>
            </w:tcBorders>
            <w:shd w:val="clear" w:color="auto" w:fill="auto"/>
            <w:noWrap/>
            <w:vAlign w:val="bottom"/>
            <w:hideMark/>
          </w:tcPr>
          <w:p w14:paraId="740FBCEF" w14:textId="12227198" w:rsidR="00E4317A" w:rsidRPr="00AC713D" w:rsidRDefault="00E4317A" w:rsidP="00E4317A">
            <w:pPr>
              <w:spacing w:before="0" w:beforeAutospacing="0" w:after="0" w:afterAutospacing="0"/>
              <w:ind w:firstLineChars="100" w:firstLine="200"/>
              <w:jc w:val="right"/>
              <w:rPr>
                <w:rFonts w:cs="Arial"/>
                <w:sz w:val="20"/>
                <w:szCs w:val="20"/>
              </w:rPr>
            </w:pPr>
          </w:p>
        </w:tc>
      </w:tr>
      <w:tr w:rsidR="00E4317A" w:rsidRPr="00AC713D" w14:paraId="29BECAAF" w14:textId="77777777" w:rsidTr="002C4FFF">
        <w:trPr>
          <w:trHeight w:val="255"/>
        </w:trPr>
        <w:tc>
          <w:tcPr>
            <w:tcW w:w="2692" w:type="pct"/>
            <w:tcBorders>
              <w:top w:val="nil"/>
              <w:left w:val="nil"/>
              <w:bottom w:val="nil"/>
              <w:right w:val="nil"/>
            </w:tcBorders>
            <w:shd w:val="clear" w:color="000000" w:fill="9C9D9F"/>
            <w:noWrap/>
            <w:vAlign w:val="bottom"/>
            <w:hideMark/>
          </w:tcPr>
          <w:p w14:paraId="3E18BA27" w14:textId="77777777" w:rsidR="00E4317A" w:rsidRPr="00AC713D" w:rsidRDefault="00E4317A" w:rsidP="00E4317A">
            <w:pPr>
              <w:spacing w:before="0" w:beforeAutospacing="0" w:after="0" w:afterAutospacing="0"/>
              <w:jc w:val="left"/>
              <w:rPr>
                <w:rFonts w:cs="Arial"/>
                <w:b/>
                <w:bCs/>
                <w:sz w:val="20"/>
                <w:szCs w:val="20"/>
              </w:rPr>
            </w:pPr>
            <w:r w:rsidRPr="00AC713D">
              <w:rPr>
                <w:rFonts w:cs="Arial"/>
                <w:b/>
                <w:bCs/>
                <w:sz w:val="20"/>
                <w:szCs w:val="20"/>
              </w:rPr>
              <w:t>Dlouhodobý majetek</w:t>
            </w:r>
          </w:p>
        </w:tc>
        <w:tc>
          <w:tcPr>
            <w:tcW w:w="769" w:type="pct"/>
            <w:tcBorders>
              <w:top w:val="nil"/>
              <w:left w:val="nil"/>
              <w:bottom w:val="nil"/>
              <w:right w:val="nil"/>
            </w:tcBorders>
            <w:shd w:val="clear" w:color="000000" w:fill="9C9D9F"/>
            <w:noWrap/>
            <w:vAlign w:val="bottom"/>
            <w:hideMark/>
          </w:tcPr>
          <w:p w14:paraId="55AA4953" w14:textId="77777777" w:rsidR="00E4317A" w:rsidRPr="00AC713D" w:rsidRDefault="00E4317A" w:rsidP="00E4317A">
            <w:pPr>
              <w:spacing w:before="0" w:beforeAutospacing="0" w:after="0" w:afterAutospacing="0"/>
              <w:ind w:firstLineChars="100" w:firstLine="200"/>
              <w:jc w:val="right"/>
              <w:rPr>
                <w:rFonts w:cs="Arial"/>
                <w:sz w:val="20"/>
                <w:szCs w:val="20"/>
              </w:rPr>
            </w:pPr>
            <w:r w:rsidRPr="00AC713D">
              <w:rPr>
                <w:rFonts w:cs="Arial"/>
                <w:sz w:val="20"/>
                <w:szCs w:val="20"/>
              </w:rPr>
              <w:t> </w:t>
            </w:r>
          </w:p>
        </w:tc>
        <w:tc>
          <w:tcPr>
            <w:tcW w:w="770" w:type="pct"/>
            <w:tcBorders>
              <w:top w:val="nil"/>
              <w:left w:val="nil"/>
              <w:bottom w:val="nil"/>
              <w:right w:val="nil"/>
            </w:tcBorders>
            <w:shd w:val="clear" w:color="000000" w:fill="9C9D9F"/>
            <w:vAlign w:val="center"/>
          </w:tcPr>
          <w:p w14:paraId="3359EDDD" w14:textId="77777777" w:rsidR="00E4317A" w:rsidRPr="00AC713D" w:rsidRDefault="00E4317A" w:rsidP="00424B97">
            <w:pPr>
              <w:spacing w:before="0" w:beforeAutospacing="0" w:after="0" w:afterAutospacing="0"/>
              <w:ind w:firstLineChars="100" w:firstLine="200"/>
              <w:jc w:val="right"/>
              <w:rPr>
                <w:rFonts w:cs="Arial"/>
                <w:sz w:val="20"/>
                <w:szCs w:val="20"/>
              </w:rPr>
            </w:pPr>
          </w:p>
        </w:tc>
        <w:tc>
          <w:tcPr>
            <w:tcW w:w="769" w:type="pct"/>
            <w:tcBorders>
              <w:top w:val="nil"/>
              <w:left w:val="nil"/>
              <w:bottom w:val="nil"/>
              <w:right w:val="nil"/>
            </w:tcBorders>
            <w:shd w:val="clear" w:color="000000" w:fill="9C9D9F"/>
            <w:noWrap/>
            <w:vAlign w:val="bottom"/>
            <w:hideMark/>
          </w:tcPr>
          <w:p w14:paraId="00CBE938" w14:textId="33FAB0B5" w:rsidR="00E4317A" w:rsidRPr="00AC713D" w:rsidRDefault="00E4317A" w:rsidP="00E4317A">
            <w:pPr>
              <w:spacing w:before="0" w:beforeAutospacing="0" w:after="0" w:afterAutospacing="0"/>
              <w:ind w:firstLineChars="100" w:firstLine="200"/>
              <w:jc w:val="right"/>
              <w:rPr>
                <w:rFonts w:cs="Arial"/>
                <w:sz w:val="20"/>
                <w:szCs w:val="20"/>
              </w:rPr>
            </w:pPr>
            <w:r w:rsidRPr="00AC713D">
              <w:rPr>
                <w:rFonts w:cs="Arial"/>
                <w:sz w:val="20"/>
                <w:szCs w:val="20"/>
              </w:rPr>
              <w:t> </w:t>
            </w:r>
          </w:p>
        </w:tc>
      </w:tr>
      <w:tr w:rsidR="00907A78" w:rsidRPr="00AC713D" w14:paraId="0FB915A1" w14:textId="77777777" w:rsidTr="002C4FFF">
        <w:trPr>
          <w:trHeight w:val="255"/>
        </w:trPr>
        <w:tc>
          <w:tcPr>
            <w:tcW w:w="2692" w:type="pct"/>
            <w:tcBorders>
              <w:top w:val="nil"/>
              <w:left w:val="nil"/>
              <w:bottom w:val="single" w:sz="4" w:space="0" w:color="9C9D9F"/>
              <w:right w:val="nil"/>
            </w:tcBorders>
            <w:shd w:val="clear" w:color="auto" w:fill="auto"/>
            <w:noWrap/>
            <w:vAlign w:val="bottom"/>
            <w:hideMark/>
          </w:tcPr>
          <w:p w14:paraId="17725E0A" w14:textId="77777777" w:rsidR="00907A78" w:rsidRPr="00AC713D" w:rsidRDefault="00907A78" w:rsidP="00907A78">
            <w:pPr>
              <w:spacing w:before="0" w:beforeAutospacing="0" w:after="0" w:afterAutospacing="0"/>
              <w:jc w:val="left"/>
              <w:rPr>
                <w:rFonts w:cs="Arial"/>
                <w:sz w:val="20"/>
                <w:szCs w:val="20"/>
              </w:rPr>
            </w:pPr>
            <w:r w:rsidRPr="00AC713D">
              <w:rPr>
                <w:rFonts w:cs="Arial"/>
                <w:sz w:val="20"/>
                <w:szCs w:val="20"/>
              </w:rPr>
              <w:t>Dlouhodobý hmotný majetek</w:t>
            </w:r>
          </w:p>
        </w:tc>
        <w:tc>
          <w:tcPr>
            <w:tcW w:w="769" w:type="pct"/>
            <w:tcBorders>
              <w:top w:val="nil"/>
              <w:left w:val="nil"/>
              <w:bottom w:val="single" w:sz="4" w:space="0" w:color="9C9D9F"/>
              <w:right w:val="nil"/>
            </w:tcBorders>
            <w:shd w:val="clear" w:color="auto" w:fill="auto"/>
            <w:noWrap/>
            <w:vAlign w:val="bottom"/>
            <w:hideMark/>
          </w:tcPr>
          <w:p w14:paraId="198E6909" w14:textId="450815DB" w:rsidR="00907A78" w:rsidRPr="00AC713D" w:rsidRDefault="00907A78" w:rsidP="00907A78">
            <w:pPr>
              <w:spacing w:before="0" w:beforeAutospacing="0" w:after="0" w:afterAutospacing="0"/>
              <w:ind w:firstLineChars="100" w:firstLine="200"/>
              <w:jc w:val="right"/>
              <w:rPr>
                <w:rFonts w:cs="Arial"/>
                <w:sz w:val="20"/>
                <w:szCs w:val="20"/>
              </w:rPr>
            </w:pPr>
            <w:r w:rsidRPr="00AC713D">
              <w:rPr>
                <w:rFonts w:cs="Arial"/>
                <w:sz w:val="20"/>
                <w:szCs w:val="20"/>
              </w:rPr>
              <w:t>5 168 474</w:t>
            </w:r>
          </w:p>
        </w:tc>
        <w:tc>
          <w:tcPr>
            <w:tcW w:w="770" w:type="pct"/>
            <w:tcBorders>
              <w:top w:val="nil"/>
              <w:left w:val="nil"/>
              <w:bottom w:val="single" w:sz="8" w:space="0" w:color="9C9D9F"/>
              <w:right w:val="nil"/>
            </w:tcBorders>
            <w:shd w:val="clear" w:color="auto" w:fill="auto"/>
            <w:vAlign w:val="center"/>
          </w:tcPr>
          <w:p w14:paraId="56F7C0FC" w14:textId="48ADE540" w:rsidR="00907A78" w:rsidRPr="00AC713D" w:rsidRDefault="00907A78" w:rsidP="002C4FFF">
            <w:pPr>
              <w:spacing w:before="0" w:beforeAutospacing="0" w:after="0" w:afterAutospacing="0"/>
              <w:ind w:firstLineChars="100" w:firstLine="200"/>
              <w:jc w:val="right"/>
              <w:rPr>
                <w:rFonts w:cs="Arial"/>
                <w:sz w:val="20"/>
                <w:szCs w:val="20"/>
              </w:rPr>
            </w:pPr>
            <w:r w:rsidRPr="002C4FFF">
              <w:rPr>
                <w:rFonts w:cs="Arial"/>
                <w:color w:val="000000"/>
                <w:sz w:val="20"/>
                <w:szCs w:val="20"/>
              </w:rPr>
              <w:t>6 046 997</w:t>
            </w:r>
          </w:p>
        </w:tc>
        <w:tc>
          <w:tcPr>
            <w:tcW w:w="769" w:type="pct"/>
            <w:tcBorders>
              <w:top w:val="nil"/>
              <w:left w:val="nil"/>
              <w:bottom w:val="single" w:sz="4" w:space="0" w:color="9C9D9F"/>
              <w:right w:val="nil"/>
            </w:tcBorders>
            <w:shd w:val="clear" w:color="auto" w:fill="auto"/>
            <w:noWrap/>
            <w:vAlign w:val="bottom"/>
          </w:tcPr>
          <w:p w14:paraId="07602D5E" w14:textId="1C312725" w:rsidR="00907A78" w:rsidRPr="00AC713D" w:rsidRDefault="00907A78" w:rsidP="00907A78">
            <w:pPr>
              <w:spacing w:before="0" w:beforeAutospacing="0" w:after="0" w:afterAutospacing="0"/>
              <w:ind w:firstLineChars="100" w:firstLine="200"/>
              <w:jc w:val="right"/>
              <w:rPr>
                <w:rFonts w:cs="Arial"/>
                <w:sz w:val="20"/>
                <w:szCs w:val="20"/>
              </w:rPr>
            </w:pPr>
            <w:r>
              <w:rPr>
                <w:rFonts w:cs="Arial"/>
                <w:sz w:val="20"/>
                <w:szCs w:val="20"/>
              </w:rPr>
              <w:t>5 843 362</w:t>
            </w:r>
          </w:p>
        </w:tc>
      </w:tr>
      <w:tr w:rsidR="00907A78" w:rsidRPr="00AC713D" w14:paraId="19648CDF" w14:textId="77777777" w:rsidTr="002C4FFF">
        <w:trPr>
          <w:trHeight w:val="255"/>
        </w:trPr>
        <w:tc>
          <w:tcPr>
            <w:tcW w:w="2692" w:type="pct"/>
            <w:tcBorders>
              <w:top w:val="nil"/>
              <w:left w:val="nil"/>
              <w:bottom w:val="single" w:sz="4" w:space="0" w:color="9C9D9F"/>
              <w:right w:val="nil"/>
            </w:tcBorders>
            <w:shd w:val="clear" w:color="auto" w:fill="auto"/>
            <w:noWrap/>
            <w:vAlign w:val="bottom"/>
            <w:hideMark/>
          </w:tcPr>
          <w:p w14:paraId="4A7F6C3C" w14:textId="77777777" w:rsidR="00907A78" w:rsidRPr="00AC713D" w:rsidRDefault="00907A78" w:rsidP="00907A78">
            <w:pPr>
              <w:spacing w:before="0" w:beforeAutospacing="0" w:after="0" w:afterAutospacing="0"/>
              <w:jc w:val="left"/>
              <w:rPr>
                <w:rFonts w:cs="Arial"/>
                <w:sz w:val="20"/>
                <w:szCs w:val="20"/>
              </w:rPr>
            </w:pPr>
            <w:r w:rsidRPr="00AC713D">
              <w:rPr>
                <w:rFonts w:cs="Arial"/>
                <w:sz w:val="20"/>
                <w:szCs w:val="20"/>
              </w:rPr>
              <w:t>Dlouhodobý nehmotný majetek</w:t>
            </w:r>
          </w:p>
        </w:tc>
        <w:tc>
          <w:tcPr>
            <w:tcW w:w="769" w:type="pct"/>
            <w:tcBorders>
              <w:top w:val="nil"/>
              <w:left w:val="nil"/>
              <w:bottom w:val="single" w:sz="4" w:space="0" w:color="9C9D9F"/>
              <w:right w:val="nil"/>
            </w:tcBorders>
            <w:shd w:val="clear" w:color="auto" w:fill="auto"/>
            <w:noWrap/>
            <w:vAlign w:val="bottom"/>
            <w:hideMark/>
          </w:tcPr>
          <w:p w14:paraId="15681879" w14:textId="19CBE143" w:rsidR="00907A78" w:rsidRPr="00AC713D" w:rsidRDefault="00907A78" w:rsidP="00907A78">
            <w:pPr>
              <w:spacing w:before="0" w:beforeAutospacing="0" w:after="0" w:afterAutospacing="0"/>
              <w:ind w:firstLineChars="100" w:firstLine="200"/>
              <w:jc w:val="right"/>
              <w:rPr>
                <w:rFonts w:cs="Arial"/>
                <w:sz w:val="20"/>
                <w:szCs w:val="20"/>
              </w:rPr>
            </w:pPr>
            <w:r w:rsidRPr="00AC713D">
              <w:rPr>
                <w:rFonts w:cs="Arial"/>
                <w:sz w:val="20"/>
                <w:szCs w:val="20"/>
              </w:rPr>
              <w:t>195 577</w:t>
            </w:r>
          </w:p>
        </w:tc>
        <w:tc>
          <w:tcPr>
            <w:tcW w:w="770" w:type="pct"/>
            <w:tcBorders>
              <w:top w:val="nil"/>
              <w:left w:val="nil"/>
              <w:bottom w:val="single" w:sz="8" w:space="0" w:color="9C9D9F"/>
              <w:right w:val="nil"/>
            </w:tcBorders>
            <w:shd w:val="clear" w:color="auto" w:fill="auto"/>
            <w:vAlign w:val="center"/>
          </w:tcPr>
          <w:p w14:paraId="72881FD2" w14:textId="52409F17" w:rsidR="00907A78" w:rsidRPr="00AC713D" w:rsidRDefault="00907A78" w:rsidP="002C4FFF">
            <w:pPr>
              <w:spacing w:before="0" w:beforeAutospacing="0" w:after="0" w:afterAutospacing="0"/>
              <w:ind w:firstLineChars="100" w:firstLine="200"/>
              <w:jc w:val="right"/>
              <w:rPr>
                <w:rFonts w:cs="Arial"/>
                <w:sz w:val="20"/>
                <w:szCs w:val="20"/>
              </w:rPr>
            </w:pPr>
            <w:r w:rsidRPr="002C4FFF">
              <w:rPr>
                <w:rFonts w:cs="Arial"/>
                <w:color w:val="000000"/>
                <w:sz w:val="20"/>
                <w:szCs w:val="20"/>
              </w:rPr>
              <w:t>2 320 127</w:t>
            </w:r>
          </w:p>
        </w:tc>
        <w:tc>
          <w:tcPr>
            <w:tcW w:w="769" w:type="pct"/>
            <w:tcBorders>
              <w:top w:val="nil"/>
              <w:left w:val="nil"/>
              <w:bottom w:val="single" w:sz="4" w:space="0" w:color="9C9D9F"/>
              <w:right w:val="nil"/>
            </w:tcBorders>
            <w:shd w:val="clear" w:color="auto" w:fill="auto"/>
            <w:noWrap/>
            <w:vAlign w:val="bottom"/>
          </w:tcPr>
          <w:p w14:paraId="557F8D82" w14:textId="24B77143" w:rsidR="00907A78" w:rsidRPr="00AC713D" w:rsidRDefault="00907A78" w:rsidP="00907A78">
            <w:pPr>
              <w:spacing w:before="0" w:beforeAutospacing="0" w:after="0" w:afterAutospacing="0"/>
              <w:ind w:firstLineChars="100" w:firstLine="200"/>
              <w:jc w:val="right"/>
              <w:rPr>
                <w:rFonts w:cs="Arial"/>
                <w:sz w:val="20"/>
                <w:szCs w:val="20"/>
              </w:rPr>
            </w:pPr>
            <w:r>
              <w:rPr>
                <w:rFonts w:cs="Arial"/>
                <w:sz w:val="20"/>
                <w:szCs w:val="20"/>
              </w:rPr>
              <w:t>160 062</w:t>
            </w:r>
          </w:p>
        </w:tc>
      </w:tr>
      <w:tr w:rsidR="00907A78" w:rsidRPr="00AC713D" w14:paraId="4927ABAC" w14:textId="77777777" w:rsidTr="002C4FFF">
        <w:trPr>
          <w:trHeight w:val="255"/>
        </w:trPr>
        <w:tc>
          <w:tcPr>
            <w:tcW w:w="2692" w:type="pct"/>
            <w:tcBorders>
              <w:top w:val="nil"/>
              <w:left w:val="nil"/>
              <w:bottom w:val="single" w:sz="4" w:space="0" w:color="9C9D9F"/>
              <w:right w:val="nil"/>
            </w:tcBorders>
            <w:shd w:val="clear" w:color="auto" w:fill="auto"/>
            <w:noWrap/>
            <w:vAlign w:val="bottom"/>
            <w:hideMark/>
          </w:tcPr>
          <w:p w14:paraId="417CF5EB" w14:textId="77777777" w:rsidR="00907A78" w:rsidRPr="00AC713D" w:rsidRDefault="00907A78" w:rsidP="00907A78">
            <w:pPr>
              <w:spacing w:before="0" w:beforeAutospacing="0" w:after="0" w:afterAutospacing="0"/>
              <w:jc w:val="left"/>
              <w:rPr>
                <w:rFonts w:cs="Arial"/>
                <w:sz w:val="20"/>
                <w:szCs w:val="20"/>
              </w:rPr>
            </w:pPr>
            <w:r w:rsidRPr="00AC713D">
              <w:rPr>
                <w:rFonts w:cs="Arial"/>
                <w:sz w:val="20"/>
                <w:szCs w:val="20"/>
              </w:rPr>
              <w:t>Goodwill</w:t>
            </w:r>
          </w:p>
        </w:tc>
        <w:tc>
          <w:tcPr>
            <w:tcW w:w="769" w:type="pct"/>
            <w:tcBorders>
              <w:top w:val="nil"/>
              <w:left w:val="nil"/>
              <w:bottom w:val="single" w:sz="4" w:space="0" w:color="9C9D9F"/>
              <w:right w:val="nil"/>
            </w:tcBorders>
            <w:shd w:val="clear" w:color="auto" w:fill="auto"/>
            <w:noWrap/>
            <w:vAlign w:val="bottom"/>
            <w:hideMark/>
          </w:tcPr>
          <w:p w14:paraId="71F306F8" w14:textId="78936B40" w:rsidR="00907A78" w:rsidRPr="00AC713D" w:rsidRDefault="00907A78" w:rsidP="00907A78">
            <w:pPr>
              <w:spacing w:before="0" w:beforeAutospacing="0" w:after="0" w:afterAutospacing="0"/>
              <w:ind w:firstLineChars="100" w:firstLine="200"/>
              <w:jc w:val="right"/>
              <w:rPr>
                <w:rFonts w:cs="Arial"/>
                <w:sz w:val="20"/>
                <w:szCs w:val="20"/>
              </w:rPr>
            </w:pPr>
            <w:r w:rsidRPr="00AC713D">
              <w:rPr>
                <w:rFonts w:cs="Arial"/>
                <w:sz w:val="20"/>
                <w:szCs w:val="20"/>
              </w:rPr>
              <w:t>2 320 127</w:t>
            </w:r>
          </w:p>
        </w:tc>
        <w:tc>
          <w:tcPr>
            <w:tcW w:w="770" w:type="pct"/>
            <w:tcBorders>
              <w:top w:val="nil"/>
              <w:left w:val="nil"/>
              <w:bottom w:val="single" w:sz="8" w:space="0" w:color="9C9D9F"/>
              <w:right w:val="nil"/>
            </w:tcBorders>
            <w:shd w:val="clear" w:color="auto" w:fill="auto"/>
            <w:vAlign w:val="center"/>
          </w:tcPr>
          <w:p w14:paraId="20FD20F8" w14:textId="14242334" w:rsidR="00907A78" w:rsidRPr="00AC713D" w:rsidRDefault="00907A78" w:rsidP="002C4FFF">
            <w:pPr>
              <w:spacing w:before="0" w:beforeAutospacing="0" w:after="0" w:afterAutospacing="0"/>
              <w:ind w:firstLineChars="100" w:firstLine="200"/>
              <w:jc w:val="right"/>
              <w:rPr>
                <w:rFonts w:cs="Arial"/>
                <w:sz w:val="20"/>
                <w:szCs w:val="20"/>
              </w:rPr>
            </w:pPr>
            <w:r w:rsidRPr="002C4FFF">
              <w:rPr>
                <w:rFonts w:cs="Arial"/>
                <w:color w:val="000000"/>
                <w:sz w:val="20"/>
                <w:szCs w:val="20"/>
              </w:rPr>
              <w:t>184 791</w:t>
            </w:r>
          </w:p>
        </w:tc>
        <w:tc>
          <w:tcPr>
            <w:tcW w:w="769" w:type="pct"/>
            <w:tcBorders>
              <w:top w:val="nil"/>
              <w:left w:val="nil"/>
              <w:bottom w:val="single" w:sz="4" w:space="0" w:color="9C9D9F"/>
              <w:right w:val="nil"/>
            </w:tcBorders>
            <w:shd w:val="clear" w:color="auto" w:fill="auto"/>
            <w:noWrap/>
            <w:vAlign w:val="bottom"/>
          </w:tcPr>
          <w:p w14:paraId="135F46B1" w14:textId="2C80E15F" w:rsidR="00907A78" w:rsidRPr="00AC713D" w:rsidRDefault="00907A78" w:rsidP="00907A78">
            <w:pPr>
              <w:spacing w:before="0" w:beforeAutospacing="0" w:after="0" w:afterAutospacing="0"/>
              <w:ind w:firstLineChars="100" w:firstLine="200"/>
              <w:jc w:val="right"/>
              <w:rPr>
                <w:rFonts w:cs="Arial"/>
                <w:sz w:val="20"/>
                <w:szCs w:val="20"/>
              </w:rPr>
            </w:pPr>
            <w:r>
              <w:rPr>
                <w:rFonts w:cs="Arial"/>
                <w:sz w:val="20"/>
                <w:szCs w:val="20"/>
              </w:rPr>
              <w:t>2 320 127</w:t>
            </w:r>
          </w:p>
        </w:tc>
      </w:tr>
      <w:tr w:rsidR="00907A78" w:rsidRPr="00AC713D" w14:paraId="2B41185A" w14:textId="77777777" w:rsidTr="002C4FFF">
        <w:trPr>
          <w:trHeight w:val="255"/>
        </w:trPr>
        <w:tc>
          <w:tcPr>
            <w:tcW w:w="2692" w:type="pct"/>
            <w:tcBorders>
              <w:top w:val="nil"/>
              <w:left w:val="nil"/>
              <w:bottom w:val="single" w:sz="4" w:space="0" w:color="9C9D9F"/>
              <w:right w:val="nil"/>
            </w:tcBorders>
            <w:shd w:val="clear" w:color="auto" w:fill="auto"/>
            <w:noWrap/>
            <w:vAlign w:val="bottom"/>
            <w:hideMark/>
          </w:tcPr>
          <w:p w14:paraId="11F1C83E" w14:textId="77777777" w:rsidR="00907A78" w:rsidRPr="00AC713D" w:rsidRDefault="00907A78" w:rsidP="00907A78">
            <w:pPr>
              <w:spacing w:before="0" w:beforeAutospacing="0" w:after="0" w:afterAutospacing="0"/>
              <w:jc w:val="left"/>
              <w:rPr>
                <w:rFonts w:cs="Arial"/>
                <w:b/>
                <w:bCs/>
                <w:sz w:val="20"/>
                <w:szCs w:val="20"/>
              </w:rPr>
            </w:pPr>
            <w:r w:rsidRPr="00AC713D">
              <w:rPr>
                <w:rFonts w:cs="Arial"/>
                <w:b/>
                <w:bCs/>
                <w:sz w:val="20"/>
                <w:szCs w:val="20"/>
              </w:rPr>
              <w:t>Dlouhodobý majetek celkem</w:t>
            </w:r>
          </w:p>
        </w:tc>
        <w:tc>
          <w:tcPr>
            <w:tcW w:w="769" w:type="pct"/>
            <w:tcBorders>
              <w:top w:val="nil"/>
              <w:left w:val="nil"/>
              <w:bottom w:val="single" w:sz="4" w:space="0" w:color="9C9D9F"/>
              <w:right w:val="nil"/>
            </w:tcBorders>
            <w:shd w:val="clear" w:color="auto" w:fill="auto"/>
            <w:noWrap/>
            <w:vAlign w:val="bottom"/>
            <w:hideMark/>
          </w:tcPr>
          <w:p w14:paraId="039BB570" w14:textId="1FFFF9FB" w:rsidR="00907A78" w:rsidRPr="00AC713D" w:rsidRDefault="00907A78" w:rsidP="00907A78">
            <w:pPr>
              <w:spacing w:before="0" w:beforeAutospacing="0" w:after="0" w:afterAutospacing="0"/>
              <w:ind w:firstLineChars="100" w:firstLine="201"/>
              <w:jc w:val="right"/>
              <w:rPr>
                <w:rFonts w:cs="Arial"/>
                <w:b/>
                <w:bCs/>
                <w:sz w:val="20"/>
                <w:szCs w:val="20"/>
              </w:rPr>
            </w:pPr>
            <w:r w:rsidRPr="00AC713D">
              <w:rPr>
                <w:rFonts w:cs="Arial"/>
                <w:b/>
                <w:bCs/>
                <w:sz w:val="20"/>
                <w:szCs w:val="20"/>
              </w:rPr>
              <w:t>7 684 178</w:t>
            </w:r>
          </w:p>
        </w:tc>
        <w:tc>
          <w:tcPr>
            <w:tcW w:w="770" w:type="pct"/>
            <w:tcBorders>
              <w:top w:val="nil"/>
              <w:left w:val="nil"/>
              <w:bottom w:val="single" w:sz="8" w:space="0" w:color="9C9D9F"/>
              <w:right w:val="nil"/>
            </w:tcBorders>
            <w:shd w:val="clear" w:color="auto" w:fill="auto"/>
            <w:vAlign w:val="center"/>
          </w:tcPr>
          <w:p w14:paraId="0F7F6142" w14:textId="4967404E" w:rsidR="00907A78" w:rsidRPr="00AC713D" w:rsidRDefault="00907A78" w:rsidP="002C4FFF">
            <w:pPr>
              <w:spacing w:before="0" w:beforeAutospacing="0" w:after="0" w:afterAutospacing="0"/>
              <w:ind w:firstLineChars="100" w:firstLine="201"/>
              <w:jc w:val="right"/>
              <w:rPr>
                <w:rFonts w:cs="Arial"/>
                <w:b/>
                <w:bCs/>
                <w:sz w:val="20"/>
                <w:szCs w:val="20"/>
              </w:rPr>
            </w:pPr>
            <w:r w:rsidRPr="002C4FFF">
              <w:rPr>
                <w:rFonts w:cs="Arial"/>
                <w:b/>
                <w:bCs/>
                <w:color w:val="000000"/>
                <w:sz w:val="20"/>
                <w:szCs w:val="20"/>
              </w:rPr>
              <w:t>8 551 916</w:t>
            </w:r>
          </w:p>
        </w:tc>
        <w:tc>
          <w:tcPr>
            <w:tcW w:w="769" w:type="pct"/>
            <w:tcBorders>
              <w:top w:val="nil"/>
              <w:left w:val="nil"/>
              <w:bottom w:val="single" w:sz="4" w:space="0" w:color="9C9D9F"/>
              <w:right w:val="nil"/>
            </w:tcBorders>
            <w:shd w:val="clear" w:color="auto" w:fill="auto"/>
            <w:noWrap/>
            <w:vAlign w:val="bottom"/>
          </w:tcPr>
          <w:p w14:paraId="078C4509" w14:textId="6752BEAB" w:rsidR="00907A78" w:rsidRPr="00AC713D" w:rsidRDefault="00907A78" w:rsidP="00907A78">
            <w:pPr>
              <w:spacing w:before="0" w:beforeAutospacing="0" w:after="0" w:afterAutospacing="0"/>
              <w:ind w:firstLineChars="100" w:firstLine="201"/>
              <w:jc w:val="right"/>
              <w:rPr>
                <w:rFonts w:cs="Arial"/>
                <w:b/>
                <w:bCs/>
                <w:sz w:val="20"/>
                <w:szCs w:val="20"/>
              </w:rPr>
            </w:pPr>
            <w:r>
              <w:rPr>
                <w:rFonts w:cs="Arial"/>
                <w:b/>
                <w:bCs/>
                <w:sz w:val="20"/>
                <w:szCs w:val="20"/>
              </w:rPr>
              <w:t>8 323 551</w:t>
            </w:r>
          </w:p>
        </w:tc>
      </w:tr>
      <w:tr w:rsidR="00907A78" w:rsidRPr="00AC713D" w14:paraId="459BBDEF" w14:textId="77777777" w:rsidTr="002C4FFF">
        <w:trPr>
          <w:trHeight w:val="150"/>
        </w:trPr>
        <w:tc>
          <w:tcPr>
            <w:tcW w:w="2692" w:type="pct"/>
            <w:tcBorders>
              <w:top w:val="nil"/>
              <w:left w:val="nil"/>
              <w:bottom w:val="nil"/>
              <w:right w:val="nil"/>
            </w:tcBorders>
            <w:shd w:val="clear" w:color="auto" w:fill="auto"/>
            <w:noWrap/>
            <w:vAlign w:val="bottom"/>
            <w:hideMark/>
          </w:tcPr>
          <w:p w14:paraId="7B50035E" w14:textId="77777777" w:rsidR="00907A78" w:rsidRPr="00AC713D" w:rsidRDefault="00907A78" w:rsidP="00907A78">
            <w:pPr>
              <w:spacing w:before="0" w:beforeAutospacing="0" w:after="0" w:afterAutospacing="0"/>
              <w:ind w:firstLineChars="100" w:firstLine="201"/>
              <w:jc w:val="right"/>
              <w:rPr>
                <w:rFonts w:cs="Arial"/>
                <w:b/>
                <w:bCs/>
                <w:sz w:val="20"/>
                <w:szCs w:val="20"/>
              </w:rPr>
            </w:pPr>
          </w:p>
        </w:tc>
        <w:tc>
          <w:tcPr>
            <w:tcW w:w="769" w:type="pct"/>
            <w:tcBorders>
              <w:top w:val="nil"/>
              <w:left w:val="nil"/>
              <w:bottom w:val="nil"/>
              <w:right w:val="nil"/>
            </w:tcBorders>
            <w:shd w:val="clear" w:color="auto" w:fill="auto"/>
            <w:noWrap/>
            <w:vAlign w:val="bottom"/>
            <w:hideMark/>
          </w:tcPr>
          <w:p w14:paraId="479E22B6" w14:textId="77777777" w:rsidR="00907A78" w:rsidRPr="00AC713D" w:rsidRDefault="00907A78" w:rsidP="00907A78">
            <w:pPr>
              <w:spacing w:before="0" w:beforeAutospacing="0" w:after="0" w:afterAutospacing="0"/>
              <w:jc w:val="left"/>
              <w:rPr>
                <w:rFonts w:cs="Arial"/>
                <w:sz w:val="20"/>
                <w:szCs w:val="20"/>
              </w:rPr>
            </w:pPr>
          </w:p>
        </w:tc>
        <w:tc>
          <w:tcPr>
            <w:tcW w:w="770" w:type="pct"/>
            <w:tcBorders>
              <w:top w:val="nil"/>
              <w:left w:val="nil"/>
              <w:bottom w:val="nil"/>
              <w:right w:val="nil"/>
            </w:tcBorders>
            <w:vAlign w:val="center"/>
          </w:tcPr>
          <w:p w14:paraId="63DB5B1A" w14:textId="77777777" w:rsidR="00907A78" w:rsidRPr="00AC713D" w:rsidRDefault="00907A78" w:rsidP="00907A78">
            <w:pPr>
              <w:spacing w:before="0" w:beforeAutospacing="0" w:after="0" w:afterAutospacing="0"/>
              <w:ind w:firstLineChars="100" w:firstLine="200"/>
              <w:jc w:val="right"/>
              <w:rPr>
                <w:rFonts w:cs="Arial"/>
                <w:sz w:val="20"/>
                <w:szCs w:val="20"/>
              </w:rPr>
            </w:pPr>
          </w:p>
        </w:tc>
        <w:tc>
          <w:tcPr>
            <w:tcW w:w="769" w:type="pct"/>
            <w:tcBorders>
              <w:top w:val="nil"/>
              <w:left w:val="nil"/>
              <w:bottom w:val="nil"/>
              <w:right w:val="nil"/>
            </w:tcBorders>
            <w:shd w:val="clear" w:color="auto" w:fill="auto"/>
            <w:noWrap/>
            <w:vAlign w:val="bottom"/>
          </w:tcPr>
          <w:p w14:paraId="18A679CF" w14:textId="24C2E517" w:rsidR="00907A78" w:rsidRPr="00AC713D" w:rsidRDefault="00907A78" w:rsidP="00907A78">
            <w:pPr>
              <w:spacing w:before="0" w:beforeAutospacing="0" w:after="0" w:afterAutospacing="0"/>
              <w:ind w:firstLineChars="100" w:firstLine="200"/>
              <w:jc w:val="right"/>
              <w:rPr>
                <w:rFonts w:cs="Arial"/>
                <w:sz w:val="20"/>
                <w:szCs w:val="20"/>
              </w:rPr>
            </w:pPr>
          </w:p>
        </w:tc>
      </w:tr>
      <w:tr w:rsidR="00907A78" w:rsidRPr="00AC713D" w14:paraId="79C45A02" w14:textId="77777777" w:rsidTr="002C4FFF">
        <w:trPr>
          <w:trHeight w:val="255"/>
        </w:trPr>
        <w:tc>
          <w:tcPr>
            <w:tcW w:w="2692" w:type="pct"/>
            <w:tcBorders>
              <w:top w:val="nil"/>
              <w:left w:val="nil"/>
              <w:bottom w:val="nil"/>
              <w:right w:val="nil"/>
            </w:tcBorders>
            <w:shd w:val="clear" w:color="000000" w:fill="9C9D9F"/>
            <w:noWrap/>
            <w:vAlign w:val="bottom"/>
            <w:hideMark/>
          </w:tcPr>
          <w:p w14:paraId="02D25B76" w14:textId="77777777" w:rsidR="00907A78" w:rsidRPr="00AC713D" w:rsidRDefault="00907A78" w:rsidP="00907A78">
            <w:pPr>
              <w:spacing w:before="0" w:beforeAutospacing="0" w:after="0" w:afterAutospacing="0"/>
              <w:jc w:val="left"/>
              <w:rPr>
                <w:rFonts w:cs="Arial"/>
                <w:b/>
                <w:bCs/>
                <w:sz w:val="20"/>
                <w:szCs w:val="20"/>
              </w:rPr>
            </w:pPr>
            <w:r w:rsidRPr="00AC713D">
              <w:rPr>
                <w:rFonts w:cs="Arial"/>
                <w:b/>
                <w:bCs/>
                <w:sz w:val="20"/>
                <w:szCs w:val="20"/>
              </w:rPr>
              <w:t>Oběžná aktiva</w:t>
            </w:r>
          </w:p>
        </w:tc>
        <w:tc>
          <w:tcPr>
            <w:tcW w:w="769" w:type="pct"/>
            <w:tcBorders>
              <w:top w:val="nil"/>
              <w:left w:val="nil"/>
              <w:bottom w:val="nil"/>
              <w:right w:val="nil"/>
            </w:tcBorders>
            <w:shd w:val="clear" w:color="000000" w:fill="9C9D9F"/>
            <w:noWrap/>
            <w:vAlign w:val="bottom"/>
            <w:hideMark/>
          </w:tcPr>
          <w:p w14:paraId="5B0B64FA" w14:textId="58D176E6" w:rsidR="00907A78" w:rsidRPr="00AC713D" w:rsidRDefault="00907A78" w:rsidP="00907A78">
            <w:pPr>
              <w:spacing w:before="0" w:beforeAutospacing="0" w:after="0" w:afterAutospacing="0"/>
              <w:ind w:firstLineChars="100" w:firstLine="200"/>
              <w:jc w:val="right"/>
              <w:rPr>
                <w:rFonts w:cs="Arial"/>
                <w:sz w:val="20"/>
                <w:szCs w:val="20"/>
              </w:rPr>
            </w:pPr>
            <w:r w:rsidRPr="00AC713D">
              <w:rPr>
                <w:rFonts w:cs="Arial"/>
                <w:sz w:val="20"/>
                <w:szCs w:val="20"/>
              </w:rPr>
              <w:t> </w:t>
            </w:r>
          </w:p>
        </w:tc>
        <w:tc>
          <w:tcPr>
            <w:tcW w:w="770" w:type="pct"/>
            <w:tcBorders>
              <w:top w:val="nil"/>
              <w:left w:val="nil"/>
              <w:bottom w:val="nil"/>
              <w:right w:val="nil"/>
            </w:tcBorders>
            <w:shd w:val="clear" w:color="000000" w:fill="9C9D9F"/>
            <w:vAlign w:val="center"/>
          </w:tcPr>
          <w:p w14:paraId="2BBF8EE2" w14:textId="77777777" w:rsidR="00907A78" w:rsidRPr="00AC713D" w:rsidRDefault="00907A78" w:rsidP="00907A78">
            <w:pPr>
              <w:spacing w:before="0" w:beforeAutospacing="0" w:after="0" w:afterAutospacing="0"/>
              <w:ind w:firstLineChars="100" w:firstLine="200"/>
              <w:jc w:val="right"/>
              <w:rPr>
                <w:rFonts w:cs="Arial"/>
                <w:sz w:val="20"/>
                <w:szCs w:val="20"/>
              </w:rPr>
            </w:pPr>
          </w:p>
        </w:tc>
        <w:tc>
          <w:tcPr>
            <w:tcW w:w="769" w:type="pct"/>
            <w:tcBorders>
              <w:top w:val="nil"/>
              <w:left w:val="nil"/>
              <w:bottom w:val="nil"/>
              <w:right w:val="nil"/>
            </w:tcBorders>
            <w:shd w:val="clear" w:color="000000" w:fill="9C9D9F"/>
            <w:noWrap/>
            <w:vAlign w:val="bottom"/>
          </w:tcPr>
          <w:p w14:paraId="5F2DC3FB" w14:textId="6C69990F" w:rsidR="00907A78" w:rsidRPr="00AC713D" w:rsidRDefault="00907A78" w:rsidP="00907A78">
            <w:pPr>
              <w:spacing w:before="0" w:beforeAutospacing="0" w:after="0" w:afterAutospacing="0"/>
              <w:ind w:firstLineChars="100" w:firstLine="200"/>
              <w:jc w:val="right"/>
              <w:rPr>
                <w:rFonts w:cs="Arial"/>
                <w:sz w:val="20"/>
                <w:szCs w:val="20"/>
              </w:rPr>
            </w:pPr>
            <w:r>
              <w:rPr>
                <w:rFonts w:cs="Arial"/>
                <w:sz w:val="20"/>
                <w:szCs w:val="20"/>
              </w:rPr>
              <w:t> </w:t>
            </w:r>
          </w:p>
        </w:tc>
      </w:tr>
      <w:tr w:rsidR="00907A78" w:rsidRPr="00AC713D" w14:paraId="59D2BA49" w14:textId="77777777" w:rsidTr="002C4FFF">
        <w:trPr>
          <w:trHeight w:val="255"/>
        </w:trPr>
        <w:tc>
          <w:tcPr>
            <w:tcW w:w="2692" w:type="pct"/>
            <w:tcBorders>
              <w:top w:val="nil"/>
              <w:left w:val="nil"/>
              <w:bottom w:val="single" w:sz="4" w:space="0" w:color="9C9D9F"/>
              <w:right w:val="nil"/>
            </w:tcBorders>
            <w:shd w:val="clear" w:color="auto" w:fill="auto"/>
            <w:noWrap/>
            <w:vAlign w:val="bottom"/>
            <w:hideMark/>
          </w:tcPr>
          <w:p w14:paraId="7CBDF928" w14:textId="77777777" w:rsidR="00907A78" w:rsidRPr="00AC713D" w:rsidRDefault="00907A78" w:rsidP="00907A78">
            <w:pPr>
              <w:spacing w:before="0" w:beforeAutospacing="0" w:after="0" w:afterAutospacing="0"/>
              <w:jc w:val="left"/>
              <w:rPr>
                <w:rFonts w:cs="Arial"/>
                <w:sz w:val="20"/>
                <w:szCs w:val="20"/>
              </w:rPr>
            </w:pPr>
            <w:r w:rsidRPr="00AC713D">
              <w:rPr>
                <w:rFonts w:cs="Arial"/>
                <w:sz w:val="20"/>
                <w:szCs w:val="20"/>
              </w:rPr>
              <w:t>Zásoby</w:t>
            </w:r>
          </w:p>
        </w:tc>
        <w:tc>
          <w:tcPr>
            <w:tcW w:w="769" w:type="pct"/>
            <w:tcBorders>
              <w:top w:val="nil"/>
              <w:left w:val="nil"/>
              <w:bottom w:val="single" w:sz="4" w:space="0" w:color="9C9D9F"/>
              <w:right w:val="nil"/>
            </w:tcBorders>
            <w:shd w:val="clear" w:color="auto" w:fill="auto"/>
            <w:noWrap/>
            <w:vAlign w:val="bottom"/>
            <w:hideMark/>
          </w:tcPr>
          <w:p w14:paraId="1F0C6C3E" w14:textId="6C78A0C4" w:rsidR="00907A78" w:rsidRPr="00AC713D" w:rsidRDefault="00907A78" w:rsidP="00907A78">
            <w:pPr>
              <w:spacing w:before="0" w:beforeAutospacing="0" w:after="0" w:afterAutospacing="0"/>
              <w:ind w:firstLineChars="100" w:firstLine="200"/>
              <w:jc w:val="right"/>
              <w:rPr>
                <w:rFonts w:cs="Arial"/>
                <w:sz w:val="20"/>
                <w:szCs w:val="20"/>
              </w:rPr>
            </w:pPr>
            <w:r w:rsidRPr="00AC713D">
              <w:rPr>
                <w:rFonts w:cs="Arial"/>
                <w:sz w:val="20"/>
                <w:szCs w:val="20"/>
              </w:rPr>
              <w:t>733 017</w:t>
            </w:r>
          </w:p>
        </w:tc>
        <w:tc>
          <w:tcPr>
            <w:tcW w:w="770" w:type="pct"/>
            <w:tcBorders>
              <w:top w:val="nil"/>
              <w:left w:val="nil"/>
              <w:bottom w:val="single" w:sz="4" w:space="0" w:color="9C9D9F"/>
              <w:right w:val="nil"/>
            </w:tcBorders>
            <w:vAlign w:val="center"/>
          </w:tcPr>
          <w:p w14:paraId="1D4B995E" w14:textId="090CE5F1" w:rsidR="00907A78" w:rsidRPr="00AC713D" w:rsidRDefault="00907A78" w:rsidP="00907A78">
            <w:pPr>
              <w:spacing w:before="0" w:beforeAutospacing="0" w:after="0" w:afterAutospacing="0"/>
              <w:ind w:firstLineChars="100" w:firstLine="200"/>
              <w:jc w:val="right"/>
              <w:rPr>
                <w:rFonts w:cs="Arial"/>
                <w:sz w:val="20"/>
                <w:szCs w:val="20"/>
              </w:rPr>
            </w:pPr>
            <w:r w:rsidRPr="00AC713D">
              <w:rPr>
                <w:rFonts w:cs="Arial"/>
                <w:sz w:val="20"/>
                <w:szCs w:val="20"/>
              </w:rPr>
              <w:t>776 496</w:t>
            </w:r>
          </w:p>
        </w:tc>
        <w:tc>
          <w:tcPr>
            <w:tcW w:w="769" w:type="pct"/>
            <w:tcBorders>
              <w:top w:val="nil"/>
              <w:left w:val="nil"/>
              <w:bottom w:val="single" w:sz="4" w:space="0" w:color="9C9D9F"/>
              <w:right w:val="nil"/>
            </w:tcBorders>
            <w:shd w:val="clear" w:color="auto" w:fill="auto"/>
            <w:noWrap/>
            <w:vAlign w:val="bottom"/>
          </w:tcPr>
          <w:p w14:paraId="3AA151FA" w14:textId="2A21C6B7" w:rsidR="00907A78" w:rsidRPr="00AC713D" w:rsidRDefault="00907A78" w:rsidP="00907A78">
            <w:pPr>
              <w:spacing w:before="0" w:beforeAutospacing="0" w:after="0" w:afterAutospacing="0"/>
              <w:ind w:firstLineChars="100" w:firstLine="200"/>
              <w:jc w:val="right"/>
              <w:rPr>
                <w:rFonts w:cs="Arial"/>
                <w:sz w:val="20"/>
                <w:szCs w:val="20"/>
              </w:rPr>
            </w:pPr>
            <w:r>
              <w:rPr>
                <w:rFonts w:cs="Arial"/>
                <w:sz w:val="20"/>
                <w:szCs w:val="20"/>
              </w:rPr>
              <w:t>850 420</w:t>
            </w:r>
          </w:p>
        </w:tc>
      </w:tr>
      <w:tr w:rsidR="00907A78" w:rsidRPr="00AC713D" w14:paraId="770A4910" w14:textId="77777777" w:rsidTr="002C4FFF">
        <w:trPr>
          <w:trHeight w:val="255"/>
        </w:trPr>
        <w:tc>
          <w:tcPr>
            <w:tcW w:w="2692" w:type="pct"/>
            <w:tcBorders>
              <w:top w:val="nil"/>
              <w:left w:val="nil"/>
              <w:bottom w:val="single" w:sz="4" w:space="0" w:color="9C9D9F"/>
              <w:right w:val="nil"/>
            </w:tcBorders>
            <w:shd w:val="clear" w:color="auto" w:fill="auto"/>
            <w:vAlign w:val="bottom"/>
            <w:hideMark/>
          </w:tcPr>
          <w:p w14:paraId="044173E4" w14:textId="77777777" w:rsidR="00907A78" w:rsidRPr="00AC713D" w:rsidRDefault="00907A78" w:rsidP="00907A78">
            <w:pPr>
              <w:spacing w:before="0" w:beforeAutospacing="0" w:after="0" w:afterAutospacing="0"/>
              <w:jc w:val="left"/>
              <w:rPr>
                <w:rFonts w:cs="Arial"/>
                <w:sz w:val="20"/>
                <w:szCs w:val="20"/>
              </w:rPr>
            </w:pPr>
            <w:r w:rsidRPr="00AC713D">
              <w:rPr>
                <w:rFonts w:cs="Arial"/>
                <w:sz w:val="20"/>
                <w:szCs w:val="20"/>
              </w:rPr>
              <w:t>Pohledávky z obchodních vztahů, smluvní aktiva a jiné pohledávky</w:t>
            </w:r>
          </w:p>
        </w:tc>
        <w:tc>
          <w:tcPr>
            <w:tcW w:w="769" w:type="pct"/>
            <w:tcBorders>
              <w:top w:val="nil"/>
              <w:left w:val="nil"/>
              <w:bottom w:val="single" w:sz="4" w:space="0" w:color="9C9D9F"/>
              <w:right w:val="nil"/>
            </w:tcBorders>
            <w:shd w:val="clear" w:color="auto" w:fill="auto"/>
            <w:noWrap/>
            <w:vAlign w:val="bottom"/>
            <w:hideMark/>
          </w:tcPr>
          <w:p w14:paraId="5E079E7C" w14:textId="59A1EADC" w:rsidR="00907A78" w:rsidRPr="00AC713D" w:rsidRDefault="00907A78" w:rsidP="00907A78">
            <w:pPr>
              <w:spacing w:before="0" w:beforeAutospacing="0" w:after="0" w:afterAutospacing="0"/>
              <w:ind w:firstLineChars="100" w:firstLine="200"/>
              <w:jc w:val="right"/>
              <w:rPr>
                <w:rFonts w:cs="Arial"/>
                <w:sz w:val="20"/>
                <w:szCs w:val="20"/>
              </w:rPr>
            </w:pPr>
            <w:r w:rsidRPr="00AC713D">
              <w:rPr>
                <w:rFonts w:cs="Arial"/>
                <w:sz w:val="20"/>
                <w:szCs w:val="20"/>
              </w:rPr>
              <w:t>1 810 893</w:t>
            </w:r>
          </w:p>
        </w:tc>
        <w:tc>
          <w:tcPr>
            <w:tcW w:w="770" w:type="pct"/>
            <w:tcBorders>
              <w:top w:val="nil"/>
              <w:left w:val="nil"/>
              <w:bottom w:val="single" w:sz="4" w:space="0" w:color="9C9D9F"/>
              <w:right w:val="nil"/>
            </w:tcBorders>
            <w:vAlign w:val="bottom"/>
          </w:tcPr>
          <w:p w14:paraId="69B1BBFF" w14:textId="2D3FBAC4" w:rsidR="00907A78" w:rsidRPr="00AC713D" w:rsidRDefault="00907A78" w:rsidP="00907A78">
            <w:pPr>
              <w:spacing w:before="0" w:beforeAutospacing="0" w:after="0" w:afterAutospacing="0"/>
              <w:ind w:firstLineChars="100" w:firstLine="200"/>
              <w:jc w:val="right"/>
              <w:rPr>
                <w:rFonts w:cs="Arial"/>
                <w:sz w:val="20"/>
                <w:szCs w:val="20"/>
              </w:rPr>
            </w:pPr>
            <w:r w:rsidRPr="00AC713D">
              <w:rPr>
                <w:rFonts w:cs="Arial"/>
                <w:sz w:val="20"/>
                <w:szCs w:val="20"/>
              </w:rPr>
              <w:t>2 054 335</w:t>
            </w:r>
          </w:p>
        </w:tc>
        <w:tc>
          <w:tcPr>
            <w:tcW w:w="769" w:type="pct"/>
            <w:tcBorders>
              <w:top w:val="nil"/>
              <w:left w:val="nil"/>
              <w:bottom w:val="single" w:sz="4" w:space="0" w:color="9C9D9F"/>
              <w:right w:val="nil"/>
            </w:tcBorders>
            <w:shd w:val="clear" w:color="auto" w:fill="auto"/>
            <w:noWrap/>
            <w:vAlign w:val="bottom"/>
          </w:tcPr>
          <w:p w14:paraId="6557DEC6" w14:textId="6CD13478" w:rsidR="00907A78" w:rsidRPr="00AC713D" w:rsidRDefault="00907A78" w:rsidP="00907A78">
            <w:pPr>
              <w:spacing w:before="0" w:beforeAutospacing="0" w:after="0" w:afterAutospacing="0"/>
              <w:ind w:firstLineChars="100" w:firstLine="200"/>
              <w:jc w:val="right"/>
              <w:rPr>
                <w:rFonts w:cs="Arial"/>
                <w:sz w:val="20"/>
                <w:szCs w:val="20"/>
              </w:rPr>
            </w:pPr>
            <w:r>
              <w:rPr>
                <w:rFonts w:cs="Arial"/>
                <w:sz w:val="20"/>
                <w:szCs w:val="20"/>
              </w:rPr>
              <w:t>2 369 637</w:t>
            </w:r>
          </w:p>
        </w:tc>
      </w:tr>
      <w:tr w:rsidR="00907A78" w:rsidRPr="00AC713D" w14:paraId="484DA8B3" w14:textId="77777777" w:rsidTr="002C4FFF">
        <w:trPr>
          <w:trHeight w:val="255"/>
        </w:trPr>
        <w:tc>
          <w:tcPr>
            <w:tcW w:w="2692" w:type="pct"/>
            <w:tcBorders>
              <w:top w:val="nil"/>
              <w:left w:val="nil"/>
              <w:bottom w:val="single" w:sz="4" w:space="0" w:color="9C9D9F"/>
              <w:right w:val="nil"/>
            </w:tcBorders>
            <w:shd w:val="clear" w:color="auto" w:fill="auto"/>
            <w:noWrap/>
            <w:vAlign w:val="bottom"/>
            <w:hideMark/>
          </w:tcPr>
          <w:p w14:paraId="60A1E3AC" w14:textId="77777777" w:rsidR="00907A78" w:rsidRPr="00AC713D" w:rsidRDefault="00907A78" w:rsidP="00907A78">
            <w:pPr>
              <w:spacing w:before="0" w:beforeAutospacing="0" w:after="0" w:afterAutospacing="0"/>
              <w:jc w:val="left"/>
              <w:rPr>
                <w:rFonts w:cs="Arial"/>
                <w:sz w:val="20"/>
                <w:szCs w:val="20"/>
              </w:rPr>
            </w:pPr>
            <w:r w:rsidRPr="00AC713D">
              <w:rPr>
                <w:rFonts w:cs="Arial"/>
                <w:sz w:val="20"/>
                <w:szCs w:val="20"/>
              </w:rPr>
              <w:t>Pohledávky z daně z příjmu</w:t>
            </w:r>
          </w:p>
        </w:tc>
        <w:tc>
          <w:tcPr>
            <w:tcW w:w="769" w:type="pct"/>
            <w:tcBorders>
              <w:top w:val="nil"/>
              <w:left w:val="nil"/>
              <w:bottom w:val="single" w:sz="4" w:space="0" w:color="9C9D9F"/>
              <w:right w:val="nil"/>
            </w:tcBorders>
            <w:shd w:val="clear" w:color="auto" w:fill="auto"/>
            <w:noWrap/>
            <w:vAlign w:val="bottom"/>
            <w:hideMark/>
          </w:tcPr>
          <w:p w14:paraId="3DA816E0" w14:textId="47DD0FD5" w:rsidR="00907A78" w:rsidRPr="00AC713D" w:rsidRDefault="00907A78" w:rsidP="00907A78">
            <w:pPr>
              <w:spacing w:before="0" w:beforeAutospacing="0" w:after="0" w:afterAutospacing="0"/>
              <w:ind w:firstLineChars="100" w:firstLine="200"/>
              <w:jc w:val="right"/>
              <w:rPr>
                <w:rFonts w:cs="Arial"/>
                <w:sz w:val="20"/>
                <w:szCs w:val="20"/>
              </w:rPr>
            </w:pPr>
            <w:r w:rsidRPr="00AC713D">
              <w:rPr>
                <w:rFonts w:cs="Arial"/>
                <w:sz w:val="20"/>
                <w:szCs w:val="20"/>
              </w:rPr>
              <w:t>0</w:t>
            </w:r>
          </w:p>
        </w:tc>
        <w:tc>
          <w:tcPr>
            <w:tcW w:w="770" w:type="pct"/>
            <w:tcBorders>
              <w:top w:val="nil"/>
              <w:left w:val="nil"/>
              <w:bottom w:val="single" w:sz="4" w:space="0" w:color="9C9D9F"/>
              <w:right w:val="nil"/>
            </w:tcBorders>
            <w:vAlign w:val="center"/>
          </w:tcPr>
          <w:p w14:paraId="4B6728D1" w14:textId="17EF8FC5" w:rsidR="00907A78" w:rsidRPr="00AC713D" w:rsidRDefault="00907A78" w:rsidP="00907A78">
            <w:pPr>
              <w:spacing w:before="0" w:beforeAutospacing="0" w:after="0" w:afterAutospacing="0"/>
              <w:ind w:firstLineChars="100" w:firstLine="200"/>
              <w:jc w:val="right"/>
              <w:rPr>
                <w:rFonts w:cs="Arial"/>
                <w:sz w:val="20"/>
                <w:szCs w:val="20"/>
              </w:rPr>
            </w:pPr>
            <w:r w:rsidRPr="00AC713D">
              <w:rPr>
                <w:rFonts w:cs="Arial"/>
                <w:sz w:val="20"/>
                <w:szCs w:val="20"/>
              </w:rPr>
              <w:t>0</w:t>
            </w:r>
          </w:p>
        </w:tc>
        <w:tc>
          <w:tcPr>
            <w:tcW w:w="769" w:type="pct"/>
            <w:tcBorders>
              <w:top w:val="nil"/>
              <w:left w:val="nil"/>
              <w:bottom w:val="single" w:sz="4" w:space="0" w:color="9C9D9F"/>
              <w:right w:val="nil"/>
            </w:tcBorders>
            <w:shd w:val="clear" w:color="auto" w:fill="auto"/>
            <w:noWrap/>
            <w:vAlign w:val="bottom"/>
          </w:tcPr>
          <w:p w14:paraId="74825D99" w14:textId="30D6BF34" w:rsidR="00907A78" w:rsidRPr="00AC713D" w:rsidRDefault="00907A78" w:rsidP="00907A78">
            <w:pPr>
              <w:spacing w:before="0" w:beforeAutospacing="0" w:after="0" w:afterAutospacing="0"/>
              <w:ind w:firstLineChars="100" w:firstLine="200"/>
              <w:jc w:val="right"/>
              <w:rPr>
                <w:rFonts w:cs="Arial"/>
                <w:sz w:val="20"/>
                <w:szCs w:val="20"/>
              </w:rPr>
            </w:pPr>
            <w:r>
              <w:rPr>
                <w:rFonts w:cs="Arial"/>
                <w:sz w:val="20"/>
                <w:szCs w:val="20"/>
              </w:rPr>
              <w:t>0</w:t>
            </w:r>
          </w:p>
        </w:tc>
      </w:tr>
      <w:tr w:rsidR="00907A78" w:rsidRPr="00AC713D" w14:paraId="271F8EA1" w14:textId="77777777" w:rsidTr="002C4FFF">
        <w:trPr>
          <w:trHeight w:val="255"/>
        </w:trPr>
        <w:tc>
          <w:tcPr>
            <w:tcW w:w="2692" w:type="pct"/>
            <w:tcBorders>
              <w:top w:val="nil"/>
              <w:left w:val="nil"/>
              <w:bottom w:val="single" w:sz="4" w:space="0" w:color="9C9D9F"/>
              <w:right w:val="nil"/>
            </w:tcBorders>
            <w:shd w:val="clear" w:color="auto" w:fill="auto"/>
            <w:noWrap/>
            <w:vAlign w:val="bottom"/>
            <w:hideMark/>
          </w:tcPr>
          <w:p w14:paraId="664DA714" w14:textId="77777777" w:rsidR="00907A78" w:rsidRPr="00AC713D" w:rsidRDefault="00907A78" w:rsidP="00907A78">
            <w:pPr>
              <w:spacing w:before="0" w:beforeAutospacing="0" w:after="0" w:afterAutospacing="0"/>
              <w:jc w:val="left"/>
              <w:rPr>
                <w:rFonts w:cs="Arial"/>
                <w:sz w:val="20"/>
                <w:szCs w:val="20"/>
              </w:rPr>
            </w:pPr>
            <w:r w:rsidRPr="00AC713D">
              <w:rPr>
                <w:rFonts w:cs="Arial"/>
                <w:sz w:val="20"/>
                <w:szCs w:val="20"/>
              </w:rPr>
              <w:t>Peníze a peněžní ekvivalenty</w:t>
            </w:r>
          </w:p>
        </w:tc>
        <w:tc>
          <w:tcPr>
            <w:tcW w:w="769" w:type="pct"/>
            <w:tcBorders>
              <w:top w:val="nil"/>
              <w:left w:val="nil"/>
              <w:bottom w:val="single" w:sz="4" w:space="0" w:color="9C9D9F"/>
              <w:right w:val="nil"/>
            </w:tcBorders>
            <w:shd w:val="clear" w:color="auto" w:fill="auto"/>
            <w:noWrap/>
            <w:vAlign w:val="bottom"/>
            <w:hideMark/>
          </w:tcPr>
          <w:p w14:paraId="4C0F921E" w14:textId="6EE1C90B" w:rsidR="00907A78" w:rsidRPr="00AC713D" w:rsidRDefault="00907A78" w:rsidP="00907A78">
            <w:pPr>
              <w:spacing w:before="0" w:beforeAutospacing="0" w:after="0" w:afterAutospacing="0"/>
              <w:ind w:firstLineChars="100" w:firstLine="200"/>
              <w:jc w:val="right"/>
              <w:rPr>
                <w:rFonts w:cs="Arial"/>
                <w:sz w:val="20"/>
                <w:szCs w:val="20"/>
              </w:rPr>
            </w:pPr>
            <w:r w:rsidRPr="00AC713D">
              <w:rPr>
                <w:rFonts w:cs="Arial"/>
                <w:sz w:val="20"/>
                <w:szCs w:val="20"/>
              </w:rPr>
              <w:t>319 511</w:t>
            </w:r>
          </w:p>
        </w:tc>
        <w:tc>
          <w:tcPr>
            <w:tcW w:w="770" w:type="pct"/>
            <w:tcBorders>
              <w:top w:val="nil"/>
              <w:left w:val="nil"/>
              <w:bottom w:val="single" w:sz="8" w:space="0" w:color="9C9D9F"/>
              <w:right w:val="nil"/>
            </w:tcBorders>
            <w:shd w:val="clear" w:color="auto" w:fill="auto"/>
            <w:vAlign w:val="center"/>
          </w:tcPr>
          <w:p w14:paraId="3E71689D" w14:textId="0C76B8BD" w:rsidR="00907A78" w:rsidRPr="00AC713D" w:rsidRDefault="00907A78" w:rsidP="002C4FFF">
            <w:pPr>
              <w:spacing w:before="0" w:beforeAutospacing="0" w:after="0" w:afterAutospacing="0"/>
              <w:ind w:firstLineChars="100" w:firstLine="200"/>
              <w:jc w:val="right"/>
              <w:rPr>
                <w:rFonts w:cs="Arial"/>
                <w:sz w:val="20"/>
                <w:szCs w:val="20"/>
              </w:rPr>
            </w:pPr>
            <w:r w:rsidRPr="002C4FFF">
              <w:rPr>
                <w:rFonts w:cs="Arial"/>
                <w:color w:val="000000"/>
                <w:sz w:val="20"/>
                <w:szCs w:val="20"/>
              </w:rPr>
              <w:t>202 534</w:t>
            </w:r>
          </w:p>
        </w:tc>
        <w:tc>
          <w:tcPr>
            <w:tcW w:w="769" w:type="pct"/>
            <w:tcBorders>
              <w:top w:val="nil"/>
              <w:left w:val="nil"/>
              <w:bottom w:val="single" w:sz="4" w:space="0" w:color="9C9D9F"/>
              <w:right w:val="nil"/>
            </w:tcBorders>
            <w:shd w:val="clear" w:color="auto" w:fill="auto"/>
            <w:noWrap/>
            <w:vAlign w:val="bottom"/>
          </w:tcPr>
          <w:p w14:paraId="0C65594D" w14:textId="3971FF0A" w:rsidR="00907A78" w:rsidRPr="00AC713D" w:rsidRDefault="00907A78" w:rsidP="00907A78">
            <w:pPr>
              <w:spacing w:before="0" w:beforeAutospacing="0" w:after="0" w:afterAutospacing="0"/>
              <w:ind w:firstLineChars="100" w:firstLine="200"/>
              <w:jc w:val="right"/>
              <w:rPr>
                <w:rFonts w:cs="Arial"/>
                <w:sz w:val="20"/>
                <w:szCs w:val="20"/>
              </w:rPr>
            </w:pPr>
            <w:r>
              <w:rPr>
                <w:rFonts w:cs="Arial"/>
                <w:sz w:val="20"/>
                <w:szCs w:val="20"/>
              </w:rPr>
              <w:t>250 034</w:t>
            </w:r>
          </w:p>
        </w:tc>
      </w:tr>
      <w:tr w:rsidR="00907A78" w:rsidRPr="00AC713D" w14:paraId="42DC473B" w14:textId="77777777" w:rsidTr="002C4FFF">
        <w:trPr>
          <w:trHeight w:val="255"/>
        </w:trPr>
        <w:tc>
          <w:tcPr>
            <w:tcW w:w="2692" w:type="pct"/>
            <w:tcBorders>
              <w:top w:val="nil"/>
              <w:left w:val="nil"/>
              <w:bottom w:val="single" w:sz="4" w:space="0" w:color="9C9D9F"/>
              <w:right w:val="nil"/>
            </w:tcBorders>
            <w:shd w:val="clear" w:color="auto" w:fill="auto"/>
            <w:noWrap/>
            <w:vAlign w:val="bottom"/>
            <w:hideMark/>
          </w:tcPr>
          <w:p w14:paraId="00AF7E0D" w14:textId="77777777" w:rsidR="00907A78" w:rsidRPr="00AC713D" w:rsidRDefault="00907A78" w:rsidP="00907A78">
            <w:pPr>
              <w:spacing w:before="0" w:beforeAutospacing="0" w:after="0" w:afterAutospacing="0"/>
              <w:jc w:val="left"/>
              <w:rPr>
                <w:rFonts w:cs="Arial"/>
                <w:b/>
                <w:bCs/>
                <w:sz w:val="20"/>
                <w:szCs w:val="20"/>
              </w:rPr>
            </w:pPr>
            <w:r w:rsidRPr="00AC713D">
              <w:rPr>
                <w:rFonts w:cs="Arial"/>
                <w:b/>
                <w:bCs/>
                <w:sz w:val="20"/>
                <w:szCs w:val="20"/>
              </w:rPr>
              <w:t>Oběžná aktiva celkem</w:t>
            </w:r>
          </w:p>
        </w:tc>
        <w:tc>
          <w:tcPr>
            <w:tcW w:w="769" w:type="pct"/>
            <w:tcBorders>
              <w:top w:val="nil"/>
              <w:left w:val="nil"/>
              <w:bottom w:val="single" w:sz="4" w:space="0" w:color="9C9D9F"/>
              <w:right w:val="nil"/>
            </w:tcBorders>
            <w:shd w:val="clear" w:color="auto" w:fill="auto"/>
            <w:noWrap/>
            <w:vAlign w:val="bottom"/>
            <w:hideMark/>
          </w:tcPr>
          <w:p w14:paraId="678357BE" w14:textId="507D9A51" w:rsidR="00907A78" w:rsidRPr="00AC713D" w:rsidRDefault="00907A78" w:rsidP="00907A78">
            <w:pPr>
              <w:spacing w:before="0" w:beforeAutospacing="0" w:after="0" w:afterAutospacing="0"/>
              <w:ind w:firstLineChars="100" w:firstLine="201"/>
              <w:jc w:val="right"/>
              <w:rPr>
                <w:rFonts w:cs="Arial"/>
                <w:b/>
                <w:bCs/>
                <w:sz w:val="20"/>
                <w:szCs w:val="20"/>
              </w:rPr>
            </w:pPr>
            <w:r w:rsidRPr="00AC713D">
              <w:rPr>
                <w:rFonts w:cs="Arial"/>
                <w:b/>
                <w:bCs/>
                <w:sz w:val="20"/>
                <w:szCs w:val="20"/>
              </w:rPr>
              <w:t>2 863 421</w:t>
            </w:r>
          </w:p>
        </w:tc>
        <w:tc>
          <w:tcPr>
            <w:tcW w:w="770" w:type="pct"/>
            <w:tcBorders>
              <w:top w:val="nil"/>
              <w:left w:val="nil"/>
              <w:bottom w:val="single" w:sz="8" w:space="0" w:color="9C9D9F"/>
              <w:right w:val="nil"/>
            </w:tcBorders>
            <w:shd w:val="clear" w:color="auto" w:fill="auto"/>
            <w:vAlign w:val="center"/>
          </w:tcPr>
          <w:p w14:paraId="3843D65B" w14:textId="4199D4B2" w:rsidR="00907A78" w:rsidRPr="00AC713D" w:rsidRDefault="00907A78" w:rsidP="002C4FFF">
            <w:pPr>
              <w:spacing w:before="0" w:beforeAutospacing="0" w:after="0" w:afterAutospacing="0"/>
              <w:ind w:firstLineChars="100" w:firstLine="201"/>
              <w:jc w:val="right"/>
              <w:rPr>
                <w:rFonts w:cs="Arial"/>
                <w:b/>
                <w:bCs/>
                <w:sz w:val="20"/>
                <w:szCs w:val="20"/>
              </w:rPr>
            </w:pPr>
            <w:r w:rsidRPr="002C4FFF">
              <w:rPr>
                <w:rFonts w:cs="Arial"/>
                <w:b/>
                <w:bCs/>
                <w:color w:val="000000"/>
                <w:sz w:val="20"/>
                <w:szCs w:val="20"/>
              </w:rPr>
              <w:t>3 033 366</w:t>
            </w:r>
          </w:p>
        </w:tc>
        <w:tc>
          <w:tcPr>
            <w:tcW w:w="769" w:type="pct"/>
            <w:tcBorders>
              <w:top w:val="nil"/>
              <w:left w:val="nil"/>
              <w:bottom w:val="single" w:sz="4" w:space="0" w:color="9C9D9F"/>
              <w:right w:val="nil"/>
            </w:tcBorders>
            <w:shd w:val="clear" w:color="auto" w:fill="auto"/>
            <w:noWrap/>
            <w:vAlign w:val="bottom"/>
          </w:tcPr>
          <w:p w14:paraId="34C9F582" w14:textId="6551F19B" w:rsidR="00907A78" w:rsidRPr="00AC713D" w:rsidRDefault="00907A78" w:rsidP="00907A78">
            <w:pPr>
              <w:spacing w:before="0" w:beforeAutospacing="0" w:after="0" w:afterAutospacing="0"/>
              <w:ind w:firstLineChars="100" w:firstLine="201"/>
              <w:jc w:val="right"/>
              <w:rPr>
                <w:rFonts w:cs="Arial"/>
                <w:b/>
                <w:bCs/>
                <w:sz w:val="20"/>
                <w:szCs w:val="20"/>
              </w:rPr>
            </w:pPr>
            <w:r>
              <w:rPr>
                <w:rFonts w:cs="Arial"/>
                <w:b/>
                <w:bCs/>
                <w:sz w:val="20"/>
                <w:szCs w:val="20"/>
              </w:rPr>
              <w:t>3 470 092</w:t>
            </w:r>
          </w:p>
        </w:tc>
      </w:tr>
      <w:tr w:rsidR="00907A78" w:rsidRPr="00AC713D" w14:paraId="1F10D685" w14:textId="77777777" w:rsidTr="002C4FFF">
        <w:trPr>
          <w:trHeight w:val="300"/>
        </w:trPr>
        <w:tc>
          <w:tcPr>
            <w:tcW w:w="2692" w:type="pct"/>
            <w:tcBorders>
              <w:top w:val="nil"/>
              <w:left w:val="nil"/>
              <w:bottom w:val="single" w:sz="4" w:space="0" w:color="9C9D9F"/>
              <w:right w:val="nil"/>
            </w:tcBorders>
            <w:shd w:val="clear" w:color="auto" w:fill="auto"/>
            <w:noWrap/>
            <w:vAlign w:val="bottom"/>
            <w:hideMark/>
          </w:tcPr>
          <w:p w14:paraId="17A57575" w14:textId="77777777" w:rsidR="00907A78" w:rsidRPr="00AC713D" w:rsidRDefault="00907A78" w:rsidP="00907A78">
            <w:pPr>
              <w:spacing w:before="0" w:beforeAutospacing="0" w:after="0" w:afterAutospacing="0"/>
              <w:jc w:val="left"/>
              <w:rPr>
                <w:rFonts w:cs="Arial"/>
                <w:b/>
                <w:bCs/>
                <w:sz w:val="20"/>
                <w:szCs w:val="20"/>
              </w:rPr>
            </w:pPr>
            <w:r w:rsidRPr="00AC713D">
              <w:rPr>
                <w:rFonts w:cs="Arial"/>
                <w:b/>
                <w:bCs/>
                <w:sz w:val="20"/>
                <w:szCs w:val="20"/>
              </w:rPr>
              <w:t>Aktiva celkem</w:t>
            </w:r>
          </w:p>
        </w:tc>
        <w:tc>
          <w:tcPr>
            <w:tcW w:w="769" w:type="pct"/>
            <w:tcBorders>
              <w:top w:val="nil"/>
              <w:left w:val="nil"/>
              <w:bottom w:val="single" w:sz="4" w:space="0" w:color="9C9D9F"/>
              <w:right w:val="nil"/>
            </w:tcBorders>
            <w:shd w:val="clear" w:color="auto" w:fill="auto"/>
            <w:noWrap/>
            <w:vAlign w:val="bottom"/>
            <w:hideMark/>
          </w:tcPr>
          <w:p w14:paraId="4197C6DF" w14:textId="7AFD8166" w:rsidR="00907A78" w:rsidRPr="00AC713D" w:rsidRDefault="00907A78" w:rsidP="00907A78">
            <w:pPr>
              <w:spacing w:before="0" w:beforeAutospacing="0" w:after="0" w:afterAutospacing="0"/>
              <w:ind w:firstLineChars="100" w:firstLine="201"/>
              <w:jc w:val="right"/>
              <w:rPr>
                <w:rFonts w:cs="Arial"/>
                <w:b/>
                <w:bCs/>
                <w:sz w:val="20"/>
                <w:szCs w:val="20"/>
              </w:rPr>
            </w:pPr>
            <w:r w:rsidRPr="00AC713D">
              <w:rPr>
                <w:rFonts w:cs="Arial"/>
                <w:b/>
                <w:bCs/>
                <w:sz w:val="20"/>
                <w:szCs w:val="20"/>
              </w:rPr>
              <w:t>10 547 599</w:t>
            </w:r>
          </w:p>
        </w:tc>
        <w:tc>
          <w:tcPr>
            <w:tcW w:w="770" w:type="pct"/>
            <w:tcBorders>
              <w:top w:val="nil"/>
              <w:left w:val="nil"/>
              <w:bottom w:val="single" w:sz="8" w:space="0" w:color="9C9D9F"/>
              <w:right w:val="nil"/>
            </w:tcBorders>
            <w:shd w:val="clear" w:color="auto" w:fill="auto"/>
            <w:vAlign w:val="center"/>
          </w:tcPr>
          <w:p w14:paraId="4D52286B" w14:textId="458186AF" w:rsidR="00907A78" w:rsidRPr="00AC713D" w:rsidRDefault="00907A78" w:rsidP="002C4FFF">
            <w:pPr>
              <w:spacing w:before="0" w:beforeAutospacing="0" w:after="0" w:afterAutospacing="0"/>
              <w:ind w:firstLineChars="100" w:firstLine="201"/>
              <w:jc w:val="right"/>
              <w:rPr>
                <w:rFonts w:cs="Arial"/>
                <w:b/>
                <w:bCs/>
                <w:sz w:val="20"/>
                <w:szCs w:val="20"/>
              </w:rPr>
            </w:pPr>
            <w:r w:rsidRPr="002C4FFF">
              <w:rPr>
                <w:rFonts w:cs="Arial"/>
                <w:b/>
                <w:bCs/>
                <w:color w:val="000000"/>
                <w:sz w:val="20"/>
                <w:szCs w:val="20"/>
              </w:rPr>
              <w:t>11 585 281</w:t>
            </w:r>
          </w:p>
        </w:tc>
        <w:tc>
          <w:tcPr>
            <w:tcW w:w="769" w:type="pct"/>
            <w:tcBorders>
              <w:top w:val="nil"/>
              <w:left w:val="nil"/>
              <w:bottom w:val="single" w:sz="4" w:space="0" w:color="9C9D9F"/>
              <w:right w:val="nil"/>
            </w:tcBorders>
            <w:shd w:val="clear" w:color="auto" w:fill="auto"/>
            <w:noWrap/>
            <w:vAlign w:val="bottom"/>
          </w:tcPr>
          <w:p w14:paraId="76B529C8" w14:textId="13AEB262" w:rsidR="00907A78" w:rsidRPr="00AC713D" w:rsidRDefault="00907A78" w:rsidP="00907A78">
            <w:pPr>
              <w:spacing w:before="0" w:beforeAutospacing="0" w:after="0" w:afterAutospacing="0"/>
              <w:ind w:firstLineChars="100" w:firstLine="201"/>
              <w:jc w:val="right"/>
              <w:rPr>
                <w:rFonts w:cs="Arial"/>
                <w:b/>
                <w:bCs/>
                <w:sz w:val="20"/>
                <w:szCs w:val="20"/>
              </w:rPr>
            </w:pPr>
            <w:r>
              <w:rPr>
                <w:rFonts w:cs="Arial"/>
                <w:b/>
                <w:bCs/>
                <w:sz w:val="20"/>
                <w:szCs w:val="20"/>
              </w:rPr>
              <w:t>11 793 642</w:t>
            </w:r>
          </w:p>
        </w:tc>
      </w:tr>
      <w:tr w:rsidR="00E4317A" w:rsidRPr="00AC713D" w14:paraId="0996D15A" w14:textId="77777777" w:rsidTr="002C4FFF">
        <w:trPr>
          <w:trHeight w:val="270"/>
        </w:trPr>
        <w:tc>
          <w:tcPr>
            <w:tcW w:w="2692" w:type="pct"/>
            <w:tcBorders>
              <w:top w:val="nil"/>
              <w:left w:val="nil"/>
              <w:bottom w:val="nil"/>
              <w:right w:val="nil"/>
            </w:tcBorders>
            <w:shd w:val="clear" w:color="auto" w:fill="auto"/>
            <w:noWrap/>
            <w:vAlign w:val="bottom"/>
            <w:hideMark/>
          </w:tcPr>
          <w:p w14:paraId="64025F57" w14:textId="77777777" w:rsidR="00E4317A" w:rsidRPr="00AC713D" w:rsidRDefault="00E4317A" w:rsidP="00E4317A">
            <w:pPr>
              <w:spacing w:before="0" w:beforeAutospacing="0" w:after="0" w:afterAutospacing="0"/>
              <w:ind w:firstLineChars="100" w:firstLine="201"/>
              <w:jc w:val="right"/>
              <w:rPr>
                <w:rFonts w:cs="Arial"/>
                <w:b/>
                <w:bCs/>
                <w:sz w:val="20"/>
                <w:szCs w:val="20"/>
              </w:rPr>
            </w:pPr>
          </w:p>
        </w:tc>
        <w:tc>
          <w:tcPr>
            <w:tcW w:w="769" w:type="pct"/>
            <w:tcBorders>
              <w:top w:val="nil"/>
              <w:left w:val="nil"/>
              <w:bottom w:val="nil"/>
              <w:right w:val="nil"/>
            </w:tcBorders>
            <w:shd w:val="clear" w:color="auto" w:fill="auto"/>
            <w:noWrap/>
            <w:vAlign w:val="bottom"/>
            <w:hideMark/>
          </w:tcPr>
          <w:p w14:paraId="4A108132" w14:textId="77777777" w:rsidR="00E4317A" w:rsidRPr="00AC713D" w:rsidRDefault="00E4317A" w:rsidP="00E4317A">
            <w:pPr>
              <w:spacing w:before="0" w:beforeAutospacing="0" w:after="0" w:afterAutospacing="0"/>
              <w:jc w:val="left"/>
              <w:rPr>
                <w:rFonts w:cs="Arial"/>
                <w:sz w:val="20"/>
                <w:szCs w:val="20"/>
              </w:rPr>
            </w:pPr>
          </w:p>
        </w:tc>
        <w:tc>
          <w:tcPr>
            <w:tcW w:w="770" w:type="pct"/>
            <w:tcBorders>
              <w:top w:val="nil"/>
              <w:left w:val="nil"/>
              <w:bottom w:val="nil"/>
              <w:right w:val="nil"/>
            </w:tcBorders>
            <w:vAlign w:val="center"/>
          </w:tcPr>
          <w:p w14:paraId="72EB1D68" w14:textId="77777777" w:rsidR="00E4317A" w:rsidRPr="00AC713D" w:rsidRDefault="00E4317A" w:rsidP="00424B97">
            <w:pPr>
              <w:spacing w:before="0" w:beforeAutospacing="0" w:after="0" w:afterAutospacing="0"/>
              <w:ind w:firstLineChars="100" w:firstLine="200"/>
              <w:jc w:val="right"/>
              <w:rPr>
                <w:rFonts w:cs="Arial"/>
                <w:sz w:val="20"/>
                <w:szCs w:val="20"/>
              </w:rPr>
            </w:pPr>
          </w:p>
        </w:tc>
        <w:tc>
          <w:tcPr>
            <w:tcW w:w="769" w:type="pct"/>
            <w:tcBorders>
              <w:top w:val="nil"/>
              <w:left w:val="nil"/>
              <w:bottom w:val="nil"/>
              <w:right w:val="nil"/>
            </w:tcBorders>
            <w:shd w:val="clear" w:color="auto" w:fill="auto"/>
            <w:noWrap/>
            <w:vAlign w:val="bottom"/>
          </w:tcPr>
          <w:p w14:paraId="763926EA" w14:textId="63E5689C" w:rsidR="00E4317A" w:rsidRPr="00AC713D" w:rsidRDefault="00E4317A" w:rsidP="00E4317A">
            <w:pPr>
              <w:spacing w:before="0" w:beforeAutospacing="0" w:after="0" w:afterAutospacing="0"/>
              <w:ind w:firstLineChars="100" w:firstLine="200"/>
              <w:jc w:val="right"/>
              <w:rPr>
                <w:rFonts w:cs="Arial"/>
                <w:sz w:val="20"/>
                <w:szCs w:val="20"/>
              </w:rPr>
            </w:pPr>
          </w:p>
        </w:tc>
      </w:tr>
      <w:tr w:rsidR="00E4317A" w:rsidRPr="00AC713D" w14:paraId="767200AA" w14:textId="77777777" w:rsidTr="002C4FFF">
        <w:trPr>
          <w:trHeight w:val="270"/>
        </w:trPr>
        <w:tc>
          <w:tcPr>
            <w:tcW w:w="2692" w:type="pct"/>
            <w:tcBorders>
              <w:top w:val="double" w:sz="6" w:space="0" w:color="9C9D9F"/>
              <w:left w:val="nil"/>
              <w:bottom w:val="nil"/>
              <w:right w:val="nil"/>
            </w:tcBorders>
            <w:shd w:val="clear" w:color="auto" w:fill="auto"/>
            <w:noWrap/>
            <w:vAlign w:val="bottom"/>
            <w:hideMark/>
          </w:tcPr>
          <w:p w14:paraId="79EA245C" w14:textId="77777777" w:rsidR="00E4317A" w:rsidRPr="00AC713D" w:rsidRDefault="00E4317A" w:rsidP="00E4317A">
            <w:pPr>
              <w:spacing w:before="0" w:beforeAutospacing="0" w:after="0" w:afterAutospacing="0"/>
              <w:jc w:val="left"/>
              <w:rPr>
                <w:rFonts w:cs="Arial"/>
                <w:b/>
                <w:bCs/>
                <w:sz w:val="20"/>
                <w:szCs w:val="20"/>
              </w:rPr>
            </w:pPr>
            <w:r w:rsidRPr="00AC713D">
              <w:rPr>
                <w:rFonts w:cs="Arial"/>
                <w:b/>
                <w:bCs/>
                <w:sz w:val="20"/>
                <w:szCs w:val="20"/>
              </w:rPr>
              <w:t>Vlastní kapitál a cizí zdroje</w:t>
            </w:r>
          </w:p>
        </w:tc>
        <w:tc>
          <w:tcPr>
            <w:tcW w:w="769" w:type="pct"/>
            <w:tcBorders>
              <w:top w:val="double" w:sz="6" w:space="0" w:color="9C9D9F"/>
              <w:left w:val="nil"/>
              <w:bottom w:val="nil"/>
              <w:right w:val="nil"/>
            </w:tcBorders>
            <w:shd w:val="clear" w:color="auto" w:fill="auto"/>
            <w:noWrap/>
            <w:vAlign w:val="bottom"/>
            <w:hideMark/>
          </w:tcPr>
          <w:p w14:paraId="2681E63E" w14:textId="1F5DC505" w:rsidR="00E4317A" w:rsidRPr="00AC713D" w:rsidRDefault="00E4317A" w:rsidP="00E4317A">
            <w:pPr>
              <w:spacing w:before="0" w:beforeAutospacing="0" w:after="0" w:afterAutospacing="0"/>
              <w:ind w:firstLineChars="100" w:firstLine="200"/>
              <w:jc w:val="right"/>
              <w:rPr>
                <w:rFonts w:cs="Arial"/>
                <w:sz w:val="20"/>
                <w:szCs w:val="20"/>
              </w:rPr>
            </w:pPr>
            <w:r w:rsidRPr="00AC713D">
              <w:rPr>
                <w:rFonts w:cs="Arial"/>
                <w:sz w:val="20"/>
                <w:szCs w:val="20"/>
              </w:rPr>
              <w:t> </w:t>
            </w:r>
          </w:p>
        </w:tc>
        <w:tc>
          <w:tcPr>
            <w:tcW w:w="770" w:type="pct"/>
            <w:tcBorders>
              <w:top w:val="double" w:sz="6" w:space="0" w:color="9C9D9F"/>
              <w:left w:val="nil"/>
              <w:bottom w:val="nil"/>
              <w:right w:val="nil"/>
            </w:tcBorders>
            <w:vAlign w:val="center"/>
          </w:tcPr>
          <w:p w14:paraId="24AFBB8E" w14:textId="77777777" w:rsidR="00E4317A" w:rsidRPr="00AC713D" w:rsidRDefault="00E4317A" w:rsidP="00424B97">
            <w:pPr>
              <w:spacing w:before="0" w:beforeAutospacing="0" w:after="0" w:afterAutospacing="0"/>
              <w:ind w:firstLineChars="100" w:firstLine="200"/>
              <w:jc w:val="right"/>
              <w:rPr>
                <w:rFonts w:cs="Arial"/>
                <w:sz w:val="20"/>
                <w:szCs w:val="20"/>
              </w:rPr>
            </w:pPr>
          </w:p>
        </w:tc>
        <w:tc>
          <w:tcPr>
            <w:tcW w:w="769" w:type="pct"/>
            <w:tcBorders>
              <w:top w:val="double" w:sz="6" w:space="0" w:color="9C9D9F"/>
              <w:left w:val="nil"/>
              <w:bottom w:val="nil"/>
              <w:right w:val="nil"/>
            </w:tcBorders>
            <w:shd w:val="clear" w:color="auto" w:fill="auto"/>
            <w:noWrap/>
            <w:vAlign w:val="bottom"/>
          </w:tcPr>
          <w:p w14:paraId="606AA613" w14:textId="518EE79C" w:rsidR="00E4317A" w:rsidRPr="00AC713D" w:rsidRDefault="00E4317A" w:rsidP="00E4317A">
            <w:pPr>
              <w:spacing w:before="0" w:beforeAutospacing="0" w:after="0" w:afterAutospacing="0"/>
              <w:ind w:firstLineChars="100" w:firstLine="200"/>
              <w:jc w:val="right"/>
              <w:rPr>
                <w:rFonts w:cs="Arial"/>
                <w:sz w:val="20"/>
                <w:szCs w:val="20"/>
              </w:rPr>
            </w:pPr>
          </w:p>
        </w:tc>
      </w:tr>
      <w:tr w:rsidR="00E4317A" w:rsidRPr="00AC713D" w14:paraId="6018EE56" w14:textId="77777777" w:rsidTr="002C4FFF">
        <w:trPr>
          <w:trHeight w:val="150"/>
        </w:trPr>
        <w:tc>
          <w:tcPr>
            <w:tcW w:w="2692" w:type="pct"/>
            <w:tcBorders>
              <w:top w:val="nil"/>
              <w:left w:val="nil"/>
              <w:bottom w:val="nil"/>
              <w:right w:val="nil"/>
            </w:tcBorders>
            <w:shd w:val="clear" w:color="auto" w:fill="auto"/>
            <w:noWrap/>
            <w:vAlign w:val="bottom"/>
            <w:hideMark/>
          </w:tcPr>
          <w:p w14:paraId="0E906AD4" w14:textId="77777777" w:rsidR="00E4317A" w:rsidRPr="00AC713D" w:rsidRDefault="00E4317A" w:rsidP="00E4317A">
            <w:pPr>
              <w:spacing w:before="0" w:beforeAutospacing="0" w:after="0" w:afterAutospacing="0"/>
              <w:ind w:firstLineChars="100" w:firstLine="200"/>
              <w:jc w:val="right"/>
              <w:rPr>
                <w:rFonts w:cs="Arial"/>
                <w:sz w:val="20"/>
                <w:szCs w:val="20"/>
              </w:rPr>
            </w:pPr>
          </w:p>
        </w:tc>
        <w:tc>
          <w:tcPr>
            <w:tcW w:w="769" w:type="pct"/>
            <w:tcBorders>
              <w:top w:val="nil"/>
              <w:left w:val="nil"/>
              <w:bottom w:val="nil"/>
              <w:right w:val="nil"/>
            </w:tcBorders>
            <w:shd w:val="clear" w:color="auto" w:fill="auto"/>
            <w:noWrap/>
            <w:vAlign w:val="bottom"/>
            <w:hideMark/>
          </w:tcPr>
          <w:p w14:paraId="555EFE3D" w14:textId="77777777" w:rsidR="00E4317A" w:rsidRPr="00AC713D" w:rsidRDefault="00E4317A" w:rsidP="00E4317A">
            <w:pPr>
              <w:spacing w:before="0" w:beforeAutospacing="0" w:after="0" w:afterAutospacing="0"/>
              <w:jc w:val="left"/>
              <w:rPr>
                <w:rFonts w:cs="Arial"/>
                <w:sz w:val="20"/>
                <w:szCs w:val="20"/>
              </w:rPr>
            </w:pPr>
          </w:p>
        </w:tc>
        <w:tc>
          <w:tcPr>
            <w:tcW w:w="770" w:type="pct"/>
            <w:tcBorders>
              <w:top w:val="nil"/>
              <w:left w:val="nil"/>
              <w:bottom w:val="nil"/>
              <w:right w:val="nil"/>
            </w:tcBorders>
            <w:vAlign w:val="center"/>
          </w:tcPr>
          <w:p w14:paraId="13E88003" w14:textId="77777777" w:rsidR="00E4317A" w:rsidRPr="00AC713D" w:rsidRDefault="00E4317A" w:rsidP="00424B97">
            <w:pPr>
              <w:spacing w:before="0" w:beforeAutospacing="0" w:after="0" w:afterAutospacing="0"/>
              <w:ind w:firstLineChars="100" w:firstLine="200"/>
              <w:jc w:val="right"/>
              <w:rPr>
                <w:rFonts w:cs="Arial"/>
                <w:sz w:val="20"/>
                <w:szCs w:val="20"/>
              </w:rPr>
            </w:pPr>
          </w:p>
        </w:tc>
        <w:tc>
          <w:tcPr>
            <w:tcW w:w="769" w:type="pct"/>
            <w:tcBorders>
              <w:top w:val="nil"/>
              <w:left w:val="nil"/>
              <w:bottom w:val="nil"/>
              <w:right w:val="nil"/>
            </w:tcBorders>
            <w:shd w:val="clear" w:color="auto" w:fill="auto"/>
            <w:noWrap/>
            <w:vAlign w:val="bottom"/>
          </w:tcPr>
          <w:p w14:paraId="384C3EFB" w14:textId="04BAF8D4" w:rsidR="00E4317A" w:rsidRPr="00AC713D" w:rsidRDefault="00E4317A" w:rsidP="00E4317A">
            <w:pPr>
              <w:spacing w:before="0" w:beforeAutospacing="0" w:after="0" w:afterAutospacing="0"/>
              <w:ind w:firstLineChars="100" w:firstLine="200"/>
              <w:jc w:val="right"/>
              <w:rPr>
                <w:rFonts w:cs="Arial"/>
                <w:sz w:val="20"/>
                <w:szCs w:val="20"/>
              </w:rPr>
            </w:pPr>
          </w:p>
        </w:tc>
      </w:tr>
      <w:tr w:rsidR="00E4317A" w:rsidRPr="00AC713D" w14:paraId="43236646" w14:textId="77777777" w:rsidTr="002C4FFF">
        <w:trPr>
          <w:trHeight w:val="255"/>
        </w:trPr>
        <w:tc>
          <w:tcPr>
            <w:tcW w:w="2692" w:type="pct"/>
            <w:tcBorders>
              <w:top w:val="nil"/>
              <w:left w:val="nil"/>
              <w:bottom w:val="nil"/>
              <w:right w:val="nil"/>
            </w:tcBorders>
            <w:shd w:val="clear" w:color="000000" w:fill="9C9D9F"/>
            <w:noWrap/>
            <w:vAlign w:val="bottom"/>
            <w:hideMark/>
          </w:tcPr>
          <w:p w14:paraId="377C3A33" w14:textId="77777777" w:rsidR="00E4317A" w:rsidRPr="00AC713D" w:rsidRDefault="00E4317A" w:rsidP="00E4317A">
            <w:pPr>
              <w:spacing w:before="0" w:beforeAutospacing="0" w:after="0" w:afterAutospacing="0"/>
              <w:jc w:val="left"/>
              <w:rPr>
                <w:rFonts w:cs="Arial"/>
                <w:b/>
                <w:bCs/>
                <w:sz w:val="20"/>
                <w:szCs w:val="20"/>
              </w:rPr>
            </w:pPr>
            <w:r w:rsidRPr="00AC713D">
              <w:rPr>
                <w:rFonts w:cs="Arial"/>
                <w:b/>
                <w:bCs/>
                <w:sz w:val="20"/>
                <w:szCs w:val="20"/>
              </w:rPr>
              <w:t>Základní kapitál a rezervní fondy</w:t>
            </w:r>
          </w:p>
        </w:tc>
        <w:tc>
          <w:tcPr>
            <w:tcW w:w="769" w:type="pct"/>
            <w:tcBorders>
              <w:top w:val="nil"/>
              <w:left w:val="nil"/>
              <w:bottom w:val="nil"/>
              <w:right w:val="nil"/>
            </w:tcBorders>
            <w:shd w:val="clear" w:color="000000" w:fill="9C9D9F"/>
            <w:noWrap/>
            <w:vAlign w:val="bottom"/>
            <w:hideMark/>
          </w:tcPr>
          <w:p w14:paraId="33D19204" w14:textId="4584D2C1" w:rsidR="00E4317A" w:rsidRPr="00AC713D" w:rsidRDefault="00E4317A" w:rsidP="00E4317A">
            <w:pPr>
              <w:spacing w:before="0" w:beforeAutospacing="0" w:after="0" w:afterAutospacing="0"/>
              <w:ind w:firstLineChars="100" w:firstLine="200"/>
              <w:jc w:val="right"/>
              <w:rPr>
                <w:rFonts w:cs="Arial"/>
                <w:sz w:val="20"/>
                <w:szCs w:val="20"/>
              </w:rPr>
            </w:pPr>
            <w:r w:rsidRPr="00AC713D">
              <w:rPr>
                <w:rFonts w:cs="Arial"/>
                <w:sz w:val="20"/>
                <w:szCs w:val="20"/>
              </w:rPr>
              <w:t> </w:t>
            </w:r>
          </w:p>
        </w:tc>
        <w:tc>
          <w:tcPr>
            <w:tcW w:w="770" w:type="pct"/>
            <w:tcBorders>
              <w:top w:val="nil"/>
              <w:left w:val="nil"/>
              <w:bottom w:val="nil"/>
              <w:right w:val="nil"/>
            </w:tcBorders>
            <w:shd w:val="clear" w:color="000000" w:fill="9C9D9F"/>
            <w:vAlign w:val="center"/>
          </w:tcPr>
          <w:p w14:paraId="299A05DC" w14:textId="77777777" w:rsidR="00E4317A" w:rsidRPr="00AC713D" w:rsidRDefault="00E4317A" w:rsidP="00424B97">
            <w:pPr>
              <w:spacing w:before="0" w:beforeAutospacing="0" w:after="0" w:afterAutospacing="0"/>
              <w:ind w:firstLineChars="100" w:firstLine="200"/>
              <w:jc w:val="right"/>
              <w:rPr>
                <w:rFonts w:cs="Arial"/>
                <w:sz w:val="20"/>
                <w:szCs w:val="20"/>
              </w:rPr>
            </w:pPr>
          </w:p>
        </w:tc>
        <w:tc>
          <w:tcPr>
            <w:tcW w:w="769" w:type="pct"/>
            <w:tcBorders>
              <w:top w:val="nil"/>
              <w:left w:val="nil"/>
              <w:bottom w:val="nil"/>
              <w:right w:val="nil"/>
            </w:tcBorders>
            <w:shd w:val="clear" w:color="000000" w:fill="9C9D9F"/>
            <w:noWrap/>
            <w:vAlign w:val="bottom"/>
          </w:tcPr>
          <w:p w14:paraId="09DB74FB" w14:textId="72583039" w:rsidR="00E4317A" w:rsidRPr="00AC713D" w:rsidRDefault="00E4317A" w:rsidP="00E4317A">
            <w:pPr>
              <w:spacing w:before="0" w:beforeAutospacing="0" w:after="0" w:afterAutospacing="0"/>
              <w:ind w:firstLineChars="100" w:firstLine="200"/>
              <w:jc w:val="right"/>
              <w:rPr>
                <w:rFonts w:cs="Arial"/>
                <w:sz w:val="20"/>
                <w:szCs w:val="20"/>
              </w:rPr>
            </w:pPr>
          </w:p>
        </w:tc>
      </w:tr>
      <w:tr w:rsidR="00907A78" w:rsidRPr="00AC713D" w14:paraId="7D3504D2" w14:textId="77777777" w:rsidTr="002C4FFF">
        <w:trPr>
          <w:trHeight w:val="255"/>
        </w:trPr>
        <w:tc>
          <w:tcPr>
            <w:tcW w:w="2692" w:type="pct"/>
            <w:tcBorders>
              <w:top w:val="nil"/>
              <w:left w:val="nil"/>
              <w:bottom w:val="single" w:sz="4" w:space="0" w:color="9C9D9F"/>
              <w:right w:val="nil"/>
            </w:tcBorders>
            <w:shd w:val="clear" w:color="auto" w:fill="auto"/>
            <w:noWrap/>
            <w:vAlign w:val="bottom"/>
            <w:hideMark/>
          </w:tcPr>
          <w:p w14:paraId="401761E6" w14:textId="77777777" w:rsidR="00907A78" w:rsidRPr="00AC713D" w:rsidRDefault="00907A78" w:rsidP="00907A78">
            <w:pPr>
              <w:spacing w:before="0" w:beforeAutospacing="0" w:after="0" w:afterAutospacing="0"/>
              <w:jc w:val="left"/>
              <w:rPr>
                <w:rFonts w:cs="Arial"/>
                <w:sz w:val="20"/>
                <w:szCs w:val="20"/>
              </w:rPr>
            </w:pPr>
            <w:r w:rsidRPr="00AC713D">
              <w:rPr>
                <w:rFonts w:cs="Arial"/>
                <w:sz w:val="20"/>
                <w:szCs w:val="20"/>
              </w:rPr>
              <w:t xml:space="preserve">Základní kapitál </w:t>
            </w:r>
          </w:p>
        </w:tc>
        <w:tc>
          <w:tcPr>
            <w:tcW w:w="769" w:type="pct"/>
            <w:tcBorders>
              <w:top w:val="nil"/>
              <w:left w:val="nil"/>
              <w:bottom w:val="single" w:sz="4" w:space="0" w:color="9C9D9F"/>
              <w:right w:val="nil"/>
            </w:tcBorders>
            <w:shd w:val="clear" w:color="auto" w:fill="auto"/>
            <w:noWrap/>
            <w:vAlign w:val="bottom"/>
            <w:hideMark/>
          </w:tcPr>
          <w:p w14:paraId="5C137F8E" w14:textId="7C6AF247" w:rsidR="00907A78" w:rsidRPr="00AC713D" w:rsidRDefault="00907A78" w:rsidP="00907A78">
            <w:pPr>
              <w:spacing w:before="0" w:beforeAutospacing="0" w:after="0" w:afterAutospacing="0"/>
              <w:ind w:firstLineChars="100" w:firstLine="200"/>
              <w:jc w:val="right"/>
              <w:rPr>
                <w:rFonts w:cs="Arial"/>
                <w:sz w:val="20"/>
                <w:szCs w:val="20"/>
              </w:rPr>
            </w:pPr>
            <w:r w:rsidRPr="00AC713D">
              <w:rPr>
                <w:rFonts w:cs="Arial"/>
                <w:sz w:val="20"/>
                <w:szCs w:val="20"/>
              </w:rPr>
              <w:t>299 857</w:t>
            </w:r>
          </w:p>
        </w:tc>
        <w:tc>
          <w:tcPr>
            <w:tcW w:w="770" w:type="pct"/>
            <w:tcBorders>
              <w:top w:val="nil"/>
              <w:left w:val="nil"/>
              <w:bottom w:val="single" w:sz="8" w:space="0" w:color="9C9D9F"/>
              <w:right w:val="nil"/>
            </w:tcBorders>
            <w:shd w:val="clear" w:color="auto" w:fill="auto"/>
            <w:vAlign w:val="center"/>
          </w:tcPr>
          <w:p w14:paraId="5FDBE262" w14:textId="7282B35E" w:rsidR="00907A78" w:rsidRPr="00AC713D" w:rsidRDefault="00907A78" w:rsidP="002C4FFF">
            <w:pPr>
              <w:spacing w:before="0" w:beforeAutospacing="0" w:after="0" w:afterAutospacing="0"/>
              <w:ind w:firstLineChars="100" w:firstLine="200"/>
              <w:jc w:val="right"/>
              <w:rPr>
                <w:rFonts w:cs="Arial"/>
                <w:sz w:val="20"/>
                <w:szCs w:val="20"/>
              </w:rPr>
            </w:pPr>
            <w:r w:rsidRPr="002C4FFF">
              <w:rPr>
                <w:rFonts w:cs="Arial"/>
                <w:color w:val="000000"/>
                <w:sz w:val="20"/>
                <w:szCs w:val="20"/>
              </w:rPr>
              <w:t>299 857</w:t>
            </w:r>
          </w:p>
        </w:tc>
        <w:tc>
          <w:tcPr>
            <w:tcW w:w="769" w:type="pct"/>
            <w:tcBorders>
              <w:top w:val="nil"/>
              <w:left w:val="nil"/>
              <w:bottom w:val="single" w:sz="4" w:space="0" w:color="9C9D9F"/>
              <w:right w:val="nil"/>
            </w:tcBorders>
            <w:shd w:val="clear" w:color="auto" w:fill="auto"/>
            <w:noWrap/>
            <w:vAlign w:val="bottom"/>
          </w:tcPr>
          <w:p w14:paraId="731163F8" w14:textId="48792BC4" w:rsidR="00907A78" w:rsidRPr="00AC713D" w:rsidRDefault="00907A78" w:rsidP="00907A78">
            <w:pPr>
              <w:spacing w:before="0" w:beforeAutospacing="0" w:after="0" w:afterAutospacing="0"/>
              <w:ind w:firstLineChars="100" w:firstLine="200"/>
              <w:jc w:val="right"/>
              <w:rPr>
                <w:rFonts w:cs="Arial"/>
                <w:sz w:val="20"/>
                <w:szCs w:val="20"/>
              </w:rPr>
            </w:pPr>
            <w:r>
              <w:rPr>
                <w:rFonts w:cs="Arial"/>
                <w:sz w:val="20"/>
                <w:szCs w:val="20"/>
              </w:rPr>
              <w:t>299 857</w:t>
            </w:r>
          </w:p>
        </w:tc>
      </w:tr>
      <w:tr w:rsidR="00907A78" w:rsidRPr="00AC713D" w14:paraId="436FFB7E" w14:textId="77777777" w:rsidTr="002C4FFF">
        <w:trPr>
          <w:trHeight w:val="255"/>
        </w:trPr>
        <w:tc>
          <w:tcPr>
            <w:tcW w:w="2692" w:type="pct"/>
            <w:tcBorders>
              <w:top w:val="nil"/>
              <w:left w:val="nil"/>
              <w:bottom w:val="single" w:sz="4" w:space="0" w:color="9C9D9F"/>
              <w:right w:val="nil"/>
            </w:tcBorders>
            <w:shd w:val="clear" w:color="auto" w:fill="auto"/>
            <w:noWrap/>
            <w:vAlign w:val="bottom"/>
            <w:hideMark/>
          </w:tcPr>
          <w:p w14:paraId="7606E37F" w14:textId="77777777" w:rsidR="00907A78" w:rsidRPr="00AC713D" w:rsidRDefault="00907A78" w:rsidP="00907A78">
            <w:pPr>
              <w:spacing w:before="0" w:beforeAutospacing="0" w:after="0" w:afterAutospacing="0"/>
              <w:jc w:val="left"/>
              <w:rPr>
                <w:rFonts w:cs="Arial"/>
                <w:sz w:val="20"/>
                <w:szCs w:val="20"/>
              </w:rPr>
            </w:pPr>
            <w:r w:rsidRPr="00AC713D">
              <w:rPr>
                <w:rFonts w:cs="Arial"/>
                <w:sz w:val="20"/>
                <w:szCs w:val="20"/>
              </w:rPr>
              <w:t>Zákonný rezervní fond a ostatní rezervy</w:t>
            </w:r>
          </w:p>
        </w:tc>
        <w:tc>
          <w:tcPr>
            <w:tcW w:w="769" w:type="pct"/>
            <w:tcBorders>
              <w:top w:val="nil"/>
              <w:left w:val="nil"/>
              <w:bottom w:val="single" w:sz="4" w:space="0" w:color="9C9D9F"/>
              <w:right w:val="nil"/>
            </w:tcBorders>
            <w:shd w:val="clear" w:color="auto" w:fill="auto"/>
            <w:noWrap/>
            <w:vAlign w:val="bottom"/>
            <w:hideMark/>
          </w:tcPr>
          <w:p w14:paraId="01527F0B" w14:textId="27E7FE06" w:rsidR="00907A78" w:rsidRPr="00AC713D" w:rsidRDefault="00907A78" w:rsidP="00907A78">
            <w:pPr>
              <w:spacing w:before="0" w:beforeAutospacing="0" w:after="0" w:afterAutospacing="0"/>
              <w:ind w:firstLineChars="100" w:firstLine="200"/>
              <w:jc w:val="right"/>
              <w:rPr>
                <w:rFonts w:cs="Arial"/>
                <w:sz w:val="20"/>
                <w:szCs w:val="20"/>
              </w:rPr>
            </w:pPr>
            <w:r w:rsidRPr="00AC713D">
              <w:rPr>
                <w:rFonts w:cs="Arial"/>
                <w:sz w:val="20"/>
                <w:szCs w:val="20"/>
              </w:rPr>
              <w:t>86 701</w:t>
            </w:r>
          </w:p>
        </w:tc>
        <w:tc>
          <w:tcPr>
            <w:tcW w:w="770" w:type="pct"/>
            <w:tcBorders>
              <w:top w:val="nil"/>
              <w:left w:val="nil"/>
              <w:bottom w:val="single" w:sz="8" w:space="0" w:color="9C9D9F"/>
              <w:right w:val="nil"/>
            </w:tcBorders>
            <w:shd w:val="clear" w:color="auto" w:fill="auto"/>
            <w:vAlign w:val="center"/>
          </w:tcPr>
          <w:p w14:paraId="46906292" w14:textId="1B282419" w:rsidR="00907A78" w:rsidRPr="00AC713D" w:rsidRDefault="00907A78" w:rsidP="002C4FFF">
            <w:pPr>
              <w:spacing w:before="0" w:beforeAutospacing="0" w:after="0" w:afterAutospacing="0"/>
              <w:ind w:firstLineChars="100" w:firstLine="200"/>
              <w:jc w:val="right"/>
              <w:rPr>
                <w:rFonts w:cs="Arial"/>
                <w:sz w:val="20"/>
                <w:szCs w:val="20"/>
              </w:rPr>
            </w:pPr>
            <w:r w:rsidRPr="002C4FFF">
              <w:rPr>
                <w:rFonts w:cs="Arial"/>
                <w:color w:val="000000"/>
                <w:sz w:val="20"/>
                <w:szCs w:val="20"/>
              </w:rPr>
              <w:t>86 701</w:t>
            </w:r>
          </w:p>
        </w:tc>
        <w:tc>
          <w:tcPr>
            <w:tcW w:w="769" w:type="pct"/>
            <w:tcBorders>
              <w:top w:val="nil"/>
              <w:left w:val="nil"/>
              <w:bottom w:val="single" w:sz="4" w:space="0" w:color="9C9D9F"/>
              <w:right w:val="nil"/>
            </w:tcBorders>
            <w:shd w:val="clear" w:color="auto" w:fill="auto"/>
            <w:noWrap/>
            <w:vAlign w:val="bottom"/>
          </w:tcPr>
          <w:p w14:paraId="54E07EDE" w14:textId="6B90D471" w:rsidR="00907A78" w:rsidRPr="00AC713D" w:rsidRDefault="00907A78" w:rsidP="00907A78">
            <w:pPr>
              <w:spacing w:before="0" w:beforeAutospacing="0" w:after="0" w:afterAutospacing="0"/>
              <w:ind w:firstLineChars="100" w:firstLine="200"/>
              <w:jc w:val="right"/>
              <w:rPr>
                <w:rFonts w:cs="Arial"/>
                <w:sz w:val="20"/>
                <w:szCs w:val="20"/>
              </w:rPr>
            </w:pPr>
            <w:r>
              <w:rPr>
                <w:rFonts w:cs="Arial"/>
                <w:sz w:val="20"/>
                <w:szCs w:val="20"/>
              </w:rPr>
              <w:t>86 701</w:t>
            </w:r>
          </w:p>
        </w:tc>
      </w:tr>
      <w:tr w:rsidR="00907A78" w:rsidRPr="00AC713D" w14:paraId="666DDC34" w14:textId="77777777" w:rsidTr="002C4FFF">
        <w:trPr>
          <w:trHeight w:val="255"/>
        </w:trPr>
        <w:tc>
          <w:tcPr>
            <w:tcW w:w="2692" w:type="pct"/>
            <w:tcBorders>
              <w:top w:val="nil"/>
              <w:left w:val="nil"/>
              <w:bottom w:val="single" w:sz="4" w:space="0" w:color="9C9D9F"/>
              <w:right w:val="nil"/>
            </w:tcBorders>
            <w:shd w:val="clear" w:color="auto" w:fill="auto"/>
            <w:noWrap/>
            <w:vAlign w:val="bottom"/>
            <w:hideMark/>
          </w:tcPr>
          <w:p w14:paraId="4A773C76" w14:textId="77777777" w:rsidR="00907A78" w:rsidRPr="00AC713D" w:rsidRDefault="00907A78" w:rsidP="00907A78">
            <w:pPr>
              <w:spacing w:before="0" w:beforeAutospacing="0" w:after="0" w:afterAutospacing="0"/>
              <w:jc w:val="left"/>
              <w:rPr>
                <w:rFonts w:cs="Arial"/>
                <w:sz w:val="20"/>
                <w:szCs w:val="20"/>
              </w:rPr>
            </w:pPr>
            <w:r w:rsidRPr="00AC713D">
              <w:rPr>
                <w:rFonts w:cs="Arial"/>
                <w:sz w:val="20"/>
                <w:szCs w:val="20"/>
              </w:rPr>
              <w:t>Rozdíly z přepočtu</w:t>
            </w:r>
          </w:p>
        </w:tc>
        <w:tc>
          <w:tcPr>
            <w:tcW w:w="769" w:type="pct"/>
            <w:tcBorders>
              <w:top w:val="nil"/>
              <w:left w:val="nil"/>
              <w:bottom w:val="single" w:sz="4" w:space="0" w:color="9C9D9F"/>
              <w:right w:val="nil"/>
            </w:tcBorders>
            <w:shd w:val="clear" w:color="auto" w:fill="auto"/>
            <w:noWrap/>
            <w:vAlign w:val="bottom"/>
            <w:hideMark/>
          </w:tcPr>
          <w:p w14:paraId="5B57548E" w14:textId="2B155104" w:rsidR="00907A78" w:rsidRPr="00AC713D" w:rsidRDefault="00907A78" w:rsidP="00907A78">
            <w:pPr>
              <w:spacing w:before="0" w:beforeAutospacing="0" w:after="0" w:afterAutospacing="0"/>
              <w:ind w:firstLineChars="100" w:firstLine="200"/>
              <w:jc w:val="right"/>
              <w:rPr>
                <w:rFonts w:cs="Arial"/>
                <w:sz w:val="20"/>
                <w:szCs w:val="20"/>
              </w:rPr>
            </w:pPr>
            <w:r w:rsidRPr="00AC713D">
              <w:rPr>
                <w:rFonts w:cs="Arial"/>
                <w:sz w:val="20"/>
                <w:szCs w:val="20"/>
              </w:rPr>
              <w:t>57 410</w:t>
            </w:r>
          </w:p>
        </w:tc>
        <w:tc>
          <w:tcPr>
            <w:tcW w:w="770" w:type="pct"/>
            <w:tcBorders>
              <w:top w:val="nil"/>
              <w:left w:val="nil"/>
              <w:bottom w:val="single" w:sz="8" w:space="0" w:color="9C9D9F"/>
              <w:right w:val="nil"/>
            </w:tcBorders>
            <w:shd w:val="clear" w:color="auto" w:fill="auto"/>
            <w:vAlign w:val="center"/>
          </w:tcPr>
          <w:p w14:paraId="74DDAB2A" w14:textId="1D479C43" w:rsidR="00907A78" w:rsidRPr="00AC713D" w:rsidRDefault="00907A78" w:rsidP="002C4FFF">
            <w:pPr>
              <w:spacing w:before="0" w:beforeAutospacing="0" w:after="0" w:afterAutospacing="0"/>
              <w:ind w:firstLineChars="100" w:firstLine="200"/>
              <w:jc w:val="right"/>
              <w:rPr>
                <w:rFonts w:cs="Arial"/>
                <w:sz w:val="20"/>
                <w:szCs w:val="20"/>
              </w:rPr>
            </w:pPr>
            <w:r w:rsidRPr="002C4FFF">
              <w:rPr>
                <w:rFonts w:cs="Arial"/>
                <w:color w:val="000000"/>
                <w:sz w:val="20"/>
                <w:szCs w:val="20"/>
              </w:rPr>
              <w:t>88 335</w:t>
            </w:r>
          </w:p>
        </w:tc>
        <w:tc>
          <w:tcPr>
            <w:tcW w:w="769" w:type="pct"/>
            <w:tcBorders>
              <w:top w:val="single" w:sz="4" w:space="0" w:color="9C9D9F"/>
              <w:left w:val="nil"/>
              <w:bottom w:val="single" w:sz="4" w:space="0" w:color="9C9D9F"/>
              <w:right w:val="nil"/>
            </w:tcBorders>
            <w:shd w:val="clear" w:color="auto" w:fill="auto"/>
            <w:noWrap/>
            <w:vAlign w:val="bottom"/>
          </w:tcPr>
          <w:p w14:paraId="4053B5AF" w14:textId="0F242EBF" w:rsidR="00907A78" w:rsidRPr="00AC713D" w:rsidRDefault="00907A78" w:rsidP="00907A78">
            <w:pPr>
              <w:spacing w:before="0" w:beforeAutospacing="0" w:after="0" w:afterAutospacing="0"/>
              <w:ind w:firstLineChars="100" w:firstLine="200"/>
              <w:jc w:val="right"/>
              <w:rPr>
                <w:rFonts w:cs="Arial"/>
                <w:sz w:val="20"/>
                <w:szCs w:val="20"/>
              </w:rPr>
            </w:pPr>
            <w:r>
              <w:rPr>
                <w:rFonts w:cs="Arial"/>
                <w:sz w:val="20"/>
                <w:szCs w:val="20"/>
              </w:rPr>
              <w:t>137 537</w:t>
            </w:r>
          </w:p>
        </w:tc>
      </w:tr>
      <w:tr w:rsidR="00907A78" w:rsidRPr="00AC713D" w14:paraId="540CDD9D" w14:textId="77777777" w:rsidTr="002C4FFF">
        <w:trPr>
          <w:trHeight w:val="255"/>
        </w:trPr>
        <w:tc>
          <w:tcPr>
            <w:tcW w:w="2692" w:type="pct"/>
            <w:tcBorders>
              <w:top w:val="nil"/>
              <w:left w:val="nil"/>
              <w:bottom w:val="single" w:sz="4" w:space="0" w:color="9C9D9F"/>
              <w:right w:val="nil"/>
            </w:tcBorders>
            <w:shd w:val="clear" w:color="auto" w:fill="auto"/>
            <w:noWrap/>
            <w:vAlign w:val="bottom"/>
            <w:hideMark/>
          </w:tcPr>
          <w:p w14:paraId="1FA5AABB" w14:textId="77777777" w:rsidR="00907A78" w:rsidRPr="00AC713D" w:rsidRDefault="00907A78" w:rsidP="00907A78">
            <w:pPr>
              <w:spacing w:before="0" w:beforeAutospacing="0" w:after="0" w:afterAutospacing="0"/>
              <w:jc w:val="left"/>
              <w:rPr>
                <w:rFonts w:cs="Arial"/>
                <w:sz w:val="20"/>
                <w:szCs w:val="20"/>
              </w:rPr>
            </w:pPr>
            <w:r w:rsidRPr="00AC713D">
              <w:rPr>
                <w:rFonts w:cs="Arial"/>
                <w:sz w:val="20"/>
                <w:szCs w:val="20"/>
              </w:rPr>
              <w:t>Zajištění peněžních toků</w:t>
            </w:r>
          </w:p>
        </w:tc>
        <w:tc>
          <w:tcPr>
            <w:tcW w:w="769" w:type="pct"/>
            <w:tcBorders>
              <w:top w:val="nil"/>
              <w:left w:val="nil"/>
              <w:bottom w:val="single" w:sz="4" w:space="0" w:color="9C9D9F"/>
              <w:right w:val="nil"/>
            </w:tcBorders>
            <w:shd w:val="clear" w:color="auto" w:fill="auto"/>
            <w:noWrap/>
            <w:vAlign w:val="bottom"/>
            <w:hideMark/>
          </w:tcPr>
          <w:p w14:paraId="31939ABB" w14:textId="6D1AD47A" w:rsidR="00907A78" w:rsidRPr="00AC713D" w:rsidRDefault="00907A78" w:rsidP="00907A78">
            <w:pPr>
              <w:spacing w:before="0" w:beforeAutospacing="0" w:after="0" w:afterAutospacing="0"/>
              <w:ind w:firstLineChars="100" w:firstLine="200"/>
              <w:jc w:val="right"/>
              <w:rPr>
                <w:rFonts w:cs="Arial"/>
                <w:sz w:val="20"/>
                <w:szCs w:val="20"/>
              </w:rPr>
            </w:pPr>
            <w:r w:rsidRPr="00AC713D">
              <w:rPr>
                <w:rFonts w:cs="Arial"/>
                <w:sz w:val="20"/>
                <w:szCs w:val="20"/>
              </w:rPr>
              <w:t>-4 903</w:t>
            </w:r>
          </w:p>
        </w:tc>
        <w:tc>
          <w:tcPr>
            <w:tcW w:w="770" w:type="pct"/>
            <w:tcBorders>
              <w:top w:val="nil"/>
              <w:left w:val="nil"/>
              <w:bottom w:val="single" w:sz="8" w:space="0" w:color="9C9D9F"/>
              <w:right w:val="nil"/>
            </w:tcBorders>
            <w:shd w:val="clear" w:color="auto" w:fill="auto"/>
            <w:vAlign w:val="center"/>
          </w:tcPr>
          <w:p w14:paraId="48401412" w14:textId="5F426E4F" w:rsidR="00907A78" w:rsidRPr="00AC713D" w:rsidRDefault="00907A78" w:rsidP="002C4FFF">
            <w:pPr>
              <w:spacing w:before="0" w:beforeAutospacing="0" w:after="0" w:afterAutospacing="0"/>
              <w:ind w:firstLineChars="100" w:firstLine="200"/>
              <w:jc w:val="right"/>
              <w:rPr>
                <w:rFonts w:cs="Arial"/>
                <w:sz w:val="20"/>
                <w:szCs w:val="20"/>
              </w:rPr>
            </w:pPr>
            <w:r w:rsidRPr="002C4FFF">
              <w:rPr>
                <w:rFonts w:cs="Arial"/>
                <w:color w:val="000000"/>
                <w:sz w:val="20"/>
                <w:szCs w:val="20"/>
              </w:rPr>
              <w:t>16 270</w:t>
            </w:r>
          </w:p>
        </w:tc>
        <w:tc>
          <w:tcPr>
            <w:tcW w:w="769" w:type="pct"/>
            <w:tcBorders>
              <w:top w:val="nil"/>
              <w:left w:val="nil"/>
              <w:bottom w:val="single" w:sz="4" w:space="0" w:color="9C9D9F"/>
              <w:right w:val="nil"/>
            </w:tcBorders>
            <w:shd w:val="clear" w:color="auto" w:fill="auto"/>
            <w:noWrap/>
            <w:vAlign w:val="bottom"/>
          </w:tcPr>
          <w:p w14:paraId="06A3C6C3" w14:textId="7A221C44" w:rsidR="00907A78" w:rsidRPr="00AC713D" w:rsidRDefault="00907A78" w:rsidP="00907A78">
            <w:pPr>
              <w:spacing w:before="0" w:beforeAutospacing="0" w:after="0" w:afterAutospacing="0"/>
              <w:ind w:firstLineChars="100" w:firstLine="200"/>
              <w:jc w:val="right"/>
              <w:rPr>
                <w:rFonts w:cs="Arial"/>
                <w:sz w:val="20"/>
                <w:szCs w:val="20"/>
              </w:rPr>
            </w:pPr>
            <w:r>
              <w:rPr>
                <w:rFonts w:cs="Arial"/>
                <w:sz w:val="20"/>
                <w:szCs w:val="20"/>
              </w:rPr>
              <w:t>-36 777</w:t>
            </w:r>
          </w:p>
        </w:tc>
      </w:tr>
      <w:tr w:rsidR="00907A78" w:rsidRPr="00AC713D" w14:paraId="18EE2611" w14:textId="77777777" w:rsidTr="002C4FFF">
        <w:trPr>
          <w:trHeight w:val="255"/>
        </w:trPr>
        <w:tc>
          <w:tcPr>
            <w:tcW w:w="2692" w:type="pct"/>
            <w:tcBorders>
              <w:top w:val="nil"/>
              <w:left w:val="nil"/>
              <w:bottom w:val="single" w:sz="4" w:space="0" w:color="9C9D9F"/>
              <w:right w:val="nil"/>
            </w:tcBorders>
            <w:shd w:val="clear" w:color="auto" w:fill="auto"/>
            <w:noWrap/>
            <w:vAlign w:val="bottom"/>
            <w:hideMark/>
          </w:tcPr>
          <w:p w14:paraId="0C9EA169" w14:textId="77777777" w:rsidR="00907A78" w:rsidRPr="00AC713D" w:rsidRDefault="00907A78" w:rsidP="00907A78">
            <w:pPr>
              <w:spacing w:before="0" w:beforeAutospacing="0" w:after="0" w:afterAutospacing="0"/>
              <w:jc w:val="left"/>
              <w:rPr>
                <w:rFonts w:cs="Arial"/>
                <w:sz w:val="20"/>
                <w:szCs w:val="20"/>
              </w:rPr>
            </w:pPr>
            <w:r w:rsidRPr="00AC713D">
              <w:rPr>
                <w:rFonts w:cs="Arial"/>
                <w:sz w:val="20"/>
                <w:szCs w:val="20"/>
              </w:rPr>
              <w:t>Nerozdělený zisk</w:t>
            </w:r>
          </w:p>
        </w:tc>
        <w:tc>
          <w:tcPr>
            <w:tcW w:w="769" w:type="pct"/>
            <w:tcBorders>
              <w:top w:val="nil"/>
              <w:left w:val="nil"/>
              <w:bottom w:val="single" w:sz="4" w:space="0" w:color="9C9D9F"/>
              <w:right w:val="nil"/>
            </w:tcBorders>
            <w:shd w:val="clear" w:color="auto" w:fill="auto"/>
            <w:noWrap/>
            <w:vAlign w:val="bottom"/>
            <w:hideMark/>
          </w:tcPr>
          <w:p w14:paraId="3CA2F6A9" w14:textId="3C839C4B" w:rsidR="00907A78" w:rsidRPr="00AC713D" w:rsidRDefault="00907A78" w:rsidP="00907A78">
            <w:pPr>
              <w:spacing w:before="0" w:beforeAutospacing="0" w:after="0" w:afterAutospacing="0"/>
              <w:ind w:firstLineChars="100" w:firstLine="200"/>
              <w:jc w:val="right"/>
              <w:rPr>
                <w:rFonts w:cs="Arial"/>
                <w:sz w:val="20"/>
                <w:szCs w:val="20"/>
              </w:rPr>
            </w:pPr>
            <w:r w:rsidRPr="00AC713D">
              <w:rPr>
                <w:rFonts w:cs="Arial"/>
                <w:sz w:val="20"/>
                <w:szCs w:val="20"/>
              </w:rPr>
              <w:t>4 768 586</w:t>
            </w:r>
          </w:p>
        </w:tc>
        <w:tc>
          <w:tcPr>
            <w:tcW w:w="770" w:type="pct"/>
            <w:tcBorders>
              <w:top w:val="nil"/>
              <w:left w:val="nil"/>
              <w:bottom w:val="single" w:sz="8" w:space="0" w:color="9C9D9F"/>
              <w:right w:val="nil"/>
            </w:tcBorders>
            <w:shd w:val="clear" w:color="auto" w:fill="auto"/>
            <w:vAlign w:val="center"/>
          </w:tcPr>
          <w:p w14:paraId="3460621E" w14:textId="128EC0D7" w:rsidR="00907A78" w:rsidRPr="00AC713D" w:rsidRDefault="00907A78" w:rsidP="002C4FFF">
            <w:pPr>
              <w:spacing w:before="0" w:beforeAutospacing="0" w:after="0" w:afterAutospacing="0"/>
              <w:ind w:firstLineChars="100" w:firstLine="200"/>
              <w:jc w:val="right"/>
              <w:rPr>
                <w:rFonts w:cs="Arial"/>
                <w:sz w:val="20"/>
                <w:szCs w:val="20"/>
              </w:rPr>
            </w:pPr>
            <w:r w:rsidRPr="002C4FFF">
              <w:rPr>
                <w:rFonts w:cs="Arial"/>
                <w:color w:val="000000"/>
                <w:sz w:val="20"/>
                <w:szCs w:val="20"/>
              </w:rPr>
              <w:t>4 994 938</w:t>
            </w:r>
          </w:p>
        </w:tc>
        <w:tc>
          <w:tcPr>
            <w:tcW w:w="769" w:type="pct"/>
            <w:tcBorders>
              <w:top w:val="nil"/>
              <w:left w:val="nil"/>
              <w:bottom w:val="single" w:sz="4" w:space="0" w:color="9C9D9F"/>
              <w:right w:val="nil"/>
            </w:tcBorders>
            <w:shd w:val="clear" w:color="auto" w:fill="auto"/>
            <w:noWrap/>
            <w:vAlign w:val="bottom"/>
          </w:tcPr>
          <w:p w14:paraId="52DD901A" w14:textId="09A35677" w:rsidR="00907A78" w:rsidRPr="00AC713D" w:rsidRDefault="00907A78" w:rsidP="00907A78">
            <w:pPr>
              <w:spacing w:before="0" w:beforeAutospacing="0" w:after="0" w:afterAutospacing="0"/>
              <w:ind w:firstLineChars="100" w:firstLine="200"/>
              <w:jc w:val="right"/>
              <w:rPr>
                <w:rFonts w:cs="Arial"/>
                <w:sz w:val="20"/>
                <w:szCs w:val="20"/>
              </w:rPr>
            </w:pPr>
            <w:r>
              <w:rPr>
                <w:rFonts w:cs="Arial"/>
                <w:sz w:val="20"/>
                <w:szCs w:val="20"/>
              </w:rPr>
              <w:t>5 004 254</w:t>
            </w:r>
          </w:p>
        </w:tc>
      </w:tr>
      <w:tr w:rsidR="00907A78" w:rsidRPr="00AC713D" w14:paraId="0774FF8D" w14:textId="77777777" w:rsidTr="002C4FFF">
        <w:trPr>
          <w:trHeight w:val="255"/>
        </w:trPr>
        <w:tc>
          <w:tcPr>
            <w:tcW w:w="2692" w:type="pct"/>
            <w:tcBorders>
              <w:top w:val="nil"/>
              <w:left w:val="nil"/>
              <w:bottom w:val="single" w:sz="4" w:space="0" w:color="9C9D9F"/>
              <w:right w:val="nil"/>
            </w:tcBorders>
            <w:shd w:val="clear" w:color="auto" w:fill="auto"/>
            <w:noWrap/>
            <w:vAlign w:val="bottom"/>
            <w:hideMark/>
          </w:tcPr>
          <w:p w14:paraId="03370DE1" w14:textId="77777777" w:rsidR="00907A78" w:rsidRPr="00AC713D" w:rsidRDefault="00907A78" w:rsidP="00907A78">
            <w:pPr>
              <w:spacing w:before="0" w:beforeAutospacing="0" w:after="0" w:afterAutospacing="0"/>
              <w:jc w:val="left"/>
              <w:rPr>
                <w:rFonts w:cs="Arial"/>
                <w:b/>
                <w:bCs/>
                <w:sz w:val="20"/>
                <w:szCs w:val="20"/>
              </w:rPr>
            </w:pPr>
            <w:r w:rsidRPr="00AC713D">
              <w:rPr>
                <w:rFonts w:cs="Arial"/>
                <w:b/>
                <w:bCs/>
                <w:sz w:val="20"/>
                <w:szCs w:val="20"/>
              </w:rPr>
              <w:t>Základní kapitál a rezervní fondy celkem</w:t>
            </w:r>
          </w:p>
        </w:tc>
        <w:tc>
          <w:tcPr>
            <w:tcW w:w="769" w:type="pct"/>
            <w:tcBorders>
              <w:top w:val="nil"/>
              <w:left w:val="nil"/>
              <w:bottom w:val="single" w:sz="4" w:space="0" w:color="9C9D9F"/>
              <w:right w:val="nil"/>
            </w:tcBorders>
            <w:shd w:val="clear" w:color="auto" w:fill="auto"/>
            <w:noWrap/>
            <w:vAlign w:val="bottom"/>
            <w:hideMark/>
          </w:tcPr>
          <w:p w14:paraId="721C30F3" w14:textId="15BF2B8F" w:rsidR="00907A78" w:rsidRPr="00AC713D" w:rsidRDefault="00907A78" w:rsidP="00907A78">
            <w:pPr>
              <w:spacing w:before="0" w:beforeAutospacing="0" w:after="0" w:afterAutospacing="0"/>
              <w:ind w:firstLineChars="100" w:firstLine="201"/>
              <w:jc w:val="right"/>
              <w:rPr>
                <w:rFonts w:cs="Arial"/>
                <w:b/>
                <w:bCs/>
                <w:sz w:val="20"/>
                <w:szCs w:val="20"/>
              </w:rPr>
            </w:pPr>
            <w:r w:rsidRPr="00AC713D">
              <w:rPr>
                <w:rFonts w:cs="Arial"/>
                <w:b/>
                <w:bCs/>
                <w:sz w:val="20"/>
                <w:szCs w:val="20"/>
              </w:rPr>
              <w:t>5 207 652</w:t>
            </w:r>
          </w:p>
        </w:tc>
        <w:tc>
          <w:tcPr>
            <w:tcW w:w="770" w:type="pct"/>
            <w:tcBorders>
              <w:top w:val="nil"/>
              <w:left w:val="nil"/>
              <w:bottom w:val="single" w:sz="8" w:space="0" w:color="9C9D9F"/>
              <w:right w:val="nil"/>
            </w:tcBorders>
            <w:shd w:val="clear" w:color="auto" w:fill="auto"/>
            <w:vAlign w:val="center"/>
          </w:tcPr>
          <w:p w14:paraId="67BB6348" w14:textId="0988C06A" w:rsidR="00907A78" w:rsidRPr="00AC713D" w:rsidRDefault="00907A78" w:rsidP="002C4FFF">
            <w:pPr>
              <w:spacing w:before="0" w:beforeAutospacing="0" w:after="0" w:afterAutospacing="0"/>
              <w:ind w:firstLineChars="100" w:firstLine="201"/>
              <w:jc w:val="right"/>
              <w:rPr>
                <w:rFonts w:cs="Arial"/>
                <w:b/>
                <w:bCs/>
                <w:sz w:val="20"/>
                <w:szCs w:val="20"/>
              </w:rPr>
            </w:pPr>
            <w:r w:rsidRPr="002C4FFF">
              <w:rPr>
                <w:rFonts w:cs="Arial"/>
                <w:b/>
                <w:bCs/>
                <w:color w:val="000000"/>
                <w:sz w:val="20"/>
                <w:szCs w:val="20"/>
              </w:rPr>
              <w:t>5 486 101</w:t>
            </w:r>
          </w:p>
        </w:tc>
        <w:tc>
          <w:tcPr>
            <w:tcW w:w="769" w:type="pct"/>
            <w:tcBorders>
              <w:top w:val="nil"/>
              <w:left w:val="nil"/>
              <w:bottom w:val="single" w:sz="4" w:space="0" w:color="9C9D9F"/>
              <w:right w:val="nil"/>
            </w:tcBorders>
            <w:shd w:val="clear" w:color="auto" w:fill="auto"/>
            <w:noWrap/>
            <w:vAlign w:val="bottom"/>
          </w:tcPr>
          <w:p w14:paraId="3E8ECDAB" w14:textId="5A38CD26" w:rsidR="00907A78" w:rsidRPr="00AC713D" w:rsidRDefault="00907A78" w:rsidP="00907A78">
            <w:pPr>
              <w:spacing w:before="0" w:beforeAutospacing="0" w:after="0" w:afterAutospacing="0"/>
              <w:ind w:firstLineChars="100" w:firstLine="201"/>
              <w:jc w:val="right"/>
              <w:rPr>
                <w:rFonts w:cs="Arial"/>
                <w:b/>
                <w:bCs/>
                <w:sz w:val="20"/>
                <w:szCs w:val="20"/>
              </w:rPr>
            </w:pPr>
            <w:r>
              <w:rPr>
                <w:rFonts w:cs="Arial"/>
                <w:b/>
                <w:bCs/>
                <w:sz w:val="20"/>
                <w:szCs w:val="20"/>
              </w:rPr>
              <w:t>5 491 572</w:t>
            </w:r>
          </w:p>
        </w:tc>
      </w:tr>
      <w:tr w:rsidR="00E4317A" w:rsidRPr="00AC713D" w14:paraId="07DCF987" w14:textId="77777777" w:rsidTr="002C4FFF">
        <w:trPr>
          <w:trHeight w:val="150"/>
        </w:trPr>
        <w:tc>
          <w:tcPr>
            <w:tcW w:w="2692" w:type="pct"/>
            <w:tcBorders>
              <w:top w:val="nil"/>
              <w:left w:val="nil"/>
              <w:bottom w:val="nil"/>
              <w:right w:val="nil"/>
            </w:tcBorders>
            <w:shd w:val="clear" w:color="auto" w:fill="auto"/>
            <w:noWrap/>
            <w:vAlign w:val="bottom"/>
            <w:hideMark/>
          </w:tcPr>
          <w:p w14:paraId="2E7C8350" w14:textId="77777777" w:rsidR="00E4317A" w:rsidRPr="00AC713D" w:rsidRDefault="00E4317A" w:rsidP="00E4317A">
            <w:pPr>
              <w:spacing w:before="0" w:beforeAutospacing="0" w:after="0" w:afterAutospacing="0"/>
              <w:ind w:firstLineChars="100" w:firstLine="201"/>
              <w:jc w:val="right"/>
              <w:rPr>
                <w:rFonts w:cs="Arial"/>
                <w:b/>
                <w:bCs/>
                <w:sz w:val="20"/>
                <w:szCs w:val="20"/>
              </w:rPr>
            </w:pPr>
          </w:p>
        </w:tc>
        <w:tc>
          <w:tcPr>
            <w:tcW w:w="769" w:type="pct"/>
            <w:tcBorders>
              <w:top w:val="nil"/>
              <w:left w:val="nil"/>
              <w:bottom w:val="nil"/>
              <w:right w:val="nil"/>
            </w:tcBorders>
            <w:shd w:val="clear" w:color="auto" w:fill="auto"/>
            <w:noWrap/>
            <w:vAlign w:val="bottom"/>
            <w:hideMark/>
          </w:tcPr>
          <w:p w14:paraId="79C66BA7" w14:textId="77777777" w:rsidR="00E4317A" w:rsidRPr="00AC713D" w:rsidRDefault="00E4317A" w:rsidP="00E4317A">
            <w:pPr>
              <w:spacing w:before="0" w:beforeAutospacing="0" w:after="0" w:afterAutospacing="0"/>
              <w:jc w:val="left"/>
              <w:rPr>
                <w:rFonts w:cs="Arial"/>
                <w:sz w:val="20"/>
                <w:szCs w:val="20"/>
              </w:rPr>
            </w:pPr>
          </w:p>
        </w:tc>
        <w:tc>
          <w:tcPr>
            <w:tcW w:w="770" w:type="pct"/>
            <w:tcBorders>
              <w:top w:val="nil"/>
              <w:left w:val="nil"/>
              <w:bottom w:val="nil"/>
              <w:right w:val="nil"/>
            </w:tcBorders>
            <w:vAlign w:val="center"/>
          </w:tcPr>
          <w:p w14:paraId="1E71E072" w14:textId="77777777" w:rsidR="00E4317A" w:rsidRPr="00AC713D" w:rsidRDefault="00E4317A" w:rsidP="00424B97">
            <w:pPr>
              <w:spacing w:before="0" w:beforeAutospacing="0" w:after="0" w:afterAutospacing="0"/>
              <w:ind w:firstLineChars="100" w:firstLine="200"/>
              <w:jc w:val="right"/>
              <w:rPr>
                <w:rFonts w:cs="Arial"/>
                <w:sz w:val="20"/>
                <w:szCs w:val="20"/>
              </w:rPr>
            </w:pPr>
          </w:p>
        </w:tc>
        <w:tc>
          <w:tcPr>
            <w:tcW w:w="769" w:type="pct"/>
            <w:tcBorders>
              <w:top w:val="nil"/>
              <w:left w:val="nil"/>
              <w:bottom w:val="nil"/>
              <w:right w:val="nil"/>
            </w:tcBorders>
            <w:shd w:val="clear" w:color="auto" w:fill="auto"/>
            <w:noWrap/>
            <w:vAlign w:val="bottom"/>
          </w:tcPr>
          <w:p w14:paraId="4C1CCC78" w14:textId="1ADCA9FC" w:rsidR="00E4317A" w:rsidRPr="00AC713D" w:rsidRDefault="00E4317A" w:rsidP="00E4317A">
            <w:pPr>
              <w:spacing w:before="0" w:beforeAutospacing="0" w:after="0" w:afterAutospacing="0"/>
              <w:ind w:firstLineChars="100" w:firstLine="200"/>
              <w:jc w:val="right"/>
              <w:rPr>
                <w:rFonts w:cs="Arial"/>
                <w:sz w:val="20"/>
                <w:szCs w:val="20"/>
              </w:rPr>
            </w:pPr>
          </w:p>
        </w:tc>
      </w:tr>
      <w:tr w:rsidR="00E4317A" w:rsidRPr="00AC713D" w14:paraId="0A13EF2D" w14:textId="77777777" w:rsidTr="002C4FFF">
        <w:trPr>
          <w:trHeight w:val="255"/>
        </w:trPr>
        <w:tc>
          <w:tcPr>
            <w:tcW w:w="2692" w:type="pct"/>
            <w:tcBorders>
              <w:top w:val="nil"/>
              <w:left w:val="nil"/>
              <w:bottom w:val="nil"/>
              <w:right w:val="nil"/>
            </w:tcBorders>
            <w:shd w:val="clear" w:color="000000" w:fill="9C9D9F"/>
            <w:noWrap/>
            <w:vAlign w:val="bottom"/>
            <w:hideMark/>
          </w:tcPr>
          <w:p w14:paraId="435D7307" w14:textId="77777777" w:rsidR="00E4317A" w:rsidRPr="00AC713D" w:rsidRDefault="00E4317A" w:rsidP="00E4317A">
            <w:pPr>
              <w:spacing w:before="0" w:beforeAutospacing="0" w:after="0" w:afterAutospacing="0"/>
              <w:jc w:val="left"/>
              <w:rPr>
                <w:rFonts w:cs="Arial"/>
                <w:b/>
                <w:bCs/>
                <w:sz w:val="20"/>
                <w:szCs w:val="20"/>
              </w:rPr>
            </w:pPr>
            <w:r w:rsidRPr="00AC713D">
              <w:rPr>
                <w:rFonts w:cs="Arial"/>
                <w:b/>
                <w:bCs/>
                <w:sz w:val="20"/>
                <w:szCs w:val="20"/>
              </w:rPr>
              <w:t>Dlouhodobé závazky</w:t>
            </w:r>
          </w:p>
        </w:tc>
        <w:tc>
          <w:tcPr>
            <w:tcW w:w="769" w:type="pct"/>
            <w:tcBorders>
              <w:top w:val="nil"/>
              <w:left w:val="nil"/>
              <w:bottom w:val="nil"/>
              <w:right w:val="nil"/>
            </w:tcBorders>
            <w:shd w:val="clear" w:color="000000" w:fill="9C9D9F"/>
            <w:noWrap/>
            <w:vAlign w:val="bottom"/>
            <w:hideMark/>
          </w:tcPr>
          <w:p w14:paraId="7312BC37" w14:textId="5243C724" w:rsidR="00E4317A" w:rsidRPr="00AC713D" w:rsidRDefault="00E4317A" w:rsidP="00E4317A">
            <w:pPr>
              <w:spacing w:before="0" w:beforeAutospacing="0" w:after="0" w:afterAutospacing="0"/>
              <w:ind w:firstLineChars="100" w:firstLine="200"/>
              <w:jc w:val="right"/>
              <w:rPr>
                <w:rFonts w:cs="Arial"/>
                <w:sz w:val="20"/>
                <w:szCs w:val="20"/>
              </w:rPr>
            </w:pPr>
            <w:r w:rsidRPr="00AC713D">
              <w:rPr>
                <w:rFonts w:cs="Arial"/>
                <w:sz w:val="20"/>
                <w:szCs w:val="20"/>
              </w:rPr>
              <w:t> </w:t>
            </w:r>
          </w:p>
        </w:tc>
        <w:tc>
          <w:tcPr>
            <w:tcW w:w="770" w:type="pct"/>
            <w:tcBorders>
              <w:top w:val="nil"/>
              <w:left w:val="nil"/>
              <w:bottom w:val="nil"/>
              <w:right w:val="nil"/>
            </w:tcBorders>
            <w:shd w:val="clear" w:color="000000" w:fill="9C9D9F"/>
            <w:vAlign w:val="center"/>
          </w:tcPr>
          <w:p w14:paraId="7D5F2321" w14:textId="77777777" w:rsidR="00E4317A" w:rsidRPr="00AC713D" w:rsidRDefault="00E4317A" w:rsidP="00424B97">
            <w:pPr>
              <w:spacing w:before="0" w:beforeAutospacing="0" w:after="0" w:afterAutospacing="0"/>
              <w:ind w:firstLineChars="100" w:firstLine="200"/>
              <w:jc w:val="right"/>
              <w:rPr>
                <w:rFonts w:cs="Arial"/>
                <w:sz w:val="20"/>
                <w:szCs w:val="20"/>
              </w:rPr>
            </w:pPr>
          </w:p>
        </w:tc>
        <w:tc>
          <w:tcPr>
            <w:tcW w:w="769" w:type="pct"/>
            <w:tcBorders>
              <w:top w:val="nil"/>
              <w:left w:val="nil"/>
              <w:bottom w:val="nil"/>
              <w:right w:val="nil"/>
            </w:tcBorders>
            <w:shd w:val="clear" w:color="000000" w:fill="9C9D9F"/>
            <w:noWrap/>
            <w:vAlign w:val="bottom"/>
          </w:tcPr>
          <w:p w14:paraId="30CB80AB" w14:textId="35A5010E" w:rsidR="00E4317A" w:rsidRPr="00AC713D" w:rsidRDefault="00E4317A" w:rsidP="00E4317A">
            <w:pPr>
              <w:spacing w:before="0" w:beforeAutospacing="0" w:after="0" w:afterAutospacing="0"/>
              <w:ind w:firstLineChars="100" w:firstLine="200"/>
              <w:jc w:val="right"/>
              <w:rPr>
                <w:rFonts w:cs="Arial"/>
                <w:sz w:val="20"/>
                <w:szCs w:val="20"/>
              </w:rPr>
            </w:pPr>
          </w:p>
        </w:tc>
      </w:tr>
      <w:tr w:rsidR="00907A78" w:rsidRPr="00AC713D" w14:paraId="7856F8E6" w14:textId="77777777" w:rsidTr="002C4FFF">
        <w:trPr>
          <w:trHeight w:val="255"/>
        </w:trPr>
        <w:tc>
          <w:tcPr>
            <w:tcW w:w="2692" w:type="pct"/>
            <w:tcBorders>
              <w:top w:val="nil"/>
              <w:left w:val="nil"/>
              <w:bottom w:val="single" w:sz="4" w:space="0" w:color="9C9D9F"/>
              <w:right w:val="nil"/>
            </w:tcBorders>
            <w:shd w:val="clear" w:color="auto" w:fill="auto"/>
            <w:noWrap/>
            <w:vAlign w:val="bottom"/>
            <w:hideMark/>
          </w:tcPr>
          <w:p w14:paraId="7F196337" w14:textId="77777777" w:rsidR="00907A78" w:rsidRPr="00AC713D" w:rsidRDefault="00907A78" w:rsidP="00907A78">
            <w:pPr>
              <w:spacing w:before="0" w:beforeAutospacing="0" w:after="0" w:afterAutospacing="0"/>
              <w:jc w:val="left"/>
              <w:rPr>
                <w:rFonts w:cs="Arial"/>
                <w:sz w:val="20"/>
                <w:szCs w:val="20"/>
              </w:rPr>
            </w:pPr>
            <w:r w:rsidRPr="00AC713D">
              <w:rPr>
                <w:rFonts w:cs="Arial"/>
                <w:sz w:val="20"/>
                <w:szCs w:val="20"/>
              </w:rPr>
              <w:t>Odložený daňový závazek</w:t>
            </w:r>
          </w:p>
        </w:tc>
        <w:tc>
          <w:tcPr>
            <w:tcW w:w="769" w:type="pct"/>
            <w:tcBorders>
              <w:top w:val="nil"/>
              <w:left w:val="nil"/>
              <w:bottom w:val="single" w:sz="4" w:space="0" w:color="9C9D9F"/>
              <w:right w:val="nil"/>
            </w:tcBorders>
            <w:shd w:val="clear" w:color="auto" w:fill="auto"/>
            <w:noWrap/>
            <w:vAlign w:val="bottom"/>
            <w:hideMark/>
          </w:tcPr>
          <w:p w14:paraId="0C003B2E" w14:textId="039868D3" w:rsidR="00907A78" w:rsidRPr="00AC713D" w:rsidRDefault="00907A78" w:rsidP="00907A78">
            <w:pPr>
              <w:spacing w:before="0" w:beforeAutospacing="0" w:after="0" w:afterAutospacing="0"/>
              <w:ind w:firstLineChars="100" w:firstLine="200"/>
              <w:jc w:val="right"/>
              <w:rPr>
                <w:rFonts w:cs="Arial"/>
                <w:sz w:val="20"/>
                <w:szCs w:val="20"/>
              </w:rPr>
            </w:pPr>
            <w:r w:rsidRPr="00AC713D">
              <w:rPr>
                <w:rFonts w:cs="Arial"/>
                <w:sz w:val="20"/>
                <w:szCs w:val="20"/>
              </w:rPr>
              <w:t>308 969</w:t>
            </w:r>
          </w:p>
        </w:tc>
        <w:tc>
          <w:tcPr>
            <w:tcW w:w="770" w:type="pct"/>
            <w:tcBorders>
              <w:top w:val="nil"/>
              <w:left w:val="nil"/>
              <w:bottom w:val="single" w:sz="8" w:space="0" w:color="9C9D9F"/>
              <w:right w:val="nil"/>
            </w:tcBorders>
            <w:shd w:val="clear" w:color="auto" w:fill="auto"/>
            <w:vAlign w:val="center"/>
          </w:tcPr>
          <w:p w14:paraId="0AE317D7" w14:textId="2F49FC7E" w:rsidR="00907A78" w:rsidRPr="00AC713D" w:rsidRDefault="00907A78" w:rsidP="002C4FFF">
            <w:pPr>
              <w:spacing w:before="0" w:beforeAutospacing="0" w:after="0" w:afterAutospacing="0"/>
              <w:ind w:firstLineChars="100" w:firstLine="200"/>
              <w:jc w:val="right"/>
              <w:rPr>
                <w:rFonts w:cs="Arial"/>
                <w:sz w:val="20"/>
                <w:szCs w:val="20"/>
              </w:rPr>
            </w:pPr>
            <w:r w:rsidRPr="002C4FFF">
              <w:rPr>
                <w:rFonts w:cs="Arial"/>
                <w:color w:val="000000"/>
                <w:sz w:val="20"/>
                <w:szCs w:val="20"/>
              </w:rPr>
              <w:t>450 061</w:t>
            </w:r>
          </w:p>
        </w:tc>
        <w:tc>
          <w:tcPr>
            <w:tcW w:w="769" w:type="pct"/>
            <w:tcBorders>
              <w:top w:val="single" w:sz="4" w:space="0" w:color="9C9D9F"/>
              <w:left w:val="nil"/>
              <w:bottom w:val="single" w:sz="4" w:space="0" w:color="9C9D9F"/>
              <w:right w:val="nil"/>
            </w:tcBorders>
            <w:shd w:val="clear" w:color="auto" w:fill="auto"/>
            <w:noWrap/>
            <w:vAlign w:val="bottom"/>
          </w:tcPr>
          <w:p w14:paraId="7FEB1379" w14:textId="50C25486" w:rsidR="00907A78" w:rsidRPr="00AC713D" w:rsidRDefault="00907A78" w:rsidP="00907A78">
            <w:pPr>
              <w:spacing w:before="0" w:beforeAutospacing="0" w:after="0" w:afterAutospacing="0"/>
              <w:ind w:firstLineChars="100" w:firstLine="200"/>
              <w:jc w:val="right"/>
              <w:rPr>
                <w:rFonts w:cs="Arial"/>
                <w:sz w:val="20"/>
                <w:szCs w:val="20"/>
              </w:rPr>
            </w:pPr>
            <w:r>
              <w:rPr>
                <w:rFonts w:cs="Arial"/>
                <w:sz w:val="20"/>
                <w:szCs w:val="20"/>
              </w:rPr>
              <w:t>433 928</w:t>
            </w:r>
          </w:p>
        </w:tc>
      </w:tr>
      <w:tr w:rsidR="00907A78" w:rsidRPr="00AC713D" w14:paraId="4C3AC365" w14:textId="77777777" w:rsidTr="002C4FFF">
        <w:trPr>
          <w:trHeight w:val="255"/>
        </w:trPr>
        <w:tc>
          <w:tcPr>
            <w:tcW w:w="2692" w:type="pct"/>
            <w:tcBorders>
              <w:top w:val="nil"/>
              <w:left w:val="nil"/>
              <w:bottom w:val="single" w:sz="4" w:space="0" w:color="9C9D9F"/>
              <w:right w:val="nil"/>
            </w:tcBorders>
            <w:shd w:val="clear" w:color="auto" w:fill="auto"/>
            <w:noWrap/>
            <w:vAlign w:val="bottom"/>
            <w:hideMark/>
          </w:tcPr>
          <w:p w14:paraId="3B9777C8" w14:textId="77777777" w:rsidR="00907A78" w:rsidRPr="00AC713D" w:rsidRDefault="00907A78" w:rsidP="00907A78">
            <w:pPr>
              <w:spacing w:before="0" w:beforeAutospacing="0" w:after="0" w:afterAutospacing="0"/>
              <w:jc w:val="left"/>
              <w:rPr>
                <w:rFonts w:cs="Arial"/>
                <w:sz w:val="20"/>
                <w:szCs w:val="20"/>
              </w:rPr>
            </w:pPr>
            <w:r w:rsidRPr="00AC713D">
              <w:rPr>
                <w:rFonts w:cs="Arial"/>
                <w:sz w:val="20"/>
                <w:szCs w:val="20"/>
              </w:rPr>
              <w:t>Dlouhodobé dluhopisy</w:t>
            </w:r>
          </w:p>
        </w:tc>
        <w:tc>
          <w:tcPr>
            <w:tcW w:w="769" w:type="pct"/>
            <w:tcBorders>
              <w:top w:val="nil"/>
              <w:left w:val="nil"/>
              <w:bottom w:val="single" w:sz="4" w:space="0" w:color="9C9D9F"/>
              <w:right w:val="nil"/>
            </w:tcBorders>
            <w:shd w:val="clear" w:color="auto" w:fill="auto"/>
            <w:noWrap/>
            <w:vAlign w:val="bottom"/>
            <w:hideMark/>
          </w:tcPr>
          <w:p w14:paraId="3CDB009C" w14:textId="7F1F4644" w:rsidR="00907A78" w:rsidRPr="00AC713D" w:rsidRDefault="00907A78" w:rsidP="00907A78">
            <w:pPr>
              <w:spacing w:before="0" w:beforeAutospacing="0" w:after="0" w:afterAutospacing="0"/>
              <w:ind w:firstLineChars="100" w:firstLine="200"/>
              <w:jc w:val="right"/>
              <w:rPr>
                <w:rFonts w:cs="Arial"/>
                <w:sz w:val="20"/>
                <w:szCs w:val="20"/>
              </w:rPr>
            </w:pPr>
            <w:r w:rsidRPr="00AC713D">
              <w:rPr>
                <w:rFonts w:cs="Arial"/>
                <w:sz w:val="20"/>
                <w:szCs w:val="20"/>
              </w:rPr>
              <w:t>3 900 598</w:t>
            </w:r>
          </w:p>
        </w:tc>
        <w:tc>
          <w:tcPr>
            <w:tcW w:w="770" w:type="pct"/>
            <w:tcBorders>
              <w:top w:val="nil"/>
              <w:left w:val="nil"/>
              <w:bottom w:val="single" w:sz="8" w:space="0" w:color="9C9D9F"/>
              <w:right w:val="nil"/>
            </w:tcBorders>
            <w:shd w:val="clear" w:color="auto" w:fill="auto"/>
            <w:vAlign w:val="center"/>
          </w:tcPr>
          <w:p w14:paraId="016DE183" w14:textId="446842F8" w:rsidR="00907A78" w:rsidRPr="00AC713D" w:rsidRDefault="00907A78" w:rsidP="002C4FFF">
            <w:pPr>
              <w:spacing w:before="0" w:beforeAutospacing="0" w:after="0" w:afterAutospacing="0"/>
              <w:ind w:firstLineChars="100" w:firstLine="200"/>
              <w:jc w:val="right"/>
              <w:rPr>
                <w:rFonts w:cs="Arial"/>
                <w:sz w:val="20"/>
                <w:szCs w:val="20"/>
              </w:rPr>
            </w:pPr>
            <w:r w:rsidRPr="002C4FFF">
              <w:rPr>
                <w:rFonts w:cs="Arial"/>
                <w:color w:val="000000"/>
                <w:sz w:val="20"/>
                <w:szCs w:val="20"/>
              </w:rPr>
              <w:t>3 898 726</w:t>
            </w:r>
          </w:p>
        </w:tc>
        <w:tc>
          <w:tcPr>
            <w:tcW w:w="769" w:type="pct"/>
            <w:tcBorders>
              <w:top w:val="nil"/>
              <w:left w:val="nil"/>
              <w:bottom w:val="single" w:sz="4" w:space="0" w:color="9C9D9F"/>
              <w:right w:val="nil"/>
            </w:tcBorders>
            <w:shd w:val="clear" w:color="auto" w:fill="auto"/>
            <w:noWrap/>
            <w:vAlign w:val="bottom"/>
          </w:tcPr>
          <w:p w14:paraId="38B3290E" w14:textId="4A31779D" w:rsidR="00907A78" w:rsidRPr="00AC713D" w:rsidRDefault="00907A78" w:rsidP="00907A78">
            <w:pPr>
              <w:spacing w:before="0" w:beforeAutospacing="0" w:after="0" w:afterAutospacing="0"/>
              <w:ind w:firstLineChars="100" w:firstLine="200"/>
              <w:jc w:val="right"/>
              <w:rPr>
                <w:rFonts w:cs="Arial"/>
                <w:sz w:val="20"/>
                <w:szCs w:val="20"/>
              </w:rPr>
            </w:pPr>
            <w:r>
              <w:rPr>
                <w:rFonts w:cs="Arial"/>
                <w:sz w:val="20"/>
                <w:szCs w:val="20"/>
              </w:rPr>
              <w:t>4 012 762</w:t>
            </w:r>
          </w:p>
        </w:tc>
      </w:tr>
      <w:tr w:rsidR="00907A78" w:rsidRPr="00AC713D" w14:paraId="1D386F15" w14:textId="77777777" w:rsidTr="002C4FFF">
        <w:trPr>
          <w:trHeight w:val="255"/>
        </w:trPr>
        <w:tc>
          <w:tcPr>
            <w:tcW w:w="2692" w:type="pct"/>
            <w:tcBorders>
              <w:top w:val="nil"/>
              <w:left w:val="nil"/>
              <w:bottom w:val="single" w:sz="4" w:space="0" w:color="9C9D9F"/>
              <w:right w:val="nil"/>
            </w:tcBorders>
            <w:shd w:val="clear" w:color="auto" w:fill="auto"/>
            <w:noWrap/>
            <w:vAlign w:val="bottom"/>
            <w:hideMark/>
          </w:tcPr>
          <w:p w14:paraId="0566D435" w14:textId="77777777" w:rsidR="00907A78" w:rsidRPr="00AC713D" w:rsidRDefault="00907A78" w:rsidP="00907A78">
            <w:pPr>
              <w:spacing w:before="0" w:beforeAutospacing="0" w:after="0" w:afterAutospacing="0"/>
              <w:jc w:val="left"/>
              <w:rPr>
                <w:rFonts w:cs="Arial"/>
                <w:b/>
                <w:bCs/>
                <w:sz w:val="20"/>
                <w:szCs w:val="20"/>
              </w:rPr>
            </w:pPr>
            <w:r w:rsidRPr="00AC713D">
              <w:rPr>
                <w:rFonts w:cs="Arial"/>
                <w:b/>
                <w:bCs/>
                <w:sz w:val="20"/>
                <w:szCs w:val="20"/>
              </w:rPr>
              <w:t>Dlouhodobé závazky celkem</w:t>
            </w:r>
          </w:p>
        </w:tc>
        <w:tc>
          <w:tcPr>
            <w:tcW w:w="769" w:type="pct"/>
            <w:tcBorders>
              <w:top w:val="nil"/>
              <w:left w:val="nil"/>
              <w:bottom w:val="single" w:sz="4" w:space="0" w:color="9C9D9F"/>
              <w:right w:val="nil"/>
            </w:tcBorders>
            <w:shd w:val="clear" w:color="auto" w:fill="auto"/>
            <w:noWrap/>
            <w:vAlign w:val="bottom"/>
            <w:hideMark/>
          </w:tcPr>
          <w:p w14:paraId="54E7B8EA" w14:textId="0525CE61" w:rsidR="00907A78" w:rsidRPr="00AC713D" w:rsidRDefault="00907A78" w:rsidP="00907A78">
            <w:pPr>
              <w:spacing w:before="0" w:beforeAutospacing="0" w:after="0" w:afterAutospacing="0"/>
              <w:ind w:firstLineChars="100" w:firstLine="201"/>
              <w:jc w:val="right"/>
              <w:rPr>
                <w:rFonts w:cs="Arial"/>
                <w:b/>
                <w:bCs/>
                <w:sz w:val="20"/>
                <w:szCs w:val="20"/>
              </w:rPr>
            </w:pPr>
            <w:r w:rsidRPr="00AC713D">
              <w:rPr>
                <w:rFonts w:cs="Arial"/>
                <w:b/>
                <w:bCs/>
                <w:sz w:val="20"/>
                <w:szCs w:val="20"/>
              </w:rPr>
              <w:t>4 209 567</w:t>
            </w:r>
          </w:p>
        </w:tc>
        <w:tc>
          <w:tcPr>
            <w:tcW w:w="770" w:type="pct"/>
            <w:tcBorders>
              <w:top w:val="nil"/>
              <w:left w:val="nil"/>
              <w:bottom w:val="single" w:sz="8" w:space="0" w:color="9C9D9F"/>
              <w:right w:val="nil"/>
            </w:tcBorders>
            <w:shd w:val="clear" w:color="auto" w:fill="auto"/>
            <w:vAlign w:val="center"/>
          </w:tcPr>
          <w:p w14:paraId="61F6CF04" w14:textId="6EDDEBB9" w:rsidR="00907A78" w:rsidRPr="00AC713D" w:rsidRDefault="00907A78" w:rsidP="002C4FFF">
            <w:pPr>
              <w:spacing w:before="0" w:beforeAutospacing="0" w:after="0" w:afterAutospacing="0"/>
              <w:ind w:firstLineChars="100" w:firstLine="201"/>
              <w:jc w:val="right"/>
              <w:rPr>
                <w:rFonts w:cs="Arial"/>
                <w:b/>
                <w:bCs/>
                <w:sz w:val="20"/>
                <w:szCs w:val="20"/>
              </w:rPr>
            </w:pPr>
            <w:r w:rsidRPr="002C4FFF">
              <w:rPr>
                <w:rFonts w:cs="Arial"/>
                <w:b/>
                <w:bCs/>
                <w:color w:val="000000"/>
                <w:sz w:val="20"/>
                <w:szCs w:val="20"/>
              </w:rPr>
              <w:t>4 348 787</w:t>
            </w:r>
          </w:p>
        </w:tc>
        <w:tc>
          <w:tcPr>
            <w:tcW w:w="769" w:type="pct"/>
            <w:tcBorders>
              <w:top w:val="nil"/>
              <w:left w:val="nil"/>
              <w:bottom w:val="single" w:sz="4" w:space="0" w:color="9C9D9F"/>
              <w:right w:val="nil"/>
            </w:tcBorders>
            <w:shd w:val="clear" w:color="auto" w:fill="auto"/>
            <w:noWrap/>
            <w:vAlign w:val="bottom"/>
          </w:tcPr>
          <w:p w14:paraId="58ADC3AB" w14:textId="66C6A131" w:rsidR="00907A78" w:rsidRPr="00AC713D" w:rsidRDefault="00907A78" w:rsidP="00907A78">
            <w:pPr>
              <w:spacing w:before="0" w:beforeAutospacing="0" w:after="0" w:afterAutospacing="0"/>
              <w:ind w:firstLineChars="100" w:firstLine="201"/>
              <w:jc w:val="right"/>
              <w:rPr>
                <w:rFonts w:cs="Arial"/>
                <w:b/>
                <w:bCs/>
                <w:sz w:val="20"/>
                <w:szCs w:val="20"/>
              </w:rPr>
            </w:pPr>
            <w:r>
              <w:rPr>
                <w:rFonts w:cs="Arial"/>
                <w:b/>
                <w:bCs/>
                <w:sz w:val="20"/>
                <w:szCs w:val="20"/>
              </w:rPr>
              <w:t>4 446 690</w:t>
            </w:r>
          </w:p>
        </w:tc>
      </w:tr>
      <w:tr w:rsidR="00E4317A" w:rsidRPr="00AC713D" w14:paraId="363393DF" w14:textId="77777777" w:rsidTr="002C4FFF">
        <w:trPr>
          <w:trHeight w:val="150"/>
        </w:trPr>
        <w:tc>
          <w:tcPr>
            <w:tcW w:w="2692" w:type="pct"/>
            <w:tcBorders>
              <w:top w:val="nil"/>
              <w:left w:val="nil"/>
              <w:bottom w:val="nil"/>
              <w:right w:val="nil"/>
            </w:tcBorders>
            <w:shd w:val="clear" w:color="auto" w:fill="auto"/>
            <w:noWrap/>
            <w:vAlign w:val="bottom"/>
            <w:hideMark/>
          </w:tcPr>
          <w:p w14:paraId="190A4B0D" w14:textId="77777777" w:rsidR="00E4317A" w:rsidRPr="00AC713D" w:rsidRDefault="00E4317A" w:rsidP="00E4317A">
            <w:pPr>
              <w:spacing w:before="0" w:beforeAutospacing="0" w:after="0" w:afterAutospacing="0"/>
              <w:ind w:firstLineChars="100" w:firstLine="201"/>
              <w:jc w:val="right"/>
              <w:rPr>
                <w:rFonts w:cs="Arial"/>
                <w:b/>
                <w:bCs/>
                <w:sz w:val="20"/>
                <w:szCs w:val="20"/>
              </w:rPr>
            </w:pPr>
          </w:p>
        </w:tc>
        <w:tc>
          <w:tcPr>
            <w:tcW w:w="769" w:type="pct"/>
            <w:tcBorders>
              <w:top w:val="nil"/>
              <w:left w:val="nil"/>
              <w:bottom w:val="nil"/>
              <w:right w:val="nil"/>
            </w:tcBorders>
            <w:shd w:val="clear" w:color="auto" w:fill="auto"/>
            <w:noWrap/>
            <w:vAlign w:val="bottom"/>
            <w:hideMark/>
          </w:tcPr>
          <w:p w14:paraId="3AEE0412" w14:textId="77777777" w:rsidR="00E4317A" w:rsidRPr="00AC713D" w:rsidRDefault="00E4317A" w:rsidP="00E4317A">
            <w:pPr>
              <w:spacing w:before="0" w:beforeAutospacing="0" w:after="0" w:afterAutospacing="0"/>
              <w:jc w:val="left"/>
              <w:rPr>
                <w:rFonts w:cs="Arial"/>
                <w:sz w:val="20"/>
                <w:szCs w:val="20"/>
              </w:rPr>
            </w:pPr>
          </w:p>
        </w:tc>
        <w:tc>
          <w:tcPr>
            <w:tcW w:w="770" w:type="pct"/>
            <w:tcBorders>
              <w:top w:val="nil"/>
              <w:left w:val="nil"/>
              <w:bottom w:val="nil"/>
              <w:right w:val="nil"/>
            </w:tcBorders>
            <w:vAlign w:val="center"/>
          </w:tcPr>
          <w:p w14:paraId="0479B0F3" w14:textId="77777777" w:rsidR="00E4317A" w:rsidRPr="00AC713D" w:rsidRDefault="00E4317A" w:rsidP="00424B97">
            <w:pPr>
              <w:spacing w:before="0" w:beforeAutospacing="0" w:after="0" w:afterAutospacing="0"/>
              <w:ind w:firstLineChars="100" w:firstLine="200"/>
              <w:jc w:val="right"/>
              <w:rPr>
                <w:rFonts w:cs="Arial"/>
                <w:sz w:val="20"/>
                <w:szCs w:val="20"/>
              </w:rPr>
            </w:pPr>
          </w:p>
        </w:tc>
        <w:tc>
          <w:tcPr>
            <w:tcW w:w="769" w:type="pct"/>
            <w:tcBorders>
              <w:top w:val="nil"/>
              <w:left w:val="nil"/>
              <w:bottom w:val="nil"/>
              <w:right w:val="nil"/>
            </w:tcBorders>
            <w:shd w:val="clear" w:color="auto" w:fill="auto"/>
            <w:noWrap/>
            <w:vAlign w:val="bottom"/>
          </w:tcPr>
          <w:p w14:paraId="581EF1EA" w14:textId="5470BFC4" w:rsidR="00E4317A" w:rsidRPr="00AC713D" w:rsidRDefault="00E4317A" w:rsidP="00E4317A">
            <w:pPr>
              <w:spacing w:before="0" w:beforeAutospacing="0" w:after="0" w:afterAutospacing="0"/>
              <w:ind w:firstLineChars="100" w:firstLine="200"/>
              <w:jc w:val="right"/>
              <w:rPr>
                <w:rFonts w:cs="Arial"/>
                <w:sz w:val="20"/>
                <w:szCs w:val="20"/>
              </w:rPr>
            </w:pPr>
          </w:p>
        </w:tc>
      </w:tr>
      <w:tr w:rsidR="00E4317A" w:rsidRPr="00AC713D" w14:paraId="042EF9BD" w14:textId="77777777" w:rsidTr="002C4FFF">
        <w:trPr>
          <w:trHeight w:val="255"/>
        </w:trPr>
        <w:tc>
          <w:tcPr>
            <w:tcW w:w="2692" w:type="pct"/>
            <w:tcBorders>
              <w:top w:val="nil"/>
              <w:left w:val="nil"/>
              <w:bottom w:val="nil"/>
              <w:right w:val="nil"/>
            </w:tcBorders>
            <w:shd w:val="clear" w:color="000000" w:fill="9C9D9F"/>
            <w:noWrap/>
            <w:vAlign w:val="bottom"/>
            <w:hideMark/>
          </w:tcPr>
          <w:p w14:paraId="73BCA122" w14:textId="77777777" w:rsidR="00E4317A" w:rsidRPr="00AC713D" w:rsidRDefault="00E4317A" w:rsidP="00E4317A">
            <w:pPr>
              <w:spacing w:before="0" w:beforeAutospacing="0" w:after="0" w:afterAutospacing="0"/>
              <w:jc w:val="left"/>
              <w:rPr>
                <w:rFonts w:cs="Arial"/>
                <w:b/>
                <w:bCs/>
                <w:sz w:val="20"/>
                <w:szCs w:val="20"/>
              </w:rPr>
            </w:pPr>
            <w:r w:rsidRPr="00AC713D">
              <w:rPr>
                <w:rFonts w:cs="Arial"/>
                <w:b/>
                <w:bCs/>
                <w:sz w:val="20"/>
                <w:szCs w:val="20"/>
              </w:rPr>
              <w:t>Krátkodobé závazky</w:t>
            </w:r>
          </w:p>
        </w:tc>
        <w:tc>
          <w:tcPr>
            <w:tcW w:w="769" w:type="pct"/>
            <w:tcBorders>
              <w:top w:val="nil"/>
              <w:left w:val="nil"/>
              <w:bottom w:val="nil"/>
              <w:right w:val="nil"/>
            </w:tcBorders>
            <w:shd w:val="clear" w:color="000000" w:fill="9C9D9F"/>
            <w:noWrap/>
            <w:vAlign w:val="bottom"/>
            <w:hideMark/>
          </w:tcPr>
          <w:p w14:paraId="267E8E5D" w14:textId="23105B4B" w:rsidR="00E4317A" w:rsidRPr="00AC713D" w:rsidRDefault="00E4317A" w:rsidP="00E4317A">
            <w:pPr>
              <w:spacing w:before="0" w:beforeAutospacing="0" w:after="0" w:afterAutospacing="0"/>
              <w:ind w:firstLineChars="100" w:firstLine="200"/>
              <w:jc w:val="right"/>
              <w:rPr>
                <w:rFonts w:cs="Arial"/>
                <w:sz w:val="20"/>
                <w:szCs w:val="20"/>
              </w:rPr>
            </w:pPr>
            <w:r w:rsidRPr="00AC713D">
              <w:rPr>
                <w:rFonts w:cs="Arial"/>
                <w:sz w:val="20"/>
                <w:szCs w:val="20"/>
              </w:rPr>
              <w:t> </w:t>
            </w:r>
          </w:p>
        </w:tc>
        <w:tc>
          <w:tcPr>
            <w:tcW w:w="770" w:type="pct"/>
            <w:tcBorders>
              <w:top w:val="nil"/>
              <w:left w:val="nil"/>
              <w:bottom w:val="nil"/>
              <w:right w:val="nil"/>
            </w:tcBorders>
            <w:shd w:val="clear" w:color="000000" w:fill="9C9D9F"/>
            <w:vAlign w:val="center"/>
          </w:tcPr>
          <w:p w14:paraId="73769801" w14:textId="77777777" w:rsidR="00E4317A" w:rsidRPr="00AC713D" w:rsidRDefault="00E4317A" w:rsidP="00424B97">
            <w:pPr>
              <w:spacing w:before="0" w:beforeAutospacing="0" w:after="0" w:afterAutospacing="0"/>
              <w:ind w:firstLineChars="100" w:firstLine="200"/>
              <w:jc w:val="right"/>
              <w:rPr>
                <w:rFonts w:cs="Arial"/>
                <w:sz w:val="20"/>
                <w:szCs w:val="20"/>
              </w:rPr>
            </w:pPr>
          </w:p>
        </w:tc>
        <w:tc>
          <w:tcPr>
            <w:tcW w:w="769" w:type="pct"/>
            <w:tcBorders>
              <w:top w:val="nil"/>
              <w:left w:val="nil"/>
              <w:bottom w:val="nil"/>
              <w:right w:val="nil"/>
            </w:tcBorders>
            <w:shd w:val="clear" w:color="000000" w:fill="9C9D9F"/>
            <w:noWrap/>
            <w:vAlign w:val="bottom"/>
          </w:tcPr>
          <w:p w14:paraId="602846BF" w14:textId="33E15C1A" w:rsidR="00E4317A" w:rsidRPr="00AC713D" w:rsidRDefault="00E4317A" w:rsidP="00E4317A">
            <w:pPr>
              <w:spacing w:before="0" w:beforeAutospacing="0" w:after="0" w:afterAutospacing="0"/>
              <w:ind w:firstLineChars="100" w:firstLine="200"/>
              <w:jc w:val="right"/>
              <w:rPr>
                <w:rFonts w:cs="Arial"/>
                <w:sz w:val="20"/>
                <w:szCs w:val="20"/>
              </w:rPr>
            </w:pPr>
          </w:p>
        </w:tc>
      </w:tr>
      <w:tr w:rsidR="00907A78" w:rsidRPr="00AC713D" w14:paraId="43173731" w14:textId="77777777" w:rsidTr="002C4FFF">
        <w:trPr>
          <w:trHeight w:val="255"/>
        </w:trPr>
        <w:tc>
          <w:tcPr>
            <w:tcW w:w="2692" w:type="pct"/>
            <w:tcBorders>
              <w:top w:val="nil"/>
              <w:left w:val="nil"/>
              <w:bottom w:val="single" w:sz="4" w:space="0" w:color="9C9D9F"/>
              <w:right w:val="nil"/>
            </w:tcBorders>
            <w:shd w:val="clear" w:color="auto" w:fill="auto"/>
            <w:noWrap/>
            <w:vAlign w:val="bottom"/>
            <w:hideMark/>
          </w:tcPr>
          <w:p w14:paraId="192F6DCD" w14:textId="77777777" w:rsidR="00907A78" w:rsidRPr="00AC713D" w:rsidRDefault="00907A78" w:rsidP="00907A78">
            <w:pPr>
              <w:spacing w:before="0" w:beforeAutospacing="0" w:after="0" w:afterAutospacing="0"/>
              <w:jc w:val="left"/>
              <w:rPr>
                <w:rFonts w:cs="Arial"/>
                <w:sz w:val="20"/>
                <w:szCs w:val="20"/>
              </w:rPr>
            </w:pPr>
            <w:r w:rsidRPr="00AC713D">
              <w:rPr>
                <w:rFonts w:cs="Arial"/>
                <w:sz w:val="20"/>
                <w:szCs w:val="20"/>
              </w:rPr>
              <w:t>Závazky z obchodních vztahů a jiné závazky</w:t>
            </w:r>
          </w:p>
        </w:tc>
        <w:tc>
          <w:tcPr>
            <w:tcW w:w="769" w:type="pct"/>
            <w:tcBorders>
              <w:top w:val="nil"/>
              <w:left w:val="nil"/>
              <w:bottom w:val="single" w:sz="4" w:space="0" w:color="9C9D9F"/>
              <w:right w:val="nil"/>
            </w:tcBorders>
            <w:shd w:val="clear" w:color="auto" w:fill="auto"/>
            <w:noWrap/>
            <w:vAlign w:val="bottom"/>
            <w:hideMark/>
          </w:tcPr>
          <w:p w14:paraId="4B941668" w14:textId="059A332B" w:rsidR="00907A78" w:rsidRPr="00AC713D" w:rsidRDefault="00907A78" w:rsidP="00907A78">
            <w:pPr>
              <w:spacing w:before="0" w:beforeAutospacing="0" w:after="0" w:afterAutospacing="0"/>
              <w:ind w:firstLineChars="100" w:firstLine="200"/>
              <w:jc w:val="right"/>
              <w:rPr>
                <w:rFonts w:cs="Arial"/>
                <w:sz w:val="20"/>
                <w:szCs w:val="20"/>
              </w:rPr>
            </w:pPr>
            <w:r w:rsidRPr="00AC713D">
              <w:rPr>
                <w:rFonts w:cs="Arial"/>
                <w:sz w:val="20"/>
                <w:szCs w:val="20"/>
              </w:rPr>
              <w:t>486 914</w:t>
            </w:r>
          </w:p>
        </w:tc>
        <w:tc>
          <w:tcPr>
            <w:tcW w:w="770" w:type="pct"/>
            <w:tcBorders>
              <w:top w:val="nil"/>
              <w:left w:val="nil"/>
              <w:bottom w:val="single" w:sz="4" w:space="0" w:color="9C9D9F"/>
              <w:right w:val="nil"/>
            </w:tcBorders>
            <w:vAlign w:val="center"/>
          </w:tcPr>
          <w:p w14:paraId="7D8FD8B3" w14:textId="0320D27B" w:rsidR="00907A78" w:rsidRPr="00AC713D" w:rsidRDefault="00907A78" w:rsidP="00907A78">
            <w:pPr>
              <w:spacing w:before="0" w:beforeAutospacing="0" w:after="0" w:afterAutospacing="0"/>
              <w:ind w:firstLineChars="100" w:firstLine="200"/>
              <w:jc w:val="right"/>
              <w:rPr>
                <w:rFonts w:cs="Arial"/>
                <w:sz w:val="20"/>
                <w:szCs w:val="20"/>
              </w:rPr>
            </w:pPr>
            <w:r w:rsidRPr="00AC713D">
              <w:rPr>
                <w:rFonts w:cs="Arial"/>
                <w:sz w:val="20"/>
                <w:szCs w:val="20"/>
              </w:rPr>
              <w:t>582 943</w:t>
            </w:r>
          </w:p>
        </w:tc>
        <w:tc>
          <w:tcPr>
            <w:tcW w:w="769" w:type="pct"/>
            <w:tcBorders>
              <w:top w:val="nil"/>
              <w:left w:val="nil"/>
              <w:bottom w:val="single" w:sz="4" w:space="0" w:color="9C9D9F"/>
              <w:right w:val="nil"/>
            </w:tcBorders>
            <w:shd w:val="clear" w:color="auto" w:fill="auto"/>
            <w:noWrap/>
            <w:vAlign w:val="bottom"/>
          </w:tcPr>
          <w:p w14:paraId="0B2C71D2" w14:textId="507AE7EA" w:rsidR="00907A78" w:rsidRPr="00AC713D" w:rsidRDefault="00907A78" w:rsidP="00907A78">
            <w:pPr>
              <w:spacing w:before="0" w:beforeAutospacing="0" w:after="0" w:afterAutospacing="0"/>
              <w:ind w:firstLineChars="100" w:firstLine="200"/>
              <w:jc w:val="right"/>
              <w:rPr>
                <w:rFonts w:cs="Arial"/>
                <w:sz w:val="20"/>
                <w:szCs w:val="20"/>
              </w:rPr>
            </w:pPr>
            <w:r>
              <w:rPr>
                <w:rFonts w:cs="Arial"/>
                <w:sz w:val="20"/>
                <w:szCs w:val="20"/>
              </w:rPr>
              <w:t>832 828</w:t>
            </w:r>
          </w:p>
        </w:tc>
      </w:tr>
      <w:tr w:rsidR="00907A78" w:rsidRPr="00AC713D" w14:paraId="0D6ED7F8" w14:textId="77777777" w:rsidTr="002C4FFF">
        <w:trPr>
          <w:trHeight w:val="255"/>
        </w:trPr>
        <w:tc>
          <w:tcPr>
            <w:tcW w:w="2692" w:type="pct"/>
            <w:tcBorders>
              <w:top w:val="nil"/>
              <w:left w:val="nil"/>
              <w:bottom w:val="single" w:sz="4" w:space="0" w:color="9C9D9F"/>
              <w:right w:val="nil"/>
            </w:tcBorders>
            <w:shd w:val="clear" w:color="auto" w:fill="auto"/>
            <w:noWrap/>
            <w:vAlign w:val="bottom"/>
            <w:hideMark/>
          </w:tcPr>
          <w:p w14:paraId="6CAD2B97" w14:textId="77777777" w:rsidR="00907A78" w:rsidRPr="00AC713D" w:rsidRDefault="00907A78" w:rsidP="00907A78">
            <w:pPr>
              <w:spacing w:before="0" w:beforeAutospacing="0" w:after="0" w:afterAutospacing="0"/>
              <w:jc w:val="left"/>
              <w:rPr>
                <w:rFonts w:cs="Arial"/>
                <w:sz w:val="20"/>
                <w:szCs w:val="20"/>
              </w:rPr>
            </w:pPr>
            <w:r w:rsidRPr="00AC713D">
              <w:rPr>
                <w:rFonts w:cs="Arial"/>
                <w:sz w:val="20"/>
                <w:szCs w:val="20"/>
              </w:rPr>
              <w:t>Daňové závazky</w:t>
            </w:r>
          </w:p>
        </w:tc>
        <w:tc>
          <w:tcPr>
            <w:tcW w:w="769" w:type="pct"/>
            <w:tcBorders>
              <w:top w:val="nil"/>
              <w:left w:val="nil"/>
              <w:bottom w:val="single" w:sz="4" w:space="0" w:color="9C9D9F"/>
              <w:right w:val="nil"/>
            </w:tcBorders>
            <w:shd w:val="clear" w:color="auto" w:fill="auto"/>
            <w:noWrap/>
            <w:vAlign w:val="bottom"/>
            <w:hideMark/>
          </w:tcPr>
          <w:p w14:paraId="4A6E230F" w14:textId="147DFE46" w:rsidR="00907A78" w:rsidRPr="00AC713D" w:rsidRDefault="00907A78" w:rsidP="00907A78">
            <w:pPr>
              <w:spacing w:before="0" w:beforeAutospacing="0" w:after="0" w:afterAutospacing="0"/>
              <w:ind w:firstLineChars="100" w:firstLine="200"/>
              <w:jc w:val="right"/>
              <w:rPr>
                <w:rFonts w:cs="Arial"/>
                <w:sz w:val="20"/>
                <w:szCs w:val="20"/>
              </w:rPr>
            </w:pPr>
            <w:r w:rsidRPr="00AC713D">
              <w:rPr>
                <w:rFonts w:cs="Arial"/>
                <w:sz w:val="20"/>
                <w:szCs w:val="20"/>
              </w:rPr>
              <w:t>55 340</w:t>
            </w:r>
          </w:p>
        </w:tc>
        <w:tc>
          <w:tcPr>
            <w:tcW w:w="770" w:type="pct"/>
            <w:tcBorders>
              <w:top w:val="nil"/>
              <w:left w:val="nil"/>
              <w:bottom w:val="single" w:sz="4" w:space="0" w:color="9C9D9F"/>
              <w:right w:val="nil"/>
            </w:tcBorders>
            <w:vAlign w:val="center"/>
          </w:tcPr>
          <w:p w14:paraId="52170A74" w14:textId="76F38B4A" w:rsidR="00907A78" w:rsidRPr="00AC713D" w:rsidRDefault="00907A78" w:rsidP="00907A78">
            <w:pPr>
              <w:spacing w:before="0" w:beforeAutospacing="0" w:after="0" w:afterAutospacing="0"/>
              <w:ind w:firstLineChars="100" w:firstLine="200"/>
              <w:jc w:val="right"/>
              <w:rPr>
                <w:rFonts w:cs="Arial"/>
                <w:sz w:val="20"/>
                <w:szCs w:val="20"/>
              </w:rPr>
            </w:pPr>
            <w:r w:rsidRPr="00AC713D">
              <w:rPr>
                <w:rFonts w:cs="Arial"/>
                <w:sz w:val="20"/>
                <w:szCs w:val="20"/>
              </w:rPr>
              <w:t>11 395</w:t>
            </w:r>
          </w:p>
        </w:tc>
        <w:tc>
          <w:tcPr>
            <w:tcW w:w="769" w:type="pct"/>
            <w:tcBorders>
              <w:top w:val="nil"/>
              <w:left w:val="nil"/>
              <w:bottom w:val="single" w:sz="4" w:space="0" w:color="9C9D9F"/>
              <w:right w:val="nil"/>
            </w:tcBorders>
            <w:shd w:val="clear" w:color="auto" w:fill="auto"/>
            <w:noWrap/>
            <w:vAlign w:val="bottom"/>
          </w:tcPr>
          <w:p w14:paraId="7E43E32B" w14:textId="161FD374" w:rsidR="00907A78" w:rsidRPr="00AC713D" w:rsidRDefault="00907A78" w:rsidP="00907A78">
            <w:pPr>
              <w:spacing w:before="0" w:beforeAutospacing="0" w:after="0" w:afterAutospacing="0"/>
              <w:ind w:firstLineChars="100" w:firstLine="200"/>
              <w:jc w:val="right"/>
              <w:rPr>
                <w:rFonts w:cs="Arial"/>
                <w:sz w:val="20"/>
                <w:szCs w:val="20"/>
              </w:rPr>
            </w:pPr>
            <w:r>
              <w:rPr>
                <w:rFonts w:cs="Arial"/>
                <w:sz w:val="20"/>
                <w:szCs w:val="20"/>
              </w:rPr>
              <w:t>4 004</w:t>
            </w:r>
          </w:p>
        </w:tc>
      </w:tr>
      <w:tr w:rsidR="00907A78" w:rsidRPr="00AC713D" w14:paraId="36AE5E15" w14:textId="77777777" w:rsidTr="002C4FFF">
        <w:trPr>
          <w:trHeight w:val="255"/>
        </w:trPr>
        <w:tc>
          <w:tcPr>
            <w:tcW w:w="2692" w:type="pct"/>
            <w:tcBorders>
              <w:top w:val="nil"/>
              <w:left w:val="nil"/>
              <w:bottom w:val="single" w:sz="4" w:space="0" w:color="9C9D9F"/>
              <w:right w:val="nil"/>
            </w:tcBorders>
            <w:shd w:val="clear" w:color="auto" w:fill="auto"/>
            <w:noWrap/>
            <w:vAlign w:val="bottom"/>
            <w:hideMark/>
          </w:tcPr>
          <w:p w14:paraId="705FF592" w14:textId="77777777" w:rsidR="00907A78" w:rsidRPr="00AC713D" w:rsidRDefault="00907A78" w:rsidP="00907A78">
            <w:pPr>
              <w:spacing w:before="0" w:beforeAutospacing="0" w:after="0" w:afterAutospacing="0"/>
              <w:jc w:val="left"/>
              <w:rPr>
                <w:rFonts w:cs="Arial"/>
                <w:sz w:val="20"/>
                <w:szCs w:val="20"/>
              </w:rPr>
            </w:pPr>
            <w:r w:rsidRPr="00AC713D">
              <w:rPr>
                <w:rFonts w:cs="Arial"/>
                <w:sz w:val="20"/>
                <w:szCs w:val="20"/>
              </w:rPr>
              <w:t>Krátkodobá část bankovních úvěrů a dluhopisů</w:t>
            </w:r>
          </w:p>
        </w:tc>
        <w:tc>
          <w:tcPr>
            <w:tcW w:w="769" w:type="pct"/>
            <w:tcBorders>
              <w:top w:val="nil"/>
              <w:left w:val="nil"/>
              <w:bottom w:val="single" w:sz="4" w:space="0" w:color="9C9D9F"/>
              <w:right w:val="nil"/>
            </w:tcBorders>
            <w:shd w:val="clear" w:color="auto" w:fill="auto"/>
            <w:noWrap/>
            <w:vAlign w:val="bottom"/>
            <w:hideMark/>
          </w:tcPr>
          <w:p w14:paraId="2C5CCFE3" w14:textId="00EF36CD" w:rsidR="00907A78" w:rsidRPr="00AC713D" w:rsidRDefault="00907A78" w:rsidP="00907A78">
            <w:pPr>
              <w:spacing w:before="0" w:beforeAutospacing="0" w:after="0" w:afterAutospacing="0"/>
              <w:ind w:firstLineChars="100" w:firstLine="200"/>
              <w:jc w:val="right"/>
              <w:rPr>
                <w:rFonts w:cs="Arial"/>
                <w:sz w:val="20"/>
                <w:szCs w:val="20"/>
              </w:rPr>
            </w:pPr>
            <w:r w:rsidRPr="00AC713D">
              <w:rPr>
                <w:rFonts w:cs="Arial"/>
                <w:sz w:val="20"/>
                <w:szCs w:val="20"/>
              </w:rPr>
              <w:t>583 873</w:t>
            </w:r>
          </w:p>
        </w:tc>
        <w:tc>
          <w:tcPr>
            <w:tcW w:w="770" w:type="pct"/>
            <w:tcBorders>
              <w:top w:val="nil"/>
              <w:left w:val="nil"/>
              <w:bottom w:val="single" w:sz="4" w:space="0" w:color="9C9D9F"/>
              <w:right w:val="nil"/>
            </w:tcBorders>
            <w:vAlign w:val="center"/>
          </w:tcPr>
          <w:p w14:paraId="5F6E4C16" w14:textId="6FF92551" w:rsidR="00907A78" w:rsidRPr="00AC713D" w:rsidRDefault="00907A78" w:rsidP="00907A78">
            <w:pPr>
              <w:spacing w:before="0" w:beforeAutospacing="0" w:after="0" w:afterAutospacing="0"/>
              <w:ind w:firstLineChars="100" w:firstLine="200"/>
              <w:jc w:val="right"/>
              <w:rPr>
                <w:rFonts w:cs="Arial"/>
                <w:sz w:val="20"/>
                <w:szCs w:val="20"/>
              </w:rPr>
            </w:pPr>
            <w:r w:rsidRPr="00AC713D">
              <w:rPr>
                <w:rFonts w:cs="Arial"/>
                <w:sz w:val="20"/>
                <w:szCs w:val="20"/>
              </w:rPr>
              <w:t>1 152 544</w:t>
            </w:r>
          </w:p>
        </w:tc>
        <w:tc>
          <w:tcPr>
            <w:tcW w:w="769" w:type="pct"/>
            <w:tcBorders>
              <w:top w:val="nil"/>
              <w:left w:val="nil"/>
              <w:bottom w:val="single" w:sz="4" w:space="0" w:color="9C9D9F"/>
              <w:right w:val="nil"/>
            </w:tcBorders>
            <w:shd w:val="clear" w:color="auto" w:fill="auto"/>
            <w:noWrap/>
            <w:vAlign w:val="bottom"/>
          </w:tcPr>
          <w:p w14:paraId="7F9FF607" w14:textId="5DFFBBA4" w:rsidR="00907A78" w:rsidRPr="00AC713D" w:rsidRDefault="00907A78" w:rsidP="00907A78">
            <w:pPr>
              <w:spacing w:before="0" w:beforeAutospacing="0" w:after="0" w:afterAutospacing="0"/>
              <w:ind w:firstLineChars="100" w:firstLine="200"/>
              <w:jc w:val="right"/>
              <w:rPr>
                <w:rFonts w:cs="Arial"/>
                <w:sz w:val="20"/>
                <w:szCs w:val="20"/>
              </w:rPr>
            </w:pPr>
            <w:r>
              <w:rPr>
                <w:rFonts w:cs="Arial"/>
                <w:sz w:val="20"/>
                <w:szCs w:val="20"/>
              </w:rPr>
              <w:t>1 015 038</w:t>
            </w:r>
          </w:p>
        </w:tc>
      </w:tr>
      <w:tr w:rsidR="00907A78" w:rsidRPr="00AC713D" w14:paraId="3776C0AD" w14:textId="77777777" w:rsidTr="002C4FFF">
        <w:trPr>
          <w:trHeight w:val="255"/>
        </w:trPr>
        <w:tc>
          <w:tcPr>
            <w:tcW w:w="2692" w:type="pct"/>
            <w:tcBorders>
              <w:top w:val="nil"/>
              <w:left w:val="nil"/>
              <w:bottom w:val="single" w:sz="4" w:space="0" w:color="9C9D9F"/>
              <w:right w:val="nil"/>
            </w:tcBorders>
            <w:shd w:val="clear" w:color="auto" w:fill="auto"/>
            <w:noWrap/>
            <w:vAlign w:val="bottom"/>
            <w:hideMark/>
          </w:tcPr>
          <w:p w14:paraId="5A5C2910" w14:textId="77777777" w:rsidR="00907A78" w:rsidRPr="00AC713D" w:rsidRDefault="00907A78" w:rsidP="00907A78">
            <w:pPr>
              <w:spacing w:before="0" w:beforeAutospacing="0" w:after="0" w:afterAutospacing="0"/>
              <w:jc w:val="left"/>
              <w:rPr>
                <w:rFonts w:cs="Arial"/>
                <w:sz w:val="20"/>
                <w:szCs w:val="20"/>
              </w:rPr>
            </w:pPr>
            <w:r w:rsidRPr="00AC713D">
              <w:rPr>
                <w:rFonts w:cs="Arial"/>
                <w:sz w:val="20"/>
                <w:szCs w:val="20"/>
              </w:rPr>
              <w:t>Rezervy</w:t>
            </w:r>
          </w:p>
        </w:tc>
        <w:tc>
          <w:tcPr>
            <w:tcW w:w="769" w:type="pct"/>
            <w:tcBorders>
              <w:top w:val="nil"/>
              <w:left w:val="nil"/>
              <w:bottom w:val="single" w:sz="4" w:space="0" w:color="9C9D9F"/>
              <w:right w:val="nil"/>
            </w:tcBorders>
            <w:shd w:val="clear" w:color="auto" w:fill="auto"/>
            <w:noWrap/>
            <w:vAlign w:val="bottom"/>
            <w:hideMark/>
          </w:tcPr>
          <w:p w14:paraId="1CA0380F" w14:textId="0E8DE9AD" w:rsidR="00907A78" w:rsidRPr="00AC713D" w:rsidRDefault="00907A78" w:rsidP="00907A78">
            <w:pPr>
              <w:spacing w:before="0" w:beforeAutospacing="0" w:after="0" w:afterAutospacing="0"/>
              <w:ind w:firstLineChars="100" w:firstLine="200"/>
              <w:jc w:val="right"/>
              <w:rPr>
                <w:rFonts w:cs="Arial"/>
                <w:sz w:val="20"/>
                <w:szCs w:val="20"/>
              </w:rPr>
            </w:pPr>
            <w:r w:rsidRPr="00AC713D">
              <w:rPr>
                <w:rFonts w:cs="Arial"/>
                <w:sz w:val="20"/>
                <w:szCs w:val="20"/>
              </w:rPr>
              <w:t>4 253</w:t>
            </w:r>
          </w:p>
        </w:tc>
        <w:tc>
          <w:tcPr>
            <w:tcW w:w="770" w:type="pct"/>
            <w:tcBorders>
              <w:top w:val="nil"/>
              <w:left w:val="nil"/>
              <w:bottom w:val="single" w:sz="8" w:space="0" w:color="9C9D9F"/>
              <w:right w:val="nil"/>
            </w:tcBorders>
            <w:shd w:val="clear" w:color="auto" w:fill="auto"/>
            <w:vAlign w:val="center"/>
          </w:tcPr>
          <w:p w14:paraId="66772BF4" w14:textId="7FB11BF5" w:rsidR="00907A78" w:rsidRPr="00AC713D" w:rsidRDefault="00907A78" w:rsidP="002C4FFF">
            <w:pPr>
              <w:spacing w:before="0" w:beforeAutospacing="0" w:after="0" w:afterAutospacing="0"/>
              <w:ind w:firstLineChars="100" w:firstLine="200"/>
              <w:jc w:val="right"/>
              <w:rPr>
                <w:rFonts w:cs="Arial"/>
                <w:sz w:val="20"/>
                <w:szCs w:val="20"/>
              </w:rPr>
            </w:pPr>
            <w:r w:rsidRPr="002C4FFF">
              <w:rPr>
                <w:rFonts w:cs="Arial"/>
                <w:color w:val="000000"/>
                <w:sz w:val="20"/>
                <w:szCs w:val="20"/>
              </w:rPr>
              <w:t>3 510</w:t>
            </w:r>
          </w:p>
        </w:tc>
        <w:tc>
          <w:tcPr>
            <w:tcW w:w="769" w:type="pct"/>
            <w:tcBorders>
              <w:top w:val="nil"/>
              <w:left w:val="nil"/>
              <w:bottom w:val="single" w:sz="4" w:space="0" w:color="9C9D9F"/>
              <w:right w:val="nil"/>
            </w:tcBorders>
            <w:shd w:val="clear" w:color="auto" w:fill="auto"/>
            <w:noWrap/>
            <w:vAlign w:val="bottom"/>
          </w:tcPr>
          <w:p w14:paraId="49936AD8" w14:textId="36CE6CC1" w:rsidR="00907A78" w:rsidRPr="00AC713D" w:rsidRDefault="00907A78" w:rsidP="00907A78">
            <w:pPr>
              <w:spacing w:before="0" w:beforeAutospacing="0" w:after="0" w:afterAutospacing="0"/>
              <w:ind w:firstLineChars="100" w:firstLine="200"/>
              <w:jc w:val="right"/>
              <w:rPr>
                <w:rFonts w:cs="Arial"/>
                <w:sz w:val="20"/>
                <w:szCs w:val="20"/>
              </w:rPr>
            </w:pPr>
            <w:r>
              <w:rPr>
                <w:rFonts w:cs="Arial"/>
                <w:sz w:val="20"/>
                <w:szCs w:val="20"/>
              </w:rPr>
              <w:t>3 510</w:t>
            </w:r>
          </w:p>
        </w:tc>
      </w:tr>
      <w:tr w:rsidR="00907A78" w:rsidRPr="00AC713D" w14:paraId="39FFB48F" w14:textId="77777777" w:rsidTr="002C4FFF">
        <w:trPr>
          <w:trHeight w:val="255"/>
        </w:trPr>
        <w:tc>
          <w:tcPr>
            <w:tcW w:w="2692" w:type="pct"/>
            <w:tcBorders>
              <w:top w:val="nil"/>
              <w:left w:val="nil"/>
              <w:bottom w:val="single" w:sz="4" w:space="0" w:color="9C9D9F"/>
              <w:right w:val="nil"/>
            </w:tcBorders>
            <w:shd w:val="clear" w:color="auto" w:fill="auto"/>
            <w:noWrap/>
            <w:vAlign w:val="bottom"/>
            <w:hideMark/>
          </w:tcPr>
          <w:p w14:paraId="61CA8F60" w14:textId="77777777" w:rsidR="00907A78" w:rsidRPr="00AC713D" w:rsidRDefault="00907A78" w:rsidP="00907A78">
            <w:pPr>
              <w:spacing w:before="0" w:beforeAutospacing="0" w:after="0" w:afterAutospacing="0"/>
              <w:jc w:val="left"/>
              <w:rPr>
                <w:rFonts w:cs="Arial"/>
                <w:b/>
                <w:bCs/>
                <w:sz w:val="20"/>
                <w:szCs w:val="20"/>
              </w:rPr>
            </w:pPr>
            <w:r w:rsidRPr="00AC713D">
              <w:rPr>
                <w:rFonts w:cs="Arial"/>
                <w:b/>
                <w:bCs/>
                <w:sz w:val="20"/>
                <w:szCs w:val="20"/>
              </w:rPr>
              <w:t>Krátkodobé závazky celkem</w:t>
            </w:r>
          </w:p>
        </w:tc>
        <w:tc>
          <w:tcPr>
            <w:tcW w:w="769" w:type="pct"/>
            <w:tcBorders>
              <w:top w:val="nil"/>
              <w:left w:val="nil"/>
              <w:bottom w:val="single" w:sz="4" w:space="0" w:color="9C9D9F"/>
              <w:right w:val="nil"/>
            </w:tcBorders>
            <w:shd w:val="clear" w:color="auto" w:fill="auto"/>
            <w:noWrap/>
            <w:vAlign w:val="bottom"/>
            <w:hideMark/>
          </w:tcPr>
          <w:p w14:paraId="32EB509C" w14:textId="3D0D55EE" w:rsidR="00907A78" w:rsidRPr="00AC713D" w:rsidRDefault="00907A78" w:rsidP="00907A78">
            <w:pPr>
              <w:spacing w:before="0" w:beforeAutospacing="0" w:after="0" w:afterAutospacing="0"/>
              <w:ind w:firstLineChars="100" w:firstLine="201"/>
              <w:jc w:val="right"/>
              <w:rPr>
                <w:rFonts w:cs="Arial"/>
                <w:b/>
                <w:bCs/>
                <w:sz w:val="20"/>
                <w:szCs w:val="20"/>
              </w:rPr>
            </w:pPr>
            <w:r w:rsidRPr="00AC713D">
              <w:rPr>
                <w:rFonts w:cs="Arial"/>
                <w:b/>
                <w:bCs/>
                <w:sz w:val="20"/>
                <w:szCs w:val="20"/>
              </w:rPr>
              <w:t>1 130 380</w:t>
            </w:r>
          </w:p>
        </w:tc>
        <w:tc>
          <w:tcPr>
            <w:tcW w:w="770" w:type="pct"/>
            <w:tcBorders>
              <w:top w:val="nil"/>
              <w:left w:val="nil"/>
              <w:bottom w:val="single" w:sz="8" w:space="0" w:color="9C9D9F"/>
              <w:right w:val="nil"/>
            </w:tcBorders>
            <w:shd w:val="clear" w:color="auto" w:fill="auto"/>
            <w:vAlign w:val="center"/>
          </w:tcPr>
          <w:p w14:paraId="56B992DC" w14:textId="488A6FE1" w:rsidR="00907A78" w:rsidRPr="00AC713D" w:rsidRDefault="00907A78" w:rsidP="002C4FFF">
            <w:pPr>
              <w:spacing w:before="0" w:beforeAutospacing="0" w:after="0" w:afterAutospacing="0"/>
              <w:ind w:firstLineChars="100" w:firstLine="201"/>
              <w:jc w:val="right"/>
              <w:rPr>
                <w:rFonts w:cs="Arial"/>
                <w:b/>
                <w:bCs/>
                <w:sz w:val="20"/>
                <w:szCs w:val="20"/>
              </w:rPr>
            </w:pPr>
            <w:r w:rsidRPr="002C4FFF">
              <w:rPr>
                <w:rFonts w:cs="Arial"/>
                <w:b/>
                <w:bCs/>
                <w:color w:val="000000"/>
                <w:sz w:val="20"/>
                <w:szCs w:val="20"/>
              </w:rPr>
              <w:t>1 750 393</w:t>
            </w:r>
          </w:p>
        </w:tc>
        <w:tc>
          <w:tcPr>
            <w:tcW w:w="769" w:type="pct"/>
            <w:tcBorders>
              <w:top w:val="nil"/>
              <w:left w:val="nil"/>
              <w:bottom w:val="single" w:sz="4" w:space="0" w:color="9C9D9F"/>
              <w:right w:val="nil"/>
            </w:tcBorders>
            <w:shd w:val="clear" w:color="auto" w:fill="auto"/>
            <w:noWrap/>
            <w:vAlign w:val="bottom"/>
          </w:tcPr>
          <w:p w14:paraId="08803862" w14:textId="282EEA5A" w:rsidR="00907A78" w:rsidRPr="00AC713D" w:rsidRDefault="00907A78" w:rsidP="00907A78">
            <w:pPr>
              <w:spacing w:before="0" w:beforeAutospacing="0" w:after="0" w:afterAutospacing="0"/>
              <w:ind w:firstLineChars="100" w:firstLine="201"/>
              <w:jc w:val="right"/>
              <w:rPr>
                <w:rFonts w:cs="Arial"/>
                <w:b/>
                <w:bCs/>
                <w:sz w:val="20"/>
                <w:szCs w:val="20"/>
              </w:rPr>
            </w:pPr>
            <w:r>
              <w:rPr>
                <w:rFonts w:cs="Arial"/>
                <w:b/>
                <w:bCs/>
                <w:sz w:val="20"/>
                <w:szCs w:val="20"/>
              </w:rPr>
              <w:t>1 855 380</w:t>
            </w:r>
          </w:p>
        </w:tc>
      </w:tr>
      <w:tr w:rsidR="00907A78" w:rsidRPr="00AC713D" w14:paraId="6A37E4EC" w14:textId="77777777" w:rsidTr="002C4FFF">
        <w:trPr>
          <w:trHeight w:val="255"/>
        </w:trPr>
        <w:tc>
          <w:tcPr>
            <w:tcW w:w="2692" w:type="pct"/>
            <w:tcBorders>
              <w:top w:val="nil"/>
              <w:left w:val="nil"/>
              <w:bottom w:val="single" w:sz="4" w:space="0" w:color="9C9D9F"/>
              <w:right w:val="nil"/>
            </w:tcBorders>
            <w:shd w:val="clear" w:color="auto" w:fill="auto"/>
            <w:noWrap/>
            <w:vAlign w:val="bottom"/>
            <w:hideMark/>
          </w:tcPr>
          <w:p w14:paraId="21BEAB31" w14:textId="77777777" w:rsidR="00907A78" w:rsidRPr="00AC713D" w:rsidRDefault="00907A78" w:rsidP="00907A78">
            <w:pPr>
              <w:spacing w:before="0" w:beforeAutospacing="0" w:after="0" w:afterAutospacing="0"/>
              <w:jc w:val="left"/>
              <w:rPr>
                <w:rFonts w:cs="Arial"/>
                <w:b/>
                <w:bCs/>
                <w:sz w:val="20"/>
                <w:szCs w:val="20"/>
              </w:rPr>
            </w:pPr>
            <w:r w:rsidRPr="00AC713D">
              <w:rPr>
                <w:rFonts w:cs="Arial"/>
                <w:b/>
                <w:bCs/>
                <w:sz w:val="20"/>
                <w:szCs w:val="20"/>
              </w:rPr>
              <w:t>Cizí zdroje celkem</w:t>
            </w:r>
          </w:p>
        </w:tc>
        <w:tc>
          <w:tcPr>
            <w:tcW w:w="769" w:type="pct"/>
            <w:tcBorders>
              <w:top w:val="nil"/>
              <w:left w:val="nil"/>
              <w:bottom w:val="single" w:sz="4" w:space="0" w:color="9C9D9F"/>
              <w:right w:val="nil"/>
            </w:tcBorders>
            <w:shd w:val="clear" w:color="auto" w:fill="auto"/>
            <w:noWrap/>
            <w:vAlign w:val="bottom"/>
            <w:hideMark/>
          </w:tcPr>
          <w:p w14:paraId="2ABA3717" w14:textId="5F10A918" w:rsidR="00907A78" w:rsidRPr="00AC713D" w:rsidRDefault="00907A78" w:rsidP="00907A78">
            <w:pPr>
              <w:spacing w:before="0" w:beforeAutospacing="0" w:after="0" w:afterAutospacing="0"/>
              <w:ind w:firstLineChars="100" w:firstLine="201"/>
              <w:jc w:val="right"/>
              <w:rPr>
                <w:rFonts w:cs="Arial"/>
                <w:b/>
                <w:bCs/>
                <w:sz w:val="20"/>
                <w:szCs w:val="20"/>
              </w:rPr>
            </w:pPr>
            <w:r w:rsidRPr="00AC713D">
              <w:rPr>
                <w:rFonts w:cs="Arial"/>
                <w:b/>
                <w:bCs/>
                <w:sz w:val="20"/>
                <w:szCs w:val="20"/>
              </w:rPr>
              <w:t>5 339 947</w:t>
            </w:r>
          </w:p>
        </w:tc>
        <w:tc>
          <w:tcPr>
            <w:tcW w:w="770" w:type="pct"/>
            <w:tcBorders>
              <w:top w:val="nil"/>
              <w:left w:val="nil"/>
              <w:bottom w:val="single" w:sz="8" w:space="0" w:color="9C9D9F"/>
              <w:right w:val="nil"/>
            </w:tcBorders>
            <w:shd w:val="clear" w:color="auto" w:fill="auto"/>
            <w:vAlign w:val="center"/>
          </w:tcPr>
          <w:p w14:paraId="51ED4FFF" w14:textId="01F2D78B" w:rsidR="00907A78" w:rsidRPr="00AC713D" w:rsidRDefault="00907A78" w:rsidP="002C4FFF">
            <w:pPr>
              <w:spacing w:before="0" w:beforeAutospacing="0" w:after="0" w:afterAutospacing="0"/>
              <w:ind w:firstLineChars="100" w:firstLine="201"/>
              <w:jc w:val="right"/>
              <w:rPr>
                <w:rFonts w:cs="Arial"/>
                <w:b/>
                <w:bCs/>
                <w:sz w:val="20"/>
                <w:szCs w:val="20"/>
              </w:rPr>
            </w:pPr>
            <w:r w:rsidRPr="002C4FFF">
              <w:rPr>
                <w:rFonts w:cs="Arial"/>
                <w:b/>
                <w:bCs/>
                <w:color w:val="000000"/>
                <w:sz w:val="20"/>
                <w:szCs w:val="20"/>
              </w:rPr>
              <w:t>6 099 180</w:t>
            </w:r>
          </w:p>
        </w:tc>
        <w:tc>
          <w:tcPr>
            <w:tcW w:w="769" w:type="pct"/>
            <w:tcBorders>
              <w:top w:val="nil"/>
              <w:left w:val="nil"/>
              <w:bottom w:val="single" w:sz="4" w:space="0" w:color="9C9D9F"/>
              <w:right w:val="nil"/>
            </w:tcBorders>
            <w:shd w:val="clear" w:color="auto" w:fill="auto"/>
            <w:noWrap/>
            <w:vAlign w:val="bottom"/>
          </w:tcPr>
          <w:p w14:paraId="44E0415A" w14:textId="2AE1480D" w:rsidR="00907A78" w:rsidRPr="00AC713D" w:rsidRDefault="00907A78" w:rsidP="00907A78">
            <w:pPr>
              <w:spacing w:before="0" w:beforeAutospacing="0" w:after="0" w:afterAutospacing="0"/>
              <w:ind w:firstLineChars="100" w:firstLine="201"/>
              <w:jc w:val="right"/>
              <w:rPr>
                <w:rFonts w:cs="Arial"/>
                <w:b/>
                <w:bCs/>
                <w:sz w:val="20"/>
                <w:szCs w:val="20"/>
              </w:rPr>
            </w:pPr>
            <w:r>
              <w:rPr>
                <w:rFonts w:cs="Arial"/>
                <w:b/>
                <w:bCs/>
                <w:sz w:val="20"/>
                <w:szCs w:val="20"/>
              </w:rPr>
              <w:t>6 302 071</w:t>
            </w:r>
          </w:p>
        </w:tc>
      </w:tr>
      <w:tr w:rsidR="00907A78" w:rsidRPr="00AC713D" w14:paraId="5C1FF368" w14:textId="77777777" w:rsidTr="002C4FFF">
        <w:trPr>
          <w:trHeight w:val="300"/>
        </w:trPr>
        <w:tc>
          <w:tcPr>
            <w:tcW w:w="2692" w:type="pct"/>
            <w:tcBorders>
              <w:top w:val="nil"/>
              <w:left w:val="nil"/>
              <w:bottom w:val="single" w:sz="4" w:space="0" w:color="9C9D9F"/>
              <w:right w:val="nil"/>
            </w:tcBorders>
            <w:shd w:val="clear" w:color="auto" w:fill="auto"/>
            <w:noWrap/>
            <w:vAlign w:val="bottom"/>
            <w:hideMark/>
          </w:tcPr>
          <w:p w14:paraId="7D5619A8" w14:textId="77777777" w:rsidR="00907A78" w:rsidRPr="00AC713D" w:rsidRDefault="00907A78" w:rsidP="00907A78">
            <w:pPr>
              <w:spacing w:before="0" w:beforeAutospacing="0" w:after="0" w:afterAutospacing="0"/>
              <w:jc w:val="left"/>
              <w:rPr>
                <w:rFonts w:cs="Arial"/>
                <w:b/>
                <w:bCs/>
                <w:sz w:val="20"/>
                <w:szCs w:val="20"/>
              </w:rPr>
            </w:pPr>
            <w:r w:rsidRPr="00AC713D">
              <w:rPr>
                <w:rFonts w:cs="Arial"/>
                <w:b/>
                <w:bCs/>
                <w:sz w:val="20"/>
                <w:szCs w:val="20"/>
              </w:rPr>
              <w:t>Vlastní kapitál a cizí zdroje celkem</w:t>
            </w:r>
          </w:p>
        </w:tc>
        <w:tc>
          <w:tcPr>
            <w:tcW w:w="769" w:type="pct"/>
            <w:tcBorders>
              <w:top w:val="nil"/>
              <w:left w:val="nil"/>
              <w:bottom w:val="single" w:sz="4" w:space="0" w:color="9C9D9F"/>
              <w:right w:val="nil"/>
            </w:tcBorders>
            <w:shd w:val="clear" w:color="auto" w:fill="auto"/>
            <w:noWrap/>
            <w:vAlign w:val="bottom"/>
            <w:hideMark/>
          </w:tcPr>
          <w:p w14:paraId="6B233FC2" w14:textId="6C73717E" w:rsidR="00907A78" w:rsidRPr="00AC713D" w:rsidRDefault="00907A78" w:rsidP="00907A78">
            <w:pPr>
              <w:spacing w:before="0" w:beforeAutospacing="0" w:after="0" w:afterAutospacing="0"/>
              <w:ind w:firstLineChars="100" w:firstLine="201"/>
              <w:jc w:val="right"/>
              <w:rPr>
                <w:rFonts w:cs="Arial"/>
                <w:b/>
                <w:bCs/>
                <w:sz w:val="20"/>
                <w:szCs w:val="20"/>
              </w:rPr>
            </w:pPr>
            <w:r w:rsidRPr="00AC713D">
              <w:rPr>
                <w:rFonts w:cs="Arial"/>
                <w:b/>
                <w:bCs/>
                <w:sz w:val="20"/>
                <w:szCs w:val="20"/>
              </w:rPr>
              <w:t>10 547 599</w:t>
            </w:r>
          </w:p>
        </w:tc>
        <w:tc>
          <w:tcPr>
            <w:tcW w:w="770" w:type="pct"/>
            <w:tcBorders>
              <w:top w:val="nil"/>
              <w:left w:val="nil"/>
              <w:bottom w:val="single" w:sz="8" w:space="0" w:color="9C9D9F"/>
              <w:right w:val="nil"/>
            </w:tcBorders>
            <w:shd w:val="clear" w:color="auto" w:fill="auto"/>
            <w:vAlign w:val="center"/>
          </w:tcPr>
          <w:p w14:paraId="0B9A6F80" w14:textId="5C43A9F0" w:rsidR="00907A78" w:rsidRPr="00AC713D" w:rsidRDefault="00907A78" w:rsidP="002C4FFF">
            <w:pPr>
              <w:spacing w:before="0" w:beforeAutospacing="0" w:after="0" w:afterAutospacing="0"/>
              <w:ind w:firstLineChars="100" w:firstLine="201"/>
              <w:jc w:val="right"/>
              <w:rPr>
                <w:rFonts w:cs="Arial"/>
                <w:b/>
                <w:bCs/>
                <w:sz w:val="20"/>
                <w:szCs w:val="20"/>
              </w:rPr>
            </w:pPr>
            <w:r w:rsidRPr="002C4FFF">
              <w:rPr>
                <w:rFonts w:cs="Arial"/>
                <w:b/>
                <w:bCs/>
                <w:color w:val="000000"/>
                <w:sz w:val="20"/>
                <w:szCs w:val="20"/>
              </w:rPr>
              <w:t>11 585 281</w:t>
            </w:r>
          </w:p>
        </w:tc>
        <w:tc>
          <w:tcPr>
            <w:tcW w:w="769" w:type="pct"/>
            <w:tcBorders>
              <w:top w:val="nil"/>
              <w:left w:val="nil"/>
              <w:bottom w:val="single" w:sz="4" w:space="0" w:color="9C9D9F"/>
              <w:right w:val="nil"/>
            </w:tcBorders>
            <w:shd w:val="clear" w:color="auto" w:fill="auto"/>
            <w:noWrap/>
            <w:vAlign w:val="bottom"/>
          </w:tcPr>
          <w:p w14:paraId="4251EDE3" w14:textId="1F95EDE5" w:rsidR="00907A78" w:rsidRPr="00AC713D" w:rsidRDefault="00907A78" w:rsidP="00907A78">
            <w:pPr>
              <w:spacing w:before="0" w:beforeAutospacing="0" w:after="0" w:afterAutospacing="0"/>
              <w:ind w:firstLineChars="100" w:firstLine="201"/>
              <w:jc w:val="right"/>
              <w:rPr>
                <w:rFonts w:cs="Arial"/>
                <w:b/>
                <w:bCs/>
                <w:sz w:val="20"/>
                <w:szCs w:val="20"/>
              </w:rPr>
            </w:pPr>
            <w:r>
              <w:rPr>
                <w:rFonts w:cs="Arial"/>
                <w:b/>
                <w:bCs/>
                <w:sz w:val="20"/>
                <w:szCs w:val="20"/>
              </w:rPr>
              <w:t>11 793 642</w:t>
            </w:r>
          </w:p>
        </w:tc>
      </w:tr>
    </w:tbl>
    <w:p w14:paraId="56179EB9" w14:textId="2EF2CEC9" w:rsidR="00D40CA6" w:rsidRPr="00AC713D" w:rsidRDefault="00D40CA6">
      <w:pPr>
        <w:spacing w:before="0" w:beforeAutospacing="0" w:after="160" w:afterAutospacing="0" w:line="259" w:lineRule="auto"/>
        <w:jc w:val="left"/>
        <w:rPr>
          <w:rFonts w:cs="Arial"/>
          <w:b/>
          <w:bCs/>
          <w:kern w:val="32"/>
          <w:sz w:val="28"/>
          <w:szCs w:val="28"/>
        </w:rPr>
      </w:pPr>
      <w:r w:rsidRPr="00AC713D">
        <w:rPr>
          <w:rFonts w:cs="Arial"/>
        </w:rPr>
        <w:br w:type="page"/>
      </w:r>
    </w:p>
    <w:p w14:paraId="66B14AC9" w14:textId="4FD282AF" w:rsidR="000C292F" w:rsidRPr="00AC713D" w:rsidRDefault="000C292F" w:rsidP="000C292F">
      <w:pPr>
        <w:pStyle w:val="Nadpis2"/>
        <w:rPr>
          <w:rFonts w:cs="Arial"/>
        </w:rPr>
      </w:pPr>
      <w:bookmarkStart w:id="98" w:name="_Toc47644471"/>
      <w:r w:rsidRPr="00AC713D">
        <w:rPr>
          <w:rFonts w:cs="Arial"/>
        </w:rPr>
        <w:lastRenderedPageBreak/>
        <w:t>Konsolidovaný přehled o peněžních tocích ve zkrácené podobě</w:t>
      </w:r>
      <w:bookmarkEnd w:id="96"/>
      <w:bookmarkEnd w:id="97"/>
      <w:r w:rsidR="00BE7891" w:rsidRPr="00AC713D">
        <w:rPr>
          <w:rFonts w:cs="Arial"/>
        </w:rPr>
        <w:t xml:space="preserve"> za</w:t>
      </w:r>
      <w:r w:rsidR="00603330">
        <w:rPr>
          <w:rFonts w:cs="Arial"/>
        </w:rPr>
        <w:t> </w:t>
      </w:r>
      <w:r w:rsidR="00BE7891" w:rsidRPr="00AC713D">
        <w:rPr>
          <w:rFonts w:cs="Arial"/>
        </w:rPr>
        <w:t>období šesti měsíců</w:t>
      </w:r>
      <w:bookmarkEnd w:id="98"/>
    </w:p>
    <w:p w14:paraId="3A8EFF6D" w14:textId="77777777" w:rsidR="000C292F" w:rsidRPr="00AC713D" w:rsidRDefault="000C292F" w:rsidP="000C292F">
      <w:pPr>
        <w:rPr>
          <w:rFonts w:cs="Arial"/>
        </w:rPr>
      </w:pPr>
    </w:p>
    <w:tbl>
      <w:tblPr>
        <w:tblW w:w="5000" w:type="pct"/>
        <w:tblCellMar>
          <w:left w:w="70" w:type="dxa"/>
          <w:right w:w="70" w:type="dxa"/>
        </w:tblCellMar>
        <w:tblLook w:val="04A0" w:firstRow="1" w:lastRow="0" w:firstColumn="1" w:lastColumn="0" w:noHBand="0" w:noVBand="1"/>
      </w:tblPr>
      <w:tblGrid>
        <w:gridCol w:w="5580"/>
        <w:gridCol w:w="1747"/>
        <w:gridCol w:w="1745"/>
      </w:tblGrid>
      <w:tr w:rsidR="003810B6" w:rsidRPr="00AC713D" w14:paraId="3B1A448F" w14:textId="77777777" w:rsidTr="00E4317A">
        <w:trPr>
          <w:trHeight w:val="255"/>
        </w:trPr>
        <w:tc>
          <w:tcPr>
            <w:tcW w:w="3075" w:type="pct"/>
            <w:tcBorders>
              <w:top w:val="nil"/>
              <w:left w:val="nil"/>
              <w:bottom w:val="nil"/>
              <w:right w:val="nil"/>
            </w:tcBorders>
            <w:shd w:val="clear" w:color="000000" w:fill="2A7FC6"/>
            <w:noWrap/>
            <w:vAlign w:val="bottom"/>
            <w:hideMark/>
          </w:tcPr>
          <w:p w14:paraId="42D24B99" w14:textId="77777777" w:rsidR="003810B6" w:rsidRPr="00AC713D" w:rsidRDefault="003810B6" w:rsidP="003810B6">
            <w:pPr>
              <w:spacing w:before="0" w:beforeAutospacing="0" w:after="0" w:afterAutospacing="0"/>
              <w:jc w:val="left"/>
              <w:rPr>
                <w:rFonts w:cs="Arial"/>
                <w:b/>
                <w:bCs/>
                <w:color w:val="FFFFFF"/>
                <w:sz w:val="20"/>
                <w:szCs w:val="20"/>
              </w:rPr>
            </w:pPr>
            <w:r w:rsidRPr="00AC713D">
              <w:rPr>
                <w:rFonts w:cs="Arial"/>
                <w:b/>
                <w:bCs/>
                <w:color w:val="FFFFFF"/>
                <w:sz w:val="20"/>
                <w:szCs w:val="20"/>
              </w:rPr>
              <w:t>v tis. Kč</w:t>
            </w:r>
          </w:p>
        </w:tc>
        <w:tc>
          <w:tcPr>
            <w:tcW w:w="963" w:type="pct"/>
            <w:tcBorders>
              <w:top w:val="nil"/>
              <w:left w:val="nil"/>
              <w:bottom w:val="nil"/>
              <w:right w:val="nil"/>
            </w:tcBorders>
            <w:shd w:val="clear" w:color="000000" w:fill="2A7FC6"/>
            <w:noWrap/>
            <w:vAlign w:val="bottom"/>
            <w:hideMark/>
          </w:tcPr>
          <w:p w14:paraId="18AB01B4" w14:textId="1C9DE7D8" w:rsidR="003810B6" w:rsidRPr="00AC713D" w:rsidRDefault="00E4317A" w:rsidP="003810B6">
            <w:pPr>
              <w:spacing w:before="0" w:beforeAutospacing="0" w:after="0" w:afterAutospacing="0"/>
              <w:jc w:val="center"/>
              <w:rPr>
                <w:rFonts w:cs="Arial"/>
                <w:b/>
                <w:bCs/>
                <w:color w:val="FFFFFF"/>
                <w:sz w:val="20"/>
                <w:szCs w:val="20"/>
              </w:rPr>
            </w:pPr>
            <w:r w:rsidRPr="00AC713D">
              <w:rPr>
                <w:rFonts w:cs="Arial"/>
                <w:b/>
                <w:bCs/>
                <w:color w:val="FFFFFF"/>
                <w:sz w:val="20"/>
                <w:szCs w:val="20"/>
              </w:rPr>
              <w:t>2019</w:t>
            </w:r>
          </w:p>
        </w:tc>
        <w:tc>
          <w:tcPr>
            <w:tcW w:w="962" w:type="pct"/>
            <w:tcBorders>
              <w:top w:val="nil"/>
              <w:left w:val="nil"/>
              <w:bottom w:val="nil"/>
              <w:right w:val="nil"/>
            </w:tcBorders>
            <w:shd w:val="clear" w:color="000000" w:fill="2A7FC6"/>
            <w:noWrap/>
            <w:vAlign w:val="bottom"/>
            <w:hideMark/>
          </w:tcPr>
          <w:p w14:paraId="736D170D" w14:textId="2FADD346" w:rsidR="003810B6" w:rsidRPr="00AC713D" w:rsidRDefault="00E4317A" w:rsidP="003810B6">
            <w:pPr>
              <w:spacing w:before="0" w:beforeAutospacing="0" w:after="0" w:afterAutospacing="0"/>
              <w:jc w:val="center"/>
              <w:rPr>
                <w:rFonts w:cs="Arial"/>
                <w:b/>
                <w:bCs/>
                <w:color w:val="FFFFFF"/>
                <w:sz w:val="20"/>
                <w:szCs w:val="20"/>
              </w:rPr>
            </w:pPr>
            <w:r w:rsidRPr="00AC713D">
              <w:rPr>
                <w:rFonts w:cs="Arial"/>
                <w:b/>
                <w:bCs/>
                <w:color w:val="FFFFFF"/>
                <w:sz w:val="20"/>
                <w:szCs w:val="20"/>
              </w:rPr>
              <w:t>2020</w:t>
            </w:r>
          </w:p>
        </w:tc>
      </w:tr>
      <w:tr w:rsidR="003810B6" w:rsidRPr="00AC713D" w14:paraId="2C5D7F36" w14:textId="77777777" w:rsidTr="00E4317A">
        <w:trPr>
          <w:trHeight w:val="255"/>
        </w:trPr>
        <w:tc>
          <w:tcPr>
            <w:tcW w:w="3075" w:type="pct"/>
            <w:tcBorders>
              <w:top w:val="nil"/>
              <w:left w:val="nil"/>
              <w:bottom w:val="nil"/>
              <w:right w:val="nil"/>
            </w:tcBorders>
            <w:shd w:val="clear" w:color="000000" w:fill="2A7FC6"/>
            <w:noWrap/>
            <w:vAlign w:val="bottom"/>
            <w:hideMark/>
          </w:tcPr>
          <w:p w14:paraId="79C4FF15" w14:textId="77777777" w:rsidR="003810B6" w:rsidRPr="00AC713D" w:rsidRDefault="003810B6" w:rsidP="003810B6">
            <w:pPr>
              <w:spacing w:before="0" w:beforeAutospacing="0" w:after="0" w:afterAutospacing="0"/>
              <w:jc w:val="left"/>
              <w:rPr>
                <w:rFonts w:cs="Arial"/>
                <w:color w:val="FFFFFF"/>
                <w:sz w:val="20"/>
                <w:szCs w:val="20"/>
              </w:rPr>
            </w:pPr>
            <w:r w:rsidRPr="00AC713D">
              <w:rPr>
                <w:rFonts w:cs="Arial"/>
                <w:color w:val="FFFFFF"/>
                <w:sz w:val="20"/>
                <w:szCs w:val="20"/>
              </w:rPr>
              <w:t> </w:t>
            </w:r>
          </w:p>
        </w:tc>
        <w:tc>
          <w:tcPr>
            <w:tcW w:w="963" w:type="pct"/>
            <w:tcBorders>
              <w:top w:val="nil"/>
              <w:left w:val="nil"/>
              <w:bottom w:val="nil"/>
              <w:right w:val="nil"/>
            </w:tcBorders>
            <w:shd w:val="clear" w:color="000000" w:fill="2A7FC6"/>
            <w:noWrap/>
            <w:vAlign w:val="bottom"/>
            <w:hideMark/>
          </w:tcPr>
          <w:p w14:paraId="157AC05E" w14:textId="77777777" w:rsidR="003810B6" w:rsidRPr="00AC713D" w:rsidRDefault="003810B6" w:rsidP="003810B6">
            <w:pPr>
              <w:spacing w:before="0" w:beforeAutospacing="0" w:after="0" w:afterAutospacing="0"/>
              <w:jc w:val="center"/>
              <w:rPr>
                <w:rFonts w:cs="Arial"/>
                <w:color w:val="FFFFFF"/>
                <w:sz w:val="20"/>
                <w:szCs w:val="20"/>
              </w:rPr>
            </w:pPr>
            <w:r w:rsidRPr="00AC713D">
              <w:rPr>
                <w:rFonts w:cs="Arial"/>
                <w:color w:val="FFFFFF"/>
                <w:sz w:val="20"/>
                <w:szCs w:val="20"/>
              </w:rPr>
              <w:t>(neauditované)</w:t>
            </w:r>
          </w:p>
        </w:tc>
        <w:tc>
          <w:tcPr>
            <w:tcW w:w="962" w:type="pct"/>
            <w:tcBorders>
              <w:top w:val="nil"/>
              <w:left w:val="nil"/>
              <w:bottom w:val="nil"/>
              <w:right w:val="nil"/>
            </w:tcBorders>
            <w:shd w:val="clear" w:color="000000" w:fill="2A7FC6"/>
            <w:noWrap/>
            <w:vAlign w:val="bottom"/>
            <w:hideMark/>
          </w:tcPr>
          <w:p w14:paraId="213293D1" w14:textId="77777777" w:rsidR="003810B6" w:rsidRPr="00AC713D" w:rsidRDefault="003810B6" w:rsidP="003810B6">
            <w:pPr>
              <w:spacing w:before="0" w:beforeAutospacing="0" w:after="0" w:afterAutospacing="0"/>
              <w:jc w:val="center"/>
              <w:rPr>
                <w:rFonts w:cs="Arial"/>
                <w:color w:val="FFFFFF"/>
                <w:sz w:val="20"/>
                <w:szCs w:val="20"/>
              </w:rPr>
            </w:pPr>
            <w:r w:rsidRPr="00AC713D">
              <w:rPr>
                <w:rFonts w:cs="Arial"/>
                <w:color w:val="FFFFFF"/>
                <w:sz w:val="20"/>
                <w:szCs w:val="20"/>
              </w:rPr>
              <w:t>(neauditované)</w:t>
            </w:r>
          </w:p>
        </w:tc>
      </w:tr>
      <w:tr w:rsidR="003810B6" w:rsidRPr="00AC713D" w14:paraId="574A6968" w14:textId="77777777" w:rsidTr="00E4317A">
        <w:trPr>
          <w:trHeight w:val="135"/>
        </w:trPr>
        <w:tc>
          <w:tcPr>
            <w:tcW w:w="3075" w:type="pct"/>
            <w:tcBorders>
              <w:top w:val="nil"/>
              <w:left w:val="nil"/>
              <w:bottom w:val="nil"/>
              <w:right w:val="nil"/>
            </w:tcBorders>
            <w:shd w:val="clear" w:color="auto" w:fill="auto"/>
            <w:noWrap/>
            <w:vAlign w:val="bottom"/>
            <w:hideMark/>
          </w:tcPr>
          <w:p w14:paraId="19E5FCA2" w14:textId="77777777" w:rsidR="003810B6" w:rsidRPr="00AC713D" w:rsidRDefault="003810B6" w:rsidP="003810B6">
            <w:pPr>
              <w:spacing w:before="0" w:beforeAutospacing="0" w:after="0" w:afterAutospacing="0"/>
              <w:jc w:val="center"/>
              <w:rPr>
                <w:rFonts w:cs="Arial"/>
                <w:color w:val="FFFFFF"/>
                <w:sz w:val="20"/>
                <w:szCs w:val="20"/>
              </w:rPr>
            </w:pPr>
          </w:p>
        </w:tc>
        <w:tc>
          <w:tcPr>
            <w:tcW w:w="963" w:type="pct"/>
            <w:tcBorders>
              <w:top w:val="nil"/>
              <w:left w:val="nil"/>
              <w:bottom w:val="nil"/>
              <w:right w:val="nil"/>
            </w:tcBorders>
            <w:shd w:val="clear" w:color="auto" w:fill="auto"/>
            <w:noWrap/>
            <w:vAlign w:val="bottom"/>
            <w:hideMark/>
          </w:tcPr>
          <w:p w14:paraId="2719874E" w14:textId="77777777" w:rsidR="003810B6" w:rsidRPr="00AC713D" w:rsidRDefault="003810B6" w:rsidP="003810B6">
            <w:pPr>
              <w:spacing w:before="0" w:beforeAutospacing="0" w:after="0" w:afterAutospacing="0"/>
              <w:jc w:val="left"/>
              <w:rPr>
                <w:rFonts w:cs="Arial"/>
                <w:sz w:val="20"/>
                <w:szCs w:val="20"/>
              </w:rPr>
            </w:pPr>
          </w:p>
        </w:tc>
        <w:tc>
          <w:tcPr>
            <w:tcW w:w="962" w:type="pct"/>
            <w:tcBorders>
              <w:top w:val="nil"/>
              <w:left w:val="nil"/>
              <w:bottom w:val="nil"/>
              <w:right w:val="nil"/>
            </w:tcBorders>
            <w:shd w:val="clear" w:color="auto" w:fill="auto"/>
            <w:noWrap/>
            <w:vAlign w:val="bottom"/>
            <w:hideMark/>
          </w:tcPr>
          <w:p w14:paraId="19687482" w14:textId="77777777" w:rsidR="003810B6" w:rsidRPr="00AC713D" w:rsidRDefault="003810B6" w:rsidP="003810B6">
            <w:pPr>
              <w:spacing w:before="0" w:beforeAutospacing="0" w:after="0" w:afterAutospacing="0"/>
              <w:ind w:firstLineChars="100" w:firstLine="200"/>
              <w:jc w:val="right"/>
              <w:rPr>
                <w:rFonts w:cs="Arial"/>
                <w:sz w:val="20"/>
                <w:szCs w:val="20"/>
              </w:rPr>
            </w:pPr>
          </w:p>
        </w:tc>
      </w:tr>
      <w:tr w:rsidR="00907A78" w:rsidRPr="00AC713D" w14:paraId="34272888" w14:textId="77777777" w:rsidTr="00E4317A">
        <w:trPr>
          <w:trHeight w:val="255"/>
        </w:trPr>
        <w:tc>
          <w:tcPr>
            <w:tcW w:w="3075" w:type="pct"/>
            <w:tcBorders>
              <w:top w:val="nil"/>
              <w:left w:val="nil"/>
              <w:bottom w:val="single" w:sz="4" w:space="0" w:color="9C9D9F"/>
              <w:right w:val="nil"/>
            </w:tcBorders>
            <w:shd w:val="clear" w:color="auto" w:fill="auto"/>
            <w:vAlign w:val="bottom"/>
            <w:hideMark/>
          </w:tcPr>
          <w:p w14:paraId="5CBA8DE0" w14:textId="77777777" w:rsidR="00907A78" w:rsidRPr="00AC713D" w:rsidRDefault="00907A78" w:rsidP="00907A78">
            <w:pPr>
              <w:spacing w:before="0" w:beforeAutospacing="0" w:after="0" w:afterAutospacing="0"/>
              <w:jc w:val="left"/>
              <w:rPr>
                <w:rFonts w:cs="Arial"/>
                <w:b/>
                <w:bCs/>
                <w:sz w:val="20"/>
                <w:szCs w:val="20"/>
              </w:rPr>
            </w:pPr>
            <w:r w:rsidRPr="00AC713D">
              <w:rPr>
                <w:rFonts w:cs="Arial"/>
                <w:b/>
                <w:bCs/>
                <w:sz w:val="20"/>
                <w:szCs w:val="20"/>
              </w:rPr>
              <w:t>Zisk před zdaněním</w:t>
            </w:r>
          </w:p>
        </w:tc>
        <w:tc>
          <w:tcPr>
            <w:tcW w:w="963" w:type="pct"/>
            <w:tcBorders>
              <w:top w:val="nil"/>
              <w:left w:val="nil"/>
              <w:bottom w:val="single" w:sz="4" w:space="0" w:color="9C9D9F"/>
              <w:right w:val="nil"/>
            </w:tcBorders>
            <w:shd w:val="clear" w:color="auto" w:fill="auto"/>
            <w:noWrap/>
            <w:vAlign w:val="bottom"/>
            <w:hideMark/>
          </w:tcPr>
          <w:p w14:paraId="7BE1B512" w14:textId="45FF09A9" w:rsidR="00907A78" w:rsidRPr="00AC713D" w:rsidRDefault="00907A78" w:rsidP="00907A78">
            <w:pPr>
              <w:spacing w:before="0" w:beforeAutospacing="0" w:after="0" w:afterAutospacing="0"/>
              <w:ind w:firstLineChars="100" w:firstLine="201"/>
              <w:jc w:val="right"/>
              <w:rPr>
                <w:rFonts w:cs="Arial"/>
                <w:b/>
                <w:bCs/>
                <w:sz w:val="20"/>
                <w:szCs w:val="20"/>
              </w:rPr>
            </w:pPr>
            <w:r w:rsidRPr="00AC713D">
              <w:rPr>
                <w:rFonts w:cs="Arial"/>
                <w:b/>
                <w:bCs/>
                <w:sz w:val="20"/>
                <w:szCs w:val="20"/>
              </w:rPr>
              <w:t>320 347</w:t>
            </w:r>
          </w:p>
        </w:tc>
        <w:tc>
          <w:tcPr>
            <w:tcW w:w="962" w:type="pct"/>
            <w:tcBorders>
              <w:top w:val="nil"/>
              <w:left w:val="nil"/>
              <w:bottom w:val="single" w:sz="4" w:space="0" w:color="9C9D9F"/>
              <w:right w:val="nil"/>
            </w:tcBorders>
            <w:shd w:val="clear" w:color="auto" w:fill="auto"/>
            <w:noWrap/>
            <w:vAlign w:val="bottom"/>
          </w:tcPr>
          <w:p w14:paraId="1CEC668E" w14:textId="165BCF3B" w:rsidR="00907A78" w:rsidRPr="00AC713D" w:rsidRDefault="00907A78" w:rsidP="00907A78">
            <w:pPr>
              <w:spacing w:before="0" w:beforeAutospacing="0" w:after="0" w:afterAutospacing="0"/>
              <w:ind w:firstLineChars="100" w:firstLine="201"/>
              <w:jc w:val="right"/>
              <w:rPr>
                <w:rFonts w:cs="Arial"/>
                <w:b/>
                <w:bCs/>
                <w:sz w:val="20"/>
                <w:szCs w:val="20"/>
              </w:rPr>
            </w:pPr>
            <w:r>
              <w:rPr>
                <w:rFonts w:cs="Arial"/>
                <w:b/>
                <w:bCs/>
                <w:sz w:val="20"/>
                <w:szCs w:val="20"/>
              </w:rPr>
              <w:t>63 922</w:t>
            </w:r>
          </w:p>
        </w:tc>
      </w:tr>
      <w:tr w:rsidR="00907A78" w:rsidRPr="00AC713D" w14:paraId="72B97BBC" w14:textId="77777777" w:rsidTr="00E4317A">
        <w:trPr>
          <w:trHeight w:val="135"/>
        </w:trPr>
        <w:tc>
          <w:tcPr>
            <w:tcW w:w="3075" w:type="pct"/>
            <w:tcBorders>
              <w:top w:val="nil"/>
              <w:left w:val="nil"/>
              <w:bottom w:val="nil"/>
              <w:right w:val="nil"/>
            </w:tcBorders>
            <w:shd w:val="clear" w:color="auto" w:fill="auto"/>
            <w:vAlign w:val="bottom"/>
            <w:hideMark/>
          </w:tcPr>
          <w:p w14:paraId="5D4AC62A" w14:textId="77777777" w:rsidR="00907A78" w:rsidRPr="00AC713D" w:rsidRDefault="00907A78" w:rsidP="00907A78">
            <w:pPr>
              <w:spacing w:before="0" w:beforeAutospacing="0" w:after="0" w:afterAutospacing="0"/>
              <w:ind w:firstLineChars="100" w:firstLine="201"/>
              <w:jc w:val="right"/>
              <w:rPr>
                <w:rFonts w:cs="Arial"/>
                <w:b/>
                <w:bCs/>
                <w:sz w:val="20"/>
                <w:szCs w:val="20"/>
              </w:rPr>
            </w:pPr>
          </w:p>
        </w:tc>
        <w:tc>
          <w:tcPr>
            <w:tcW w:w="963" w:type="pct"/>
            <w:tcBorders>
              <w:top w:val="nil"/>
              <w:left w:val="nil"/>
              <w:bottom w:val="nil"/>
              <w:right w:val="nil"/>
            </w:tcBorders>
            <w:shd w:val="clear" w:color="auto" w:fill="auto"/>
            <w:noWrap/>
            <w:vAlign w:val="bottom"/>
            <w:hideMark/>
          </w:tcPr>
          <w:p w14:paraId="18A13484" w14:textId="77777777" w:rsidR="00907A78" w:rsidRPr="00AC713D" w:rsidRDefault="00907A78" w:rsidP="00907A78">
            <w:pPr>
              <w:spacing w:before="0" w:beforeAutospacing="0" w:after="0" w:afterAutospacing="0"/>
              <w:jc w:val="left"/>
              <w:rPr>
                <w:rFonts w:cs="Arial"/>
                <w:sz w:val="20"/>
                <w:szCs w:val="20"/>
              </w:rPr>
            </w:pPr>
          </w:p>
        </w:tc>
        <w:tc>
          <w:tcPr>
            <w:tcW w:w="962" w:type="pct"/>
            <w:tcBorders>
              <w:top w:val="nil"/>
              <w:left w:val="nil"/>
              <w:bottom w:val="nil"/>
              <w:right w:val="nil"/>
            </w:tcBorders>
            <w:shd w:val="clear" w:color="auto" w:fill="auto"/>
            <w:noWrap/>
            <w:vAlign w:val="bottom"/>
          </w:tcPr>
          <w:p w14:paraId="7B687E12" w14:textId="77777777" w:rsidR="00907A78" w:rsidRPr="00AC713D" w:rsidRDefault="00907A78" w:rsidP="00907A78">
            <w:pPr>
              <w:spacing w:before="0" w:beforeAutospacing="0" w:after="0" w:afterAutospacing="0"/>
              <w:ind w:firstLineChars="100" w:firstLine="200"/>
              <w:jc w:val="right"/>
              <w:rPr>
                <w:rFonts w:cs="Arial"/>
                <w:sz w:val="20"/>
                <w:szCs w:val="20"/>
              </w:rPr>
            </w:pPr>
          </w:p>
        </w:tc>
      </w:tr>
      <w:tr w:rsidR="00907A78" w:rsidRPr="00AC713D" w14:paraId="2AC8B4AB" w14:textId="77777777" w:rsidTr="00E4317A">
        <w:trPr>
          <w:trHeight w:val="255"/>
        </w:trPr>
        <w:tc>
          <w:tcPr>
            <w:tcW w:w="3075" w:type="pct"/>
            <w:tcBorders>
              <w:top w:val="nil"/>
              <w:left w:val="nil"/>
              <w:bottom w:val="nil"/>
              <w:right w:val="nil"/>
            </w:tcBorders>
            <w:shd w:val="clear" w:color="000000" w:fill="9C9D9F"/>
            <w:vAlign w:val="bottom"/>
            <w:hideMark/>
          </w:tcPr>
          <w:p w14:paraId="50CCDD99" w14:textId="77777777" w:rsidR="00907A78" w:rsidRPr="00AC713D" w:rsidRDefault="00907A78" w:rsidP="00907A78">
            <w:pPr>
              <w:spacing w:before="0" w:beforeAutospacing="0" w:after="0" w:afterAutospacing="0"/>
              <w:jc w:val="left"/>
              <w:rPr>
                <w:rFonts w:cs="Arial"/>
                <w:b/>
                <w:bCs/>
                <w:sz w:val="20"/>
                <w:szCs w:val="20"/>
              </w:rPr>
            </w:pPr>
            <w:r w:rsidRPr="00AC713D">
              <w:rPr>
                <w:rFonts w:cs="Arial"/>
                <w:b/>
                <w:bCs/>
                <w:sz w:val="20"/>
                <w:szCs w:val="20"/>
              </w:rPr>
              <w:t>Úpravy o:</w:t>
            </w:r>
          </w:p>
        </w:tc>
        <w:tc>
          <w:tcPr>
            <w:tcW w:w="963" w:type="pct"/>
            <w:tcBorders>
              <w:top w:val="nil"/>
              <w:left w:val="nil"/>
              <w:bottom w:val="nil"/>
              <w:right w:val="nil"/>
            </w:tcBorders>
            <w:shd w:val="clear" w:color="000000" w:fill="9C9D9F"/>
            <w:noWrap/>
            <w:vAlign w:val="bottom"/>
            <w:hideMark/>
          </w:tcPr>
          <w:p w14:paraId="5E5E0BA0" w14:textId="1926323B" w:rsidR="00907A78" w:rsidRPr="00AC713D" w:rsidRDefault="00907A78" w:rsidP="00907A78">
            <w:pPr>
              <w:spacing w:before="0" w:beforeAutospacing="0" w:after="0" w:afterAutospacing="0"/>
              <w:ind w:firstLineChars="100" w:firstLine="201"/>
              <w:jc w:val="right"/>
              <w:rPr>
                <w:rFonts w:cs="Arial"/>
                <w:b/>
                <w:bCs/>
                <w:sz w:val="20"/>
                <w:szCs w:val="20"/>
              </w:rPr>
            </w:pPr>
            <w:r w:rsidRPr="00AC713D">
              <w:rPr>
                <w:rFonts w:cs="Arial"/>
                <w:b/>
                <w:bCs/>
                <w:sz w:val="20"/>
                <w:szCs w:val="20"/>
              </w:rPr>
              <w:t> </w:t>
            </w:r>
          </w:p>
        </w:tc>
        <w:tc>
          <w:tcPr>
            <w:tcW w:w="962" w:type="pct"/>
            <w:tcBorders>
              <w:top w:val="nil"/>
              <w:left w:val="nil"/>
              <w:bottom w:val="nil"/>
              <w:right w:val="nil"/>
            </w:tcBorders>
            <w:shd w:val="clear" w:color="000000" w:fill="9C9D9F"/>
            <w:noWrap/>
            <w:vAlign w:val="bottom"/>
          </w:tcPr>
          <w:p w14:paraId="58F0D92F" w14:textId="5B29B930" w:rsidR="00907A78" w:rsidRPr="00AC713D" w:rsidRDefault="00907A78" w:rsidP="00907A78">
            <w:pPr>
              <w:spacing w:before="0" w:beforeAutospacing="0" w:after="0" w:afterAutospacing="0"/>
              <w:ind w:firstLineChars="100" w:firstLine="201"/>
              <w:jc w:val="right"/>
              <w:rPr>
                <w:rFonts w:cs="Arial"/>
                <w:b/>
                <w:bCs/>
                <w:sz w:val="20"/>
                <w:szCs w:val="20"/>
              </w:rPr>
            </w:pPr>
            <w:r>
              <w:rPr>
                <w:rFonts w:cs="Arial"/>
                <w:b/>
                <w:bCs/>
                <w:sz w:val="20"/>
                <w:szCs w:val="20"/>
              </w:rPr>
              <w:t> </w:t>
            </w:r>
          </w:p>
        </w:tc>
      </w:tr>
      <w:tr w:rsidR="00907A78" w:rsidRPr="00AC713D" w14:paraId="234938C8" w14:textId="77777777" w:rsidTr="00E4317A">
        <w:trPr>
          <w:trHeight w:val="255"/>
        </w:trPr>
        <w:tc>
          <w:tcPr>
            <w:tcW w:w="3075" w:type="pct"/>
            <w:tcBorders>
              <w:top w:val="nil"/>
              <w:left w:val="nil"/>
              <w:bottom w:val="single" w:sz="4" w:space="0" w:color="9C9D9F"/>
              <w:right w:val="nil"/>
            </w:tcBorders>
            <w:shd w:val="clear" w:color="auto" w:fill="auto"/>
            <w:vAlign w:val="bottom"/>
            <w:hideMark/>
          </w:tcPr>
          <w:p w14:paraId="70C7E0BB" w14:textId="77777777" w:rsidR="00907A78" w:rsidRPr="00AC713D" w:rsidRDefault="00907A78" w:rsidP="00907A78">
            <w:pPr>
              <w:spacing w:before="0" w:beforeAutospacing="0" w:after="0" w:afterAutospacing="0"/>
              <w:jc w:val="left"/>
              <w:rPr>
                <w:rFonts w:cs="Arial"/>
                <w:sz w:val="20"/>
                <w:szCs w:val="20"/>
              </w:rPr>
            </w:pPr>
            <w:r w:rsidRPr="00AC713D">
              <w:rPr>
                <w:rFonts w:cs="Arial"/>
                <w:sz w:val="20"/>
                <w:szCs w:val="20"/>
              </w:rPr>
              <w:t>Odpisy</w:t>
            </w:r>
          </w:p>
        </w:tc>
        <w:tc>
          <w:tcPr>
            <w:tcW w:w="963" w:type="pct"/>
            <w:tcBorders>
              <w:top w:val="nil"/>
              <w:left w:val="nil"/>
              <w:bottom w:val="single" w:sz="4" w:space="0" w:color="9C9D9F"/>
              <w:right w:val="nil"/>
            </w:tcBorders>
            <w:shd w:val="clear" w:color="auto" w:fill="auto"/>
            <w:noWrap/>
            <w:vAlign w:val="bottom"/>
            <w:hideMark/>
          </w:tcPr>
          <w:p w14:paraId="3F055341" w14:textId="643DE220" w:rsidR="00907A78" w:rsidRPr="00AC713D" w:rsidRDefault="00907A78" w:rsidP="00907A78">
            <w:pPr>
              <w:spacing w:before="0" w:beforeAutospacing="0" w:after="0" w:afterAutospacing="0"/>
              <w:ind w:firstLineChars="100" w:firstLine="200"/>
              <w:jc w:val="right"/>
              <w:rPr>
                <w:rFonts w:cs="Arial"/>
                <w:sz w:val="20"/>
                <w:szCs w:val="20"/>
              </w:rPr>
            </w:pPr>
            <w:r w:rsidRPr="00AC713D">
              <w:rPr>
                <w:rFonts w:cs="Arial"/>
                <w:sz w:val="20"/>
                <w:szCs w:val="20"/>
              </w:rPr>
              <w:t>252 576</w:t>
            </w:r>
          </w:p>
        </w:tc>
        <w:tc>
          <w:tcPr>
            <w:tcW w:w="962" w:type="pct"/>
            <w:tcBorders>
              <w:top w:val="nil"/>
              <w:left w:val="nil"/>
              <w:bottom w:val="single" w:sz="4" w:space="0" w:color="9C9D9F"/>
              <w:right w:val="nil"/>
            </w:tcBorders>
            <w:shd w:val="clear" w:color="auto" w:fill="auto"/>
            <w:noWrap/>
            <w:vAlign w:val="bottom"/>
          </w:tcPr>
          <w:p w14:paraId="4A57BF0D" w14:textId="6AB24D76" w:rsidR="00907A78" w:rsidRPr="00AC713D" w:rsidRDefault="00907A78" w:rsidP="00907A78">
            <w:pPr>
              <w:spacing w:before="0" w:beforeAutospacing="0" w:after="0" w:afterAutospacing="0"/>
              <w:ind w:firstLineChars="100" w:firstLine="200"/>
              <w:jc w:val="right"/>
              <w:rPr>
                <w:rFonts w:cs="Arial"/>
                <w:sz w:val="20"/>
                <w:szCs w:val="20"/>
              </w:rPr>
            </w:pPr>
            <w:r>
              <w:rPr>
                <w:rFonts w:cs="Arial"/>
                <w:sz w:val="20"/>
                <w:szCs w:val="20"/>
              </w:rPr>
              <w:t>292 250</w:t>
            </w:r>
          </w:p>
        </w:tc>
      </w:tr>
      <w:tr w:rsidR="00907A78" w:rsidRPr="00AC713D" w14:paraId="4A7E8DA5" w14:textId="77777777" w:rsidTr="00E4317A">
        <w:trPr>
          <w:trHeight w:val="255"/>
        </w:trPr>
        <w:tc>
          <w:tcPr>
            <w:tcW w:w="3075" w:type="pct"/>
            <w:tcBorders>
              <w:top w:val="nil"/>
              <w:left w:val="nil"/>
              <w:bottom w:val="single" w:sz="4" w:space="0" w:color="9C9D9F"/>
              <w:right w:val="nil"/>
            </w:tcBorders>
            <w:shd w:val="clear" w:color="auto" w:fill="auto"/>
            <w:vAlign w:val="bottom"/>
            <w:hideMark/>
          </w:tcPr>
          <w:p w14:paraId="4B140914" w14:textId="77777777" w:rsidR="00907A78" w:rsidRPr="00AC713D" w:rsidRDefault="00907A78" w:rsidP="00907A78">
            <w:pPr>
              <w:spacing w:before="0" w:beforeAutospacing="0" w:after="0" w:afterAutospacing="0"/>
              <w:jc w:val="left"/>
              <w:rPr>
                <w:rFonts w:cs="Arial"/>
                <w:sz w:val="20"/>
                <w:szCs w:val="20"/>
              </w:rPr>
            </w:pPr>
            <w:r w:rsidRPr="00AC713D">
              <w:rPr>
                <w:rFonts w:cs="Arial"/>
                <w:sz w:val="20"/>
                <w:szCs w:val="20"/>
              </w:rPr>
              <w:t>Kursové změny</w:t>
            </w:r>
          </w:p>
        </w:tc>
        <w:tc>
          <w:tcPr>
            <w:tcW w:w="963" w:type="pct"/>
            <w:tcBorders>
              <w:top w:val="nil"/>
              <w:left w:val="nil"/>
              <w:bottom w:val="single" w:sz="4" w:space="0" w:color="9C9D9F"/>
              <w:right w:val="nil"/>
            </w:tcBorders>
            <w:shd w:val="clear" w:color="auto" w:fill="auto"/>
            <w:noWrap/>
            <w:vAlign w:val="bottom"/>
            <w:hideMark/>
          </w:tcPr>
          <w:p w14:paraId="5AAD157D" w14:textId="144A6951" w:rsidR="00907A78" w:rsidRPr="00AC713D" w:rsidRDefault="00907A78" w:rsidP="00907A78">
            <w:pPr>
              <w:spacing w:before="0" w:beforeAutospacing="0" w:after="0" w:afterAutospacing="0"/>
              <w:ind w:firstLineChars="100" w:firstLine="200"/>
              <w:jc w:val="right"/>
              <w:rPr>
                <w:rFonts w:cs="Arial"/>
                <w:sz w:val="20"/>
                <w:szCs w:val="20"/>
              </w:rPr>
            </w:pPr>
            <w:r w:rsidRPr="00AC713D">
              <w:rPr>
                <w:rFonts w:cs="Arial"/>
                <w:sz w:val="20"/>
                <w:szCs w:val="20"/>
              </w:rPr>
              <w:t>-18 679</w:t>
            </w:r>
          </w:p>
        </w:tc>
        <w:tc>
          <w:tcPr>
            <w:tcW w:w="962" w:type="pct"/>
            <w:tcBorders>
              <w:top w:val="nil"/>
              <w:left w:val="nil"/>
              <w:bottom w:val="single" w:sz="4" w:space="0" w:color="9C9D9F"/>
              <w:right w:val="nil"/>
            </w:tcBorders>
            <w:shd w:val="clear" w:color="auto" w:fill="auto"/>
            <w:noWrap/>
            <w:vAlign w:val="bottom"/>
          </w:tcPr>
          <w:p w14:paraId="3D1E325A" w14:textId="49A6DF48" w:rsidR="00907A78" w:rsidRPr="00AC713D" w:rsidRDefault="00792CBF" w:rsidP="00907A78">
            <w:pPr>
              <w:spacing w:before="0" w:beforeAutospacing="0" w:after="0" w:afterAutospacing="0"/>
              <w:ind w:firstLineChars="100" w:firstLine="200"/>
              <w:jc w:val="right"/>
              <w:rPr>
                <w:rFonts w:cs="Arial"/>
                <w:sz w:val="20"/>
                <w:szCs w:val="20"/>
              </w:rPr>
            </w:pPr>
            <w:r>
              <w:rPr>
                <w:rFonts w:cs="Arial"/>
                <w:sz w:val="20"/>
                <w:szCs w:val="20"/>
              </w:rPr>
              <w:t>227 474</w:t>
            </w:r>
          </w:p>
        </w:tc>
      </w:tr>
      <w:tr w:rsidR="00907A78" w:rsidRPr="00AC713D" w14:paraId="0CE59720" w14:textId="77777777" w:rsidTr="00E4317A">
        <w:trPr>
          <w:trHeight w:val="255"/>
        </w:trPr>
        <w:tc>
          <w:tcPr>
            <w:tcW w:w="3075" w:type="pct"/>
            <w:tcBorders>
              <w:top w:val="nil"/>
              <w:left w:val="nil"/>
              <w:bottom w:val="single" w:sz="4" w:space="0" w:color="9C9D9F"/>
              <w:right w:val="nil"/>
            </w:tcBorders>
            <w:shd w:val="clear" w:color="auto" w:fill="auto"/>
            <w:vAlign w:val="bottom"/>
            <w:hideMark/>
          </w:tcPr>
          <w:p w14:paraId="740CE2CE" w14:textId="77777777" w:rsidR="00907A78" w:rsidRPr="00AC713D" w:rsidRDefault="00907A78" w:rsidP="00907A78">
            <w:pPr>
              <w:spacing w:before="0" w:beforeAutospacing="0" w:after="0" w:afterAutospacing="0"/>
              <w:jc w:val="left"/>
              <w:rPr>
                <w:rFonts w:cs="Arial"/>
                <w:sz w:val="20"/>
                <w:szCs w:val="20"/>
              </w:rPr>
            </w:pPr>
            <w:r w:rsidRPr="00AC713D">
              <w:rPr>
                <w:rFonts w:cs="Arial"/>
                <w:sz w:val="20"/>
                <w:szCs w:val="20"/>
              </w:rPr>
              <w:t>Úrokové náklady</w:t>
            </w:r>
          </w:p>
        </w:tc>
        <w:tc>
          <w:tcPr>
            <w:tcW w:w="963" w:type="pct"/>
            <w:tcBorders>
              <w:top w:val="nil"/>
              <w:left w:val="nil"/>
              <w:bottom w:val="single" w:sz="4" w:space="0" w:color="9C9D9F"/>
              <w:right w:val="nil"/>
            </w:tcBorders>
            <w:shd w:val="clear" w:color="auto" w:fill="auto"/>
            <w:noWrap/>
            <w:vAlign w:val="bottom"/>
            <w:hideMark/>
          </w:tcPr>
          <w:p w14:paraId="2D66004F" w14:textId="5771E405" w:rsidR="00907A78" w:rsidRPr="00AC713D" w:rsidRDefault="00907A78" w:rsidP="00907A78">
            <w:pPr>
              <w:spacing w:before="0" w:beforeAutospacing="0" w:after="0" w:afterAutospacing="0"/>
              <w:ind w:firstLineChars="100" w:firstLine="200"/>
              <w:jc w:val="right"/>
              <w:rPr>
                <w:rFonts w:cs="Arial"/>
                <w:sz w:val="20"/>
                <w:szCs w:val="20"/>
              </w:rPr>
            </w:pPr>
            <w:r w:rsidRPr="00AC713D">
              <w:rPr>
                <w:rFonts w:cs="Arial"/>
                <w:sz w:val="20"/>
                <w:szCs w:val="20"/>
              </w:rPr>
              <w:t>55 306</w:t>
            </w:r>
          </w:p>
        </w:tc>
        <w:tc>
          <w:tcPr>
            <w:tcW w:w="962" w:type="pct"/>
            <w:tcBorders>
              <w:top w:val="nil"/>
              <w:left w:val="nil"/>
              <w:bottom w:val="single" w:sz="4" w:space="0" w:color="9C9D9F"/>
              <w:right w:val="nil"/>
            </w:tcBorders>
            <w:shd w:val="clear" w:color="auto" w:fill="auto"/>
            <w:noWrap/>
            <w:vAlign w:val="bottom"/>
          </w:tcPr>
          <w:p w14:paraId="3D2699C3" w14:textId="5D9F3C60" w:rsidR="00907A78" w:rsidRPr="00AC713D" w:rsidRDefault="00907A78" w:rsidP="00907A78">
            <w:pPr>
              <w:spacing w:before="0" w:beforeAutospacing="0" w:after="0" w:afterAutospacing="0"/>
              <w:ind w:firstLineChars="100" w:firstLine="200"/>
              <w:jc w:val="right"/>
              <w:rPr>
                <w:rFonts w:cs="Arial"/>
                <w:sz w:val="20"/>
                <w:szCs w:val="20"/>
              </w:rPr>
            </w:pPr>
            <w:r>
              <w:rPr>
                <w:rFonts w:cs="Arial"/>
                <w:sz w:val="20"/>
                <w:szCs w:val="20"/>
              </w:rPr>
              <w:t>61 351</w:t>
            </w:r>
          </w:p>
        </w:tc>
      </w:tr>
      <w:tr w:rsidR="00907A78" w:rsidRPr="00AC713D" w14:paraId="1386116D" w14:textId="77777777" w:rsidTr="00E4317A">
        <w:trPr>
          <w:trHeight w:val="255"/>
        </w:trPr>
        <w:tc>
          <w:tcPr>
            <w:tcW w:w="3075" w:type="pct"/>
            <w:tcBorders>
              <w:top w:val="nil"/>
              <w:left w:val="nil"/>
              <w:bottom w:val="single" w:sz="4" w:space="0" w:color="9C9D9F"/>
              <w:right w:val="nil"/>
            </w:tcBorders>
            <w:shd w:val="clear" w:color="auto" w:fill="auto"/>
            <w:vAlign w:val="bottom"/>
            <w:hideMark/>
          </w:tcPr>
          <w:p w14:paraId="1B1836C5" w14:textId="77777777" w:rsidR="00907A78" w:rsidRPr="00AC713D" w:rsidRDefault="00907A78" w:rsidP="00907A78">
            <w:pPr>
              <w:spacing w:before="0" w:beforeAutospacing="0" w:after="0" w:afterAutospacing="0"/>
              <w:jc w:val="left"/>
              <w:rPr>
                <w:rFonts w:cs="Arial"/>
                <w:sz w:val="20"/>
                <w:szCs w:val="20"/>
              </w:rPr>
            </w:pPr>
            <w:r w:rsidRPr="00AC713D">
              <w:rPr>
                <w:rFonts w:cs="Arial"/>
                <w:sz w:val="20"/>
                <w:szCs w:val="20"/>
              </w:rPr>
              <w:t>Ostatní finanční výnosy/(náklady)</w:t>
            </w:r>
          </w:p>
        </w:tc>
        <w:tc>
          <w:tcPr>
            <w:tcW w:w="963" w:type="pct"/>
            <w:tcBorders>
              <w:top w:val="nil"/>
              <w:left w:val="nil"/>
              <w:bottom w:val="single" w:sz="4" w:space="0" w:color="9C9D9F"/>
              <w:right w:val="nil"/>
            </w:tcBorders>
            <w:shd w:val="clear" w:color="auto" w:fill="auto"/>
            <w:noWrap/>
            <w:vAlign w:val="bottom"/>
            <w:hideMark/>
          </w:tcPr>
          <w:p w14:paraId="0AF9E62E" w14:textId="05FBD3CB" w:rsidR="00907A78" w:rsidRPr="00AC713D" w:rsidRDefault="00907A78" w:rsidP="00907A78">
            <w:pPr>
              <w:spacing w:before="0" w:beforeAutospacing="0" w:after="0" w:afterAutospacing="0"/>
              <w:ind w:firstLineChars="100" w:firstLine="200"/>
              <w:jc w:val="right"/>
              <w:rPr>
                <w:rFonts w:cs="Arial"/>
                <w:sz w:val="20"/>
                <w:szCs w:val="20"/>
              </w:rPr>
            </w:pPr>
            <w:r w:rsidRPr="00AC713D">
              <w:rPr>
                <w:rFonts w:cs="Arial"/>
                <w:sz w:val="20"/>
                <w:szCs w:val="20"/>
              </w:rPr>
              <w:t>-10 155</w:t>
            </w:r>
          </w:p>
        </w:tc>
        <w:tc>
          <w:tcPr>
            <w:tcW w:w="962" w:type="pct"/>
            <w:tcBorders>
              <w:top w:val="nil"/>
              <w:left w:val="nil"/>
              <w:bottom w:val="single" w:sz="4" w:space="0" w:color="9C9D9F"/>
              <w:right w:val="nil"/>
            </w:tcBorders>
            <w:shd w:val="clear" w:color="auto" w:fill="auto"/>
            <w:noWrap/>
            <w:vAlign w:val="bottom"/>
          </w:tcPr>
          <w:p w14:paraId="3000388C" w14:textId="1B81B691" w:rsidR="00907A78" w:rsidRPr="00AC713D" w:rsidRDefault="00907A78" w:rsidP="00907A78">
            <w:pPr>
              <w:spacing w:before="0" w:beforeAutospacing="0" w:after="0" w:afterAutospacing="0"/>
              <w:ind w:firstLineChars="100" w:firstLine="200"/>
              <w:jc w:val="right"/>
              <w:rPr>
                <w:rFonts w:cs="Arial"/>
                <w:sz w:val="20"/>
                <w:szCs w:val="20"/>
              </w:rPr>
            </w:pPr>
            <w:r>
              <w:rPr>
                <w:rFonts w:cs="Arial"/>
                <w:sz w:val="20"/>
                <w:szCs w:val="20"/>
              </w:rPr>
              <w:t>-253</w:t>
            </w:r>
          </w:p>
        </w:tc>
      </w:tr>
      <w:tr w:rsidR="00792CBF" w:rsidRPr="00AC713D" w14:paraId="4FBEAD34" w14:textId="77777777" w:rsidTr="00E4317A">
        <w:trPr>
          <w:trHeight w:val="255"/>
        </w:trPr>
        <w:tc>
          <w:tcPr>
            <w:tcW w:w="3075" w:type="pct"/>
            <w:tcBorders>
              <w:top w:val="nil"/>
              <w:left w:val="nil"/>
              <w:bottom w:val="single" w:sz="4" w:space="0" w:color="9C9D9F"/>
              <w:right w:val="nil"/>
            </w:tcBorders>
            <w:shd w:val="clear" w:color="auto" w:fill="auto"/>
            <w:vAlign w:val="bottom"/>
          </w:tcPr>
          <w:p w14:paraId="49152195" w14:textId="6D7FC5BA" w:rsidR="00792CBF" w:rsidRPr="00AC713D" w:rsidRDefault="00792CBF" w:rsidP="00907A78">
            <w:pPr>
              <w:spacing w:before="0" w:beforeAutospacing="0" w:after="0" w:afterAutospacing="0"/>
              <w:jc w:val="left"/>
              <w:rPr>
                <w:rFonts w:cs="Arial"/>
                <w:sz w:val="20"/>
                <w:szCs w:val="20"/>
              </w:rPr>
            </w:pPr>
            <w:r>
              <w:rPr>
                <w:rFonts w:cs="Arial"/>
                <w:sz w:val="20"/>
                <w:szCs w:val="20"/>
              </w:rPr>
              <w:t>Ostatní nepeněžní operace</w:t>
            </w:r>
          </w:p>
        </w:tc>
        <w:tc>
          <w:tcPr>
            <w:tcW w:w="963" w:type="pct"/>
            <w:tcBorders>
              <w:top w:val="nil"/>
              <w:left w:val="nil"/>
              <w:bottom w:val="single" w:sz="4" w:space="0" w:color="9C9D9F"/>
              <w:right w:val="nil"/>
            </w:tcBorders>
            <w:shd w:val="clear" w:color="auto" w:fill="auto"/>
            <w:noWrap/>
            <w:vAlign w:val="bottom"/>
          </w:tcPr>
          <w:p w14:paraId="4AB63216" w14:textId="5D356D1D" w:rsidR="00792CBF" w:rsidRPr="00AC713D" w:rsidRDefault="00792CBF" w:rsidP="00907A78">
            <w:pPr>
              <w:spacing w:before="0" w:beforeAutospacing="0" w:after="0" w:afterAutospacing="0"/>
              <w:ind w:firstLineChars="100" w:firstLine="200"/>
              <w:jc w:val="right"/>
              <w:rPr>
                <w:rFonts w:cs="Arial"/>
                <w:sz w:val="20"/>
                <w:szCs w:val="20"/>
              </w:rPr>
            </w:pPr>
            <w:r>
              <w:rPr>
                <w:rFonts w:cs="Arial"/>
                <w:sz w:val="20"/>
                <w:szCs w:val="20"/>
              </w:rPr>
              <w:t>0</w:t>
            </w:r>
          </w:p>
        </w:tc>
        <w:tc>
          <w:tcPr>
            <w:tcW w:w="962" w:type="pct"/>
            <w:tcBorders>
              <w:top w:val="nil"/>
              <w:left w:val="nil"/>
              <w:bottom w:val="single" w:sz="4" w:space="0" w:color="9C9D9F"/>
              <w:right w:val="nil"/>
            </w:tcBorders>
            <w:shd w:val="clear" w:color="auto" w:fill="auto"/>
            <w:noWrap/>
            <w:vAlign w:val="bottom"/>
          </w:tcPr>
          <w:p w14:paraId="4AAC517B" w14:textId="7CAA8543" w:rsidR="00792CBF" w:rsidRDefault="00E239E6" w:rsidP="00907A78">
            <w:pPr>
              <w:spacing w:before="0" w:beforeAutospacing="0" w:after="0" w:afterAutospacing="0"/>
              <w:ind w:firstLineChars="100" w:firstLine="200"/>
              <w:jc w:val="right"/>
              <w:rPr>
                <w:rFonts w:cs="Arial"/>
                <w:sz w:val="20"/>
                <w:szCs w:val="20"/>
              </w:rPr>
            </w:pPr>
            <w:r>
              <w:rPr>
                <w:rFonts w:cs="Arial"/>
                <w:sz w:val="20"/>
                <w:szCs w:val="20"/>
              </w:rPr>
              <w:t>6 535</w:t>
            </w:r>
          </w:p>
        </w:tc>
      </w:tr>
      <w:tr w:rsidR="00907A78" w:rsidRPr="00AC713D" w14:paraId="58089785" w14:textId="77777777" w:rsidTr="00E4317A">
        <w:trPr>
          <w:trHeight w:val="135"/>
        </w:trPr>
        <w:tc>
          <w:tcPr>
            <w:tcW w:w="3075" w:type="pct"/>
            <w:tcBorders>
              <w:top w:val="nil"/>
              <w:left w:val="nil"/>
              <w:bottom w:val="nil"/>
              <w:right w:val="nil"/>
            </w:tcBorders>
            <w:shd w:val="clear" w:color="auto" w:fill="auto"/>
            <w:vAlign w:val="bottom"/>
            <w:hideMark/>
          </w:tcPr>
          <w:p w14:paraId="19574FC7" w14:textId="77777777" w:rsidR="00907A78" w:rsidRPr="00AC713D" w:rsidRDefault="00907A78" w:rsidP="00907A78">
            <w:pPr>
              <w:spacing w:before="0" w:beforeAutospacing="0" w:after="0" w:afterAutospacing="0"/>
              <w:ind w:firstLineChars="100" w:firstLine="200"/>
              <w:jc w:val="right"/>
              <w:rPr>
                <w:rFonts w:cs="Arial"/>
                <w:sz w:val="20"/>
                <w:szCs w:val="20"/>
              </w:rPr>
            </w:pPr>
          </w:p>
        </w:tc>
        <w:tc>
          <w:tcPr>
            <w:tcW w:w="963" w:type="pct"/>
            <w:tcBorders>
              <w:top w:val="nil"/>
              <w:left w:val="nil"/>
              <w:bottom w:val="nil"/>
              <w:right w:val="nil"/>
            </w:tcBorders>
            <w:shd w:val="clear" w:color="auto" w:fill="auto"/>
            <w:noWrap/>
            <w:vAlign w:val="bottom"/>
            <w:hideMark/>
          </w:tcPr>
          <w:p w14:paraId="459C3C37" w14:textId="77777777" w:rsidR="00907A78" w:rsidRPr="00AC713D" w:rsidRDefault="00907A78" w:rsidP="00907A78">
            <w:pPr>
              <w:spacing w:before="0" w:beforeAutospacing="0" w:after="0" w:afterAutospacing="0"/>
              <w:jc w:val="left"/>
              <w:rPr>
                <w:rFonts w:cs="Arial"/>
                <w:sz w:val="20"/>
                <w:szCs w:val="20"/>
              </w:rPr>
            </w:pPr>
          </w:p>
        </w:tc>
        <w:tc>
          <w:tcPr>
            <w:tcW w:w="962" w:type="pct"/>
            <w:tcBorders>
              <w:top w:val="nil"/>
              <w:left w:val="nil"/>
              <w:bottom w:val="nil"/>
              <w:right w:val="nil"/>
            </w:tcBorders>
            <w:shd w:val="clear" w:color="auto" w:fill="auto"/>
            <w:noWrap/>
            <w:vAlign w:val="bottom"/>
          </w:tcPr>
          <w:p w14:paraId="15BEE94B" w14:textId="77777777" w:rsidR="00907A78" w:rsidRPr="00AC713D" w:rsidRDefault="00907A78" w:rsidP="00907A78">
            <w:pPr>
              <w:spacing w:before="0" w:beforeAutospacing="0" w:after="0" w:afterAutospacing="0"/>
              <w:ind w:firstLineChars="100" w:firstLine="200"/>
              <w:jc w:val="right"/>
              <w:rPr>
                <w:rFonts w:cs="Arial"/>
                <w:sz w:val="20"/>
                <w:szCs w:val="20"/>
              </w:rPr>
            </w:pPr>
          </w:p>
        </w:tc>
      </w:tr>
      <w:tr w:rsidR="00907A78" w:rsidRPr="00AC713D" w14:paraId="7E482A96" w14:textId="77777777" w:rsidTr="00E4317A">
        <w:trPr>
          <w:trHeight w:val="255"/>
        </w:trPr>
        <w:tc>
          <w:tcPr>
            <w:tcW w:w="3075" w:type="pct"/>
            <w:tcBorders>
              <w:top w:val="nil"/>
              <w:left w:val="nil"/>
              <w:bottom w:val="nil"/>
              <w:right w:val="nil"/>
            </w:tcBorders>
            <w:shd w:val="clear" w:color="000000" w:fill="9C9D9F"/>
            <w:vAlign w:val="bottom"/>
            <w:hideMark/>
          </w:tcPr>
          <w:p w14:paraId="5CA9A8C6" w14:textId="77777777" w:rsidR="00907A78" w:rsidRPr="00AC713D" w:rsidRDefault="00907A78" w:rsidP="00907A78">
            <w:pPr>
              <w:spacing w:before="0" w:beforeAutospacing="0" w:after="0" w:afterAutospacing="0"/>
              <w:jc w:val="left"/>
              <w:rPr>
                <w:rFonts w:cs="Arial"/>
                <w:b/>
                <w:bCs/>
                <w:sz w:val="20"/>
                <w:szCs w:val="20"/>
              </w:rPr>
            </w:pPr>
            <w:r w:rsidRPr="00AC713D">
              <w:rPr>
                <w:rFonts w:cs="Arial"/>
                <w:b/>
                <w:bCs/>
                <w:sz w:val="20"/>
                <w:szCs w:val="20"/>
              </w:rPr>
              <w:t>Peněžní toky z provozní činnosti</w:t>
            </w:r>
          </w:p>
        </w:tc>
        <w:tc>
          <w:tcPr>
            <w:tcW w:w="963" w:type="pct"/>
            <w:tcBorders>
              <w:top w:val="nil"/>
              <w:left w:val="nil"/>
              <w:bottom w:val="nil"/>
              <w:right w:val="nil"/>
            </w:tcBorders>
            <w:shd w:val="clear" w:color="000000" w:fill="9C9D9F"/>
            <w:noWrap/>
            <w:vAlign w:val="bottom"/>
            <w:hideMark/>
          </w:tcPr>
          <w:p w14:paraId="73BC9D80" w14:textId="6B9CC195" w:rsidR="00907A78" w:rsidRPr="00AC713D" w:rsidRDefault="00907A78" w:rsidP="00907A78">
            <w:pPr>
              <w:spacing w:before="0" w:beforeAutospacing="0" w:after="0" w:afterAutospacing="0"/>
              <w:ind w:firstLineChars="100" w:firstLine="201"/>
              <w:jc w:val="right"/>
              <w:rPr>
                <w:rFonts w:cs="Arial"/>
                <w:b/>
                <w:bCs/>
                <w:sz w:val="20"/>
                <w:szCs w:val="20"/>
              </w:rPr>
            </w:pPr>
            <w:r w:rsidRPr="00AC713D">
              <w:rPr>
                <w:rFonts w:cs="Arial"/>
                <w:b/>
                <w:bCs/>
                <w:sz w:val="20"/>
                <w:szCs w:val="20"/>
              </w:rPr>
              <w:t> </w:t>
            </w:r>
          </w:p>
        </w:tc>
        <w:tc>
          <w:tcPr>
            <w:tcW w:w="962" w:type="pct"/>
            <w:tcBorders>
              <w:top w:val="nil"/>
              <w:left w:val="nil"/>
              <w:bottom w:val="nil"/>
              <w:right w:val="nil"/>
            </w:tcBorders>
            <w:shd w:val="clear" w:color="000000" w:fill="9C9D9F"/>
            <w:noWrap/>
            <w:vAlign w:val="bottom"/>
          </w:tcPr>
          <w:p w14:paraId="25F33515" w14:textId="09259A46" w:rsidR="00907A78" w:rsidRPr="00AC713D" w:rsidRDefault="00907A78" w:rsidP="00907A78">
            <w:pPr>
              <w:spacing w:before="0" w:beforeAutospacing="0" w:after="0" w:afterAutospacing="0"/>
              <w:ind w:firstLineChars="100" w:firstLine="201"/>
              <w:jc w:val="right"/>
              <w:rPr>
                <w:rFonts w:cs="Arial"/>
                <w:b/>
                <w:bCs/>
                <w:sz w:val="20"/>
                <w:szCs w:val="20"/>
              </w:rPr>
            </w:pPr>
            <w:r>
              <w:rPr>
                <w:rFonts w:cs="Arial"/>
                <w:b/>
                <w:bCs/>
                <w:sz w:val="20"/>
                <w:szCs w:val="20"/>
              </w:rPr>
              <w:t> </w:t>
            </w:r>
          </w:p>
        </w:tc>
      </w:tr>
      <w:tr w:rsidR="00907A78" w:rsidRPr="00AC713D" w14:paraId="235864DA" w14:textId="77777777" w:rsidTr="00E4317A">
        <w:trPr>
          <w:trHeight w:val="255"/>
        </w:trPr>
        <w:tc>
          <w:tcPr>
            <w:tcW w:w="3075" w:type="pct"/>
            <w:tcBorders>
              <w:top w:val="nil"/>
              <w:left w:val="nil"/>
              <w:bottom w:val="single" w:sz="4" w:space="0" w:color="9C9D9F"/>
              <w:right w:val="nil"/>
            </w:tcBorders>
            <w:shd w:val="clear" w:color="auto" w:fill="auto"/>
            <w:vAlign w:val="bottom"/>
            <w:hideMark/>
          </w:tcPr>
          <w:p w14:paraId="3196B308" w14:textId="77777777" w:rsidR="00907A78" w:rsidRPr="00AC713D" w:rsidRDefault="00907A78" w:rsidP="00907A78">
            <w:pPr>
              <w:spacing w:before="0" w:beforeAutospacing="0" w:after="0" w:afterAutospacing="0"/>
              <w:jc w:val="left"/>
              <w:rPr>
                <w:rFonts w:cs="Arial"/>
                <w:sz w:val="20"/>
                <w:szCs w:val="20"/>
              </w:rPr>
            </w:pPr>
            <w:r w:rsidRPr="00AC713D">
              <w:rPr>
                <w:rFonts w:cs="Arial"/>
                <w:sz w:val="20"/>
                <w:szCs w:val="20"/>
              </w:rPr>
              <w:t>Pokles/(růst) stavu zásob</w:t>
            </w:r>
          </w:p>
        </w:tc>
        <w:tc>
          <w:tcPr>
            <w:tcW w:w="963" w:type="pct"/>
            <w:tcBorders>
              <w:top w:val="nil"/>
              <w:left w:val="nil"/>
              <w:bottom w:val="single" w:sz="4" w:space="0" w:color="9C9D9F"/>
              <w:right w:val="nil"/>
            </w:tcBorders>
            <w:shd w:val="clear" w:color="auto" w:fill="auto"/>
            <w:noWrap/>
            <w:vAlign w:val="bottom"/>
            <w:hideMark/>
          </w:tcPr>
          <w:p w14:paraId="7D5EFB2A" w14:textId="6B25F093" w:rsidR="00907A78" w:rsidRPr="00AC713D" w:rsidRDefault="00907A78" w:rsidP="00907A78">
            <w:pPr>
              <w:spacing w:before="0" w:beforeAutospacing="0" w:after="0" w:afterAutospacing="0"/>
              <w:ind w:firstLineChars="100" w:firstLine="200"/>
              <w:jc w:val="right"/>
              <w:rPr>
                <w:rFonts w:cs="Arial"/>
                <w:sz w:val="20"/>
                <w:szCs w:val="20"/>
              </w:rPr>
            </w:pPr>
            <w:r w:rsidRPr="00AC713D">
              <w:rPr>
                <w:rFonts w:cs="Arial"/>
                <w:sz w:val="20"/>
                <w:szCs w:val="20"/>
              </w:rPr>
              <w:t>-127 111</w:t>
            </w:r>
          </w:p>
        </w:tc>
        <w:tc>
          <w:tcPr>
            <w:tcW w:w="962" w:type="pct"/>
            <w:tcBorders>
              <w:top w:val="nil"/>
              <w:left w:val="nil"/>
              <w:bottom w:val="single" w:sz="4" w:space="0" w:color="9C9D9F"/>
              <w:right w:val="nil"/>
            </w:tcBorders>
            <w:shd w:val="clear" w:color="auto" w:fill="auto"/>
            <w:noWrap/>
            <w:vAlign w:val="bottom"/>
          </w:tcPr>
          <w:p w14:paraId="3FD6827A" w14:textId="029C1A5E" w:rsidR="00907A78" w:rsidRPr="00AC713D" w:rsidRDefault="00907A78" w:rsidP="00907A78">
            <w:pPr>
              <w:spacing w:before="0" w:beforeAutospacing="0" w:after="0" w:afterAutospacing="0"/>
              <w:ind w:firstLineChars="100" w:firstLine="200"/>
              <w:jc w:val="right"/>
              <w:rPr>
                <w:rFonts w:cs="Arial"/>
                <w:sz w:val="20"/>
                <w:szCs w:val="20"/>
              </w:rPr>
            </w:pPr>
            <w:r>
              <w:rPr>
                <w:rFonts w:cs="Arial"/>
                <w:sz w:val="20"/>
                <w:szCs w:val="20"/>
              </w:rPr>
              <w:t>-73 924</w:t>
            </w:r>
          </w:p>
        </w:tc>
      </w:tr>
      <w:tr w:rsidR="00907A78" w:rsidRPr="00AC713D" w14:paraId="7B0DA1F8" w14:textId="77777777" w:rsidTr="00E4317A">
        <w:trPr>
          <w:trHeight w:val="255"/>
        </w:trPr>
        <w:tc>
          <w:tcPr>
            <w:tcW w:w="3075" w:type="pct"/>
            <w:tcBorders>
              <w:top w:val="nil"/>
              <w:left w:val="nil"/>
              <w:bottom w:val="single" w:sz="4" w:space="0" w:color="9C9D9F"/>
              <w:right w:val="nil"/>
            </w:tcBorders>
            <w:shd w:val="clear" w:color="auto" w:fill="auto"/>
            <w:vAlign w:val="bottom"/>
            <w:hideMark/>
          </w:tcPr>
          <w:p w14:paraId="1121D391" w14:textId="77777777" w:rsidR="00907A78" w:rsidRPr="00AC713D" w:rsidRDefault="00907A78" w:rsidP="00907A78">
            <w:pPr>
              <w:spacing w:before="0" w:beforeAutospacing="0" w:after="0" w:afterAutospacing="0"/>
              <w:jc w:val="left"/>
              <w:rPr>
                <w:rFonts w:cs="Arial"/>
                <w:sz w:val="20"/>
                <w:szCs w:val="20"/>
              </w:rPr>
            </w:pPr>
            <w:r w:rsidRPr="00AC713D">
              <w:rPr>
                <w:rFonts w:cs="Arial"/>
                <w:sz w:val="20"/>
                <w:szCs w:val="20"/>
              </w:rPr>
              <w:t>Pokles/(růst) pohledávek</w:t>
            </w:r>
          </w:p>
        </w:tc>
        <w:tc>
          <w:tcPr>
            <w:tcW w:w="963" w:type="pct"/>
            <w:tcBorders>
              <w:top w:val="nil"/>
              <w:left w:val="nil"/>
              <w:bottom w:val="single" w:sz="4" w:space="0" w:color="9C9D9F"/>
              <w:right w:val="nil"/>
            </w:tcBorders>
            <w:shd w:val="clear" w:color="auto" w:fill="auto"/>
            <w:noWrap/>
            <w:vAlign w:val="bottom"/>
            <w:hideMark/>
          </w:tcPr>
          <w:p w14:paraId="59BE2962" w14:textId="5A6E633F" w:rsidR="00907A78" w:rsidRPr="00AC713D" w:rsidRDefault="00907A78" w:rsidP="00907A78">
            <w:pPr>
              <w:spacing w:before="0" w:beforeAutospacing="0" w:after="0" w:afterAutospacing="0"/>
              <w:ind w:firstLineChars="100" w:firstLine="200"/>
              <w:jc w:val="right"/>
              <w:rPr>
                <w:rFonts w:cs="Arial"/>
                <w:sz w:val="20"/>
                <w:szCs w:val="20"/>
              </w:rPr>
            </w:pPr>
            <w:r w:rsidRPr="00AC713D">
              <w:rPr>
                <w:rFonts w:cs="Arial"/>
                <w:sz w:val="20"/>
                <w:szCs w:val="20"/>
              </w:rPr>
              <w:t>363 520</w:t>
            </w:r>
          </w:p>
        </w:tc>
        <w:tc>
          <w:tcPr>
            <w:tcW w:w="962" w:type="pct"/>
            <w:tcBorders>
              <w:top w:val="nil"/>
              <w:left w:val="nil"/>
              <w:bottom w:val="single" w:sz="4" w:space="0" w:color="9C9D9F"/>
              <w:right w:val="nil"/>
            </w:tcBorders>
            <w:shd w:val="clear" w:color="auto" w:fill="auto"/>
            <w:noWrap/>
            <w:vAlign w:val="bottom"/>
          </w:tcPr>
          <w:p w14:paraId="6F4667EB" w14:textId="39AC3EB2" w:rsidR="00907A78" w:rsidRPr="00AC713D" w:rsidRDefault="00907A78" w:rsidP="00907A78">
            <w:pPr>
              <w:spacing w:before="0" w:beforeAutospacing="0" w:after="0" w:afterAutospacing="0"/>
              <w:ind w:firstLineChars="100" w:firstLine="200"/>
              <w:jc w:val="right"/>
              <w:rPr>
                <w:rFonts w:cs="Arial"/>
                <w:sz w:val="20"/>
                <w:szCs w:val="20"/>
              </w:rPr>
            </w:pPr>
            <w:r>
              <w:rPr>
                <w:rFonts w:cs="Arial"/>
                <w:sz w:val="20"/>
                <w:szCs w:val="20"/>
              </w:rPr>
              <w:t>-315 300</w:t>
            </w:r>
          </w:p>
        </w:tc>
      </w:tr>
      <w:tr w:rsidR="00907A78" w:rsidRPr="00AC713D" w14:paraId="334B2CDA" w14:textId="77777777" w:rsidTr="00E4317A">
        <w:trPr>
          <w:trHeight w:val="255"/>
        </w:trPr>
        <w:tc>
          <w:tcPr>
            <w:tcW w:w="3075" w:type="pct"/>
            <w:tcBorders>
              <w:top w:val="nil"/>
              <w:left w:val="nil"/>
              <w:bottom w:val="single" w:sz="4" w:space="0" w:color="9C9D9F"/>
              <w:right w:val="nil"/>
            </w:tcBorders>
            <w:shd w:val="clear" w:color="auto" w:fill="auto"/>
            <w:vAlign w:val="bottom"/>
            <w:hideMark/>
          </w:tcPr>
          <w:p w14:paraId="550BB42F" w14:textId="77777777" w:rsidR="00907A78" w:rsidRPr="00AC713D" w:rsidRDefault="00907A78" w:rsidP="00907A78">
            <w:pPr>
              <w:spacing w:before="0" w:beforeAutospacing="0" w:after="0" w:afterAutospacing="0"/>
              <w:jc w:val="left"/>
              <w:rPr>
                <w:rFonts w:cs="Arial"/>
                <w:sz w:val="20"/>
                <w:szCs w:val="20"/>
              </w:rPr>
            </w:pPr>
            <w:r w:rsidRPr="00AC713D">
              <w:rPr>
                <w:rFonts w:cs="Arial"/>
                <w:sz w:val="20"/>
                <w:szCs w:val="20"/>
              </w:rPr>
              <w:t>Růst/(pokles) závazků</w:t>
            </w:r>
          </w:p>
        </w:tc>
        <w:tc>
          <w:tcPr>
            <w:tcW w:w="963" w:type="pct"/>
            <w:tcBorders>
              <w:top w:val="nil"/>
              <w:left w:val="nil"/>
              <w:bottom w:val="single" w:sz="4" w:space="0" w:color="9C9D9F"/>
              <w:right w:val="nil"/>
            </w:tcBorders>
            <w:shd w:val="clear" w:color="auto" w:fill="auto"/>
            <w:noWrap/>
            <w:vAlign w:val="bottom"/>
            <w:hideMark/>
          </w:tcPr>
          <w:p w14:paraId="3D0C4A1D" w14:textId="21618751" w:rsidR="00907A78" w:rsidRPr="00AC713D" w:rsidRDefault="00907A78" w:rsidP="00907A78">
            <w:pPr>
              <w:spacing w:before="0" w:beforeAutospacing="0" w:after="0" w:afterAutospacing="0"/>
              <w:ind w:firstLineChars="100" w:firstLine="200"/>
              <w:jc w:val="right"/>
              <w:rPr>
                <w:rFonts w:cs="Arial"/>
                <w:sz w:val="20"/>
                <w:szCs w:val="20"/>
              </w:rPr>
            </w:pPr>
            <w:r w:rsidRPr="00AC713D">
              <w:rPr>
                <w:rFonts w:cs="Arial"/>
                <w:sz w:val="20"/>
                <w:szCs w:val="20"/>
              </w:rPr>
              <w:t>-26 332</w:t>
            </w:r>
          </w:p>
        </w:tc>
        <w:tc>
          <w:tcPr>
            <w:tcW w:w="962" w:type="pct"/>
            <w:tcBorders>
              <w:top w:val="nil"/>
              <w:left w:val="nil"/>
              <w:bottom w:val="single" w:sz="4" w:space="0" w:color="9C9D9F"/>
              <w:right w:val="nil"/>
            </w:tcBorders>
            <w:shd w:val="clear" w:color="auto" w:fill="auto"/>
            <w:noWrap/>
            <w:vAlign w:val="bottom"/>
          </w:tcPr>
          <w:p w14:paraId="1B84089D" w14:textId="5B2DA71F" w:rsidR="00907A78" w:rsidRPr="00AC713D" w:rsidRDefault="000A1596" w:rsidP="00907A78">
            <w:pPr>
              <w:spacing w:before="0" w:beforeAutospacing="0" w:after="0" w:afterAutospacing="0"/>
              <w:ind w:firstLineChars="100" w:firstLine="200"/>
              <w:jc w:val="right"/>
              <w:rPr>
                <w:rFonts w:cs="Arial"/>
                <w:sz w:val="20"/>
                <w:szCs w:val="20"/>
              </w:rPr>
            </w:pPr>
            <w:r>
              <w:rPr>
                <w:rFonts w:cs="Arial"/>
                <w:sz w:val="20"/>
                <w:szCs w:val="20"/>
              </w:rPr>
              <w:t>82 553</w:t>
            </w:r>
          </w:p>
        </w:tc>
      </w:tr>
      <w:tr w:rsidR="00907A78" w:rsidRPr="00AC713D" w14:paraId="28224992" w14:textId="77777777" w:rsidTr="00E4317A">
        <w:trPr>
          <w:trHeight w:val="255"/>
        </w:trPr>
        <w:tc>
          <w:tcPr>
            <w:tcW w:w="3075" w:type="pct"/>
            <w:tcBorders>
              <w:top w:val="nil"/>
              <w:left w:val="nil"/>
              <w:bottom w:val="single" w:sz="4" w:space="0" w:color="9C9D9F"/>
              <w:right w:val="nil"/>
            </w:tcBorders>
            <w:shd w:val="clear" w:color="auto" w:fill="auto"/>
            <w:vAlign w:val="bottom"/>
            <w:hideMark/>
          </w:tcPr>
          <w:p w14:paraId="66047B6A" w14:textId="77777777" w:rsidR="00907A78" w:rsidRPr="00AC713D" w:rsidRDefault="00907A78" w:rsidP="00907A78">
            <w:pPr>
              <w:spacing w:before="0" w:beforeAutospacing="0" w:after="0" w:afterAutospacing="0"/>
              <w:jc w:val="left"/>
              <w:rPr>
                <w:rFonts w:cs="Arial"/>
                <w:sz w:val="20"/>
                <w:szCs w:val="20"/>
              </w:rPr>
            </w:pPr>
            <w:r w:rsidRPr="00AC713D">
              <w:rPr>
                <w:rFonts w:cs="Arial"/>
                <w:sz w:val="20"/>
                <w:szCs w:val="20"/>
              </w:rPr>
              <w:t>Zaplacená daň z příjmů</w:t>
            </w:r>
          </w:p>
        </w:tc>
        <w:tc>
          <w:tcPr>
            <w:tcW w:w="963" w:type="pct"/>
            <w:tcBorders>
              <w:top w:val="nil"/>
              <w:left w:val="nil"/>
              <w:bottom w:val="single" w:sz="4" w:space="0" w:color="9C9D9F"/>
              <w:right w:val="nil"/>
            </w:tcBorders>
            <w:shd w:val="clear" w:color="auto" w:fill="auto"/>
            <w:noWrap/>
            <w:vAlign w:val="bottom"/>
            <w:hideMark/>
          </w:tcPr>
          <w:p w14:paraId="54FF71A4" w14:textId="15FA2145" w:rsidR="00907A78" w:rsidRPr="00AC713D" w:rsidRDefault="00907A78" w:rsidP="00907A78">
            <w:pPr>
              <w:spacing w:before="0" w:beforeAutospacing="0" w:after="0" w:afterAutospacing="0"/>
              <w:ind w:firstLineChars="100" w:firstLine="200"/>
              <w:jc w:val="right"/>
              <w:rPr>
                <w:rFonts w:cs="Arial"/>
                <w:sz w:val="20"/>
                <w:szCs w:val="20"/>
              </w:rPr>
            </w:pPr>
            <w:r w:rsidRPr="00AC713D">
              <w:rPr>
                <w:rFonts w:cs="Arial"/>
                <w:sz w:val="20"/>
                <w:szCs w:val="20"/>
              </w:rPr>
              <w:t>-46 944</w:t>
            </w:r>
          </w:p>
        </w:tc>
        <w:tc>
          <w:tcPr>
            <w:tcW w:w="962" w:type="pct"/>
            <w:tcBorders>
              <w:top w:val="nil"/>
              <w:left w:val="nil"/>
              <w:bottom w:val="single" w:sz="4" w:space="0" w:color="9C9D9F"/>
              <w:right w:val="nil"/>
            </w:tcBorders>
            <w:shd w:val="clear" w:color="auto" w:fill="auto"/>
            <w:noWrap/>
            <w:vAlign w:val="bottom"/>
          </w:tcPr>
          <w:p w14:paraId="66B77C23" w14:textId="0171284E" w:rsidR="00907A78" w:rsidRPr="00AC713D" w:rsidRDefault="00907A78" w:rsidP="000A1596">
            <w:pPr>
              <w:spacing w:before="0" w:beforeAutospacing="0" w:after="0" w:afterAutospacing="0"/>
              <w:ind w:firstLineChars="100" w:firstLine="200"/>
              <w:jc w:val="right"/>
              <w:rPr>
                <w:rFonts w:cs="Arial"/>
                <w:sz w:val="20"/>
                <w:szCs w:val="20"/>
              </w:rPr>
            </w:pPr>
            <w:r>
              <w:rPr>
                <w:rFonts w:cs="Arial"/>
                <w:sz w:val="20"/>
                <w:szCs w:val="20"/>
              </w:rPr>
              <w:t>-</w:t>
            </w:r>
            <w:r w:rsidR="000A1596">
              <w:rPr>
                <w:rFonts w:cs="Arial"/>
                <w:sz w:val="20"/>
                <w:szCs w:val="20"/>
              </w:rPr>
              <w:t>59 552</w:t>
            </w:r>
          </w:p>
        </w:tc>
      </w:tr>
      <w:tr w:rsidR="00907A78" w:rsidRPr="00AC713D" w14:paraId="1408E0EA" w14:textId="77777777" w:rsidTr="00E4317A">
        <w:trPr>
          <w:trHeight w:val="315"/>
        </w:trPr>
        <w:tc>
          <w:tcPr>
            <w:tcW w:w="3075" w:type="pct"/>
            <w:tcBorders>
              <w:top w:val="nil"/>
              <w:left w:val="nil"/>
              <w:bottom w:val="single" w:sz="4" w:space="0" w:color="9C9D9F"/>
              <w:right w:val="nil"/>
            </w:tcBorders>
            <w:shd w:val="clear" w:color="auto" w:fill="auto"/>
            <w:vAlign w:val="bottom"/>
            <w:hideMark/>
          </w:tcPr>
          <w:p w14:paraId="466D2D5F" w14:textId="77777777" w:rsidR="00907A78" w:rsidRPr="00AC713D" w:rsidRDefault="00907A78" w:rsidP="00907A78">
            <w:pPr>
              <w:spacing w:before="0" w:beforeAutospacing="0" w:after="0" w:afterAutospacing="0"/>
              <w:jc w:val="left"/>
              <w:rPr>
                <w:rFonts w:cs="Arial"/>
                <w:b/>
                <w:bCs/>
                <w:sz w:val="20"/>
                <w:szCs w:val="20"/>
              </w:rPr>
            </w:pPr>
            <w:r w:rsidRPr="00AC713D">
              <w:rPr>
                <w:rFonts w:cs="Arial"/>
                <w:b/>
                <w:bCs/>
                <w:sz w:val="20"/>
                <w:szCs w:val="20"/>
              </w:rPr>
              <w:t>Čisté peněžní toky z provozní činnosti</w:t>
            </w:r>
          </w:p>
        </w:tc>
        <w:tc>
          <w:tcPr>
            <w:tcW w:w="963" w:type="pct"/>
            <w:tcBorders>
              <w:top w:val="nil"/>
              <w:left w:val="nil"/>
              <w:bottom w:val="single" w:sz="4" w:space="0" w:color="9C9D9F"/>
              <w:right w:val="nil"/>
            </w:tcBorders>
            <w:shd w:val="clear" w:color="auto" w:fill="auto"/>
            <w:noWrap/>
            <w:vAlign w:val="bottom"/>
            <w:hideMark/>
          </w:tcPr>
          <w:p w14:paraId="65726C5A" w14:textId="68C01109" w:rsidR="00907A78" w:rsidRPr="00AC713D" w:rsidRDefault="00907A78" w:rsidP="00907A78">
            <w:pPr>
              <w:spacing w:before="0" w:beforeAutospacing="0" w:after="0" w:afterAutospacing="0"/>
              <w:ind w:firstLineChars="100" w:firstLine="201"/>
              <w:jc w:val="right"/>
              <w:rPr>
                <w:rFonts w:cs="Arial"/>
                <w:b/>
                <w:bCs/>
                <w:sz w:val="20"/>
                <w:szCs w:val="20"/>
              </w:rPr>
            </w:pPr>
            <w:r w:rsidRPr="00AC713D">
              <w:rPr>
                <w:rFonts w:cs="Arial"/>
                <w:b/>
                <w:bCs/>
                <w:sz w:val="20"/>
                <w:szCs w:val="20"/>
              </w:rPr>
              <w:t>762 528</w:t>
            </w:r>
          </w:p>
        </w:tc>
        <w:tc>
          <w:tcPr>
            <w:tcW w:w="962" w:type="pct"/>
            <w:tcBorders>
              <w:top w:val="nil"/>
              <w:left w:val="nil"/>
              <w:bottom w:val="single" w:sz="4" w:space="0" w:color="9C9D9F"/>
              <w:right w:val="nil"/>
            </w:tcBorders>
            <w:shd w:val="clear" w:color="auto" w:fill="auto"/>
            <w:noWrap/>
            <w:vAlign w:val="bottom"/>
          </w:tcPr>
          <w:p w14:paraId="71B3A68A" w14:textId="6D23FC38" w:rsidR="00907A78" w:rsidRPr="00AC713D" w:rsidRDefault="000A1596" w:rsidP="00907A78">
            <w:pPr>
              <w:spacing w:before="0" w:beforeAutospacing="0" w:after="0" w:afterAutospacing="0"/>
              <w:ind w:firstLineChars="100" w:firstLine="201"/>
              <w:jc w:val="right"/>
              <w:rPr>
                <w:rFonts w:cs="Arial"/>
                <w:b/>
                <w:bCs/>
                <w:sz w:val="20"/>
                <w:szCs w:val="20"/>
              </w:rPr>
            </w:pPr>
            <w:r>
              <w:rPr>
                <w:rFonts w:cs="Arial"/>
                <w:b/>
                <w:bCs/>
                <w:sz w:val="20"/>
                <w:szCs w:val="20"/>
              </w:rPr>
              <w:t>285 055</w:t>
            </w:r>
          </w:p>
        </w:tc>
      </w:tr>
      <w:tr w:rsidR="00907A78" w:rsidRPr="00AC713D" w14:paraId="68495222" w14:textId="77777777" w:rsidTr="00E4317A">
        <w:trPr>
          <w:trHeight w:val="135"/>
        </w:trPr>
        <w:tc>
          <w:tcPr>
            <w:tcW w:w="3075" w:type="pct"/>
            <w:tcBorders>
              <w:top w:val="nil"/>
              <w:left w:val="nil"/>
              <w:bottom w:val="nil"/>
              <w:right w:val="nil"/>
            </w:tcBorders>
            <w:shd w:val="clear" w:color="auto" w:fill="auto"/>
            <w:vAlign w:val="bottom"/>
            <w:hideMark/>
          </w:tcPr>
          <w:p w14:paraId="33A93053" w14:textId="77777777" w:rsidR="00907A78" w:rsidRPr="00AC713D" w:rsidRDefault="00907A78" w:rsidP="00907A78">
            <w:pPr>
              <w:spacing w:before="0" w:beforeAutospacing="0" w:after="0" w:afterAutospacing="0"/>
              <w:ind w:firstLineChars="100" w:firstLine="201"/>
              <w:jc w:val="right"/>
              <w:rPr>
                <w:rFonts w:cs="Arial"/>
                <w:b/>
                <w:bCs/>
                <w:sz w:val="20"/>
                <w:szCs w:val="20"/>
              </w:rPr>
            </w:pPr>
          </w:p>
        </w:tc>
        <w:tc>
          <w:tcPr>
            <w:tcW w:w="963" w:type="pct"/>
            <w:tcBorders>
              <w:top w:val="nil"/>
              <w:left w:val="nil"/>
              <w:bottom w:val="nil"/>
              <w:right w:val="nil"/>
            </w:tcBorders>
            <w:shd w:val="clear" w:color="auto" w:fill="auto"/>
            <w:noWrap/>
            <w:vAlign w:val="bottom"/>
            <w:hideMark/>
          </w:tcPr>
          <w:p w14:paraId="7CAFA648" w14:textId="77777777" w:rsidR="00907A78" w:rsidRPr="00AC713D" w:rsidRDefault="00907A78" w:rsidP="00907A78">
            <w:pPr>
              <w:spacing w:before="0" w:beforeAutospacing="0" w:after="0" w:afterAutospacing="0"/>
              <w:jc w:val="left"/>
              <w:rPr>
                <w:rFonts w:cs="Arial"/>
                <w:sz w:val="20"/>
                <w:szCs w:val="20"/>
              </w:rPr>
            </w:pPr>
          </w:p>
        </w:tc>
        <w:tc>
          <w:tcPr>
            <w:tcW w:w="962" w:type="pct"/>
            <w:tcBorders>
              <w:top w:val="nil"/>
              <w:left w:val="nil"/>
              <w:bottom w:val="nil"/>
              <w:right w:val="nil"/>
            </w:tcBorders>
            <w:shd w:val="clear" w:color="auto" w:fill="auto"/>
            <w:noWrap/>
            <w:vAlign w:val="bottom"/>
          </w:tcPr>
          <w:p w14:paraId="798B18F4" w14:textId="77777777" w:rsidR="00907A78" w:rsidRPr="00AC713D" w:rsidRDefault="00907A78" w:rsidP="00907A78">
            <w:pPr>
              <w:spacing w:before="0" w:beforeAutospacing="0" w:after="0" w:afterAutospacing="0"/>
              <w:ind w:firstLineChars="100" w:firstLine="200"/>
              <w:jc w:val="right"/>
              <w:rPr>
                <w:rFonts w:cs="Arial"/>
                <w:sz w:val="20"/>
                <w:szCs w:val="20"/>
              </w:rPr>
            </w:pPr>
          </w:p>
        </w:tc>
      </w:tr>
      <w:tr w:rsidR="00907A78" w:rsidRPr="00AC713D" w14:paraId="40AC5100" w14:textId="77777777" w:rsidTr="00E4317A">
        <w:trPr>
          <w:trHeight w:val="255"/>
        </w:trPr>
        <w:tc>
          <w:tcPr>
            <w:tcW w:w="3075" w:type="pct"/>
            <w:tcBorders>
              <w:top w:val="nil"/>
              <w:left w:val="nil"/>
              <w:bottom w:val="nil"/>
              <w:right w:val="nil"/>
            </w:tcBorders>
            <w:shd w:val="clear" w:color="000000" w:fill="9C9D9F"/>
            <w:vAlign w:val="bottom"/>
            <w:hideMark/>
          </w:tcPr>
          <w:p w14:paraId="5FE0C82D" w14:textId="77777777" w:rsidR="00907A78" w:rsidRPr="00AC713D" w:rsidRDefault="00907A78" w:rsidP="00907A78">
            <w:pPr>
              <w:spacing w:before="0" w:beforeAutospacing="0" w:after="0" w:afterAutospacing="0"/>
              <w:jc w:val="left"/>
              <w:rPr>
                <w:rFonts w:cs="Arial"/>
                <w:b/>
                <w:bCs/>
                <w:sz w:val="20"/>
                <w:szCs w:val="20"/>
              </w:rPr>
            </w:pPr>
            <w:r w:rsidRPr="00AC713D">
              <w:rPr>
                <w:rFonts w:cs="Arial"/>
                <w:b/>
                <w:bCs/>
                <w:sz w:val="20"/>
                <w:szCs w:val="20"/>
              </w:rPr>
              <w:t>Peněžní toky z investiční činnosti</w:t>
            </w:r>
          </w:p>
        </w:tc>
        <w:tc>
          <w:tcPr>
            <w:tcW w:w="963" w:type="pct"/>
            <w:tcBorders>
              <w:top w:val="nil"/>
              <w:left w:val="nil"/>
              <w:bottom w:val="nil"/>
              <w:right w:val="nil"/>
            </w:tcBorders>
            <w:shd w:val="clear" w:color="000000" w:fill="9C9D9F"/>
            <w:noWrap/>
            <w:vAlign w:val="bottom"/>
            <w:hideMark/>
          </w:tcPr>
          <w:p w14:paraId="4D6C60C8" w14:textId="4A364984" w:rsidR="00907A78" w:rsidRPr="00AC713D" w:rsidRDefault="00907A78" w:rsidP="00907A78">
            <w:pPr>
              <w:spacing w:before="0" w:beforeAutospacing="0" w:after="0" w:afterAutospacing="0"/>
              <w:ind w:firstLineChars="100" w:firstLine="201"/>
              <w:jc w:val="right"/>
              <w:rPr>
                <w:rFonts w:cs="Arial"/>
                <w:b/>
                <w:bCs/>
                <w:sz w:val="20"/>
                <w:szCs w:val="20"/>
              </w:rPr>
            </w:pPr>
            <w:r w:rsidRPr="00AC713D">
              <w:rPr>
                <w:rFonts w:cs="Arial"/>
                <w:b/>
                <w:bCs/>
                <w:sz w:val="20"/>
                <w:szCs w:val="20"/>
              </w:rPr>
              <w:t> </w:t>
            </w:r>
          </w:p>
        </w:tc>
        <w:tc>
          <w:tcPr>
            <w:tcW w:w="962" w:type="pct"/>
            <w:tcBorders>
              <w:top w:val="nil"/>
              <w:left w:val="nil"/>
              <w:bottom w:val="nil"/>
              <w:right w:val="nil"/>
            </w:tcBorders>
            <w:shd w:val="clear" w:color="000000" w:fill="9C9D9F"/>
            <w:noWrap/>
            <w:vAlign w:val="bottom"/>
          </w:tcPr>
          <w:p w14:paraId="51C9AADA" w14:textId="1421D6E3" w:rsidR="00907A78" w:rsidRPr="00AC713D" w:rsidRDefault="00907A78" w:rsidP="00907A78">
            <w:pPr>
              <w:spacing w:before="0" w:beforeAutospacing="0" w:after="0" w:afterAutospacing="0"/>
              <w:ind w:firstLineChars="100" w:firstLine="201"/>
              <w:jc w:val="right"/>
              <w:rPr>
                <w:rFonts w:cs="Arial"/>
                <w:b/>
                <w:bCs/>
                <w:sz w:val="20"/>
                <w:szCs w:val="20"/>
              </w:rPr>
            </w:pPr>
            <w:r>
              <w:rPr>
                <w:rFonts w:cs="Arial"/>
                <w:b/>
                <w:bCs/>
                <w:sz w:val="20"/>
                <w:szCs w:val="20"/>
              </w:rPr>
              <w:t> </w:t>
            </w:r>
          </w:p>
        </w:tc>
      </w:tr>
      <w:tr w:rsidR="00907A78" w:rsidRPr="00AC713D" w14:paraId="6CBED01F" w14:textId="77777777" w:rsidTr="00E4317A">
        <w:trPr>
          <w:trHeight w:val="255"/>
        </w:trPr>
        <w:tc>
          <w:tcPr>
            <w:tcW w:w="3075" w:type="pct"/>
            <w:tcBorders>
              <w:top w:val="nil"/>
              <w:left w:val="nil"/>
              <w:bottom w:val="single" w:sz="4" w:space="0" w:color="9C9D9F"/>
              <w:right w:val="nil"/>
            </w:tcBorders>
            <w:shd w:val="clear" w:color="auto" w:fill="auto"/>
            <w:vAlign w:val="bottom"/>
            <w:hideMark/>
          </w:tcPr>
          <w:p w14:paraId="2DAC44BE" w14:textId="77777777" w:rsidR="00907A78" w:rsidRPr="00AC713D" w:rsidRDefault="00907A78" w:rsidP="00907A78">
            <w:pPr>
              <w:spacing w:before="0" w:beforeAutospacing="0" w:after="0" w:afterAutospacing="0"/>
              <w:jc w:val="left"/>
              <w:rPr>
                <w:rFonts w:cs="Arial"/>
                <w:sz w:val="20"/>
                <w:szCs w:val="20"/>
              </w:rPr>
            </w:pPr>
            <w:r w:rsidRPr="00AC713D">
              <w:rPr>
                <w:rFonts w:cs="Arial"/>
                <w:sz w:val="20"/>
                <w:szCs w:val="20"/>
              </w:rPr>
              <w:t>Pořízení dlouhodobého hmotného a nehmotného majetku</w:t>
            </w:r>
          </w:p>
        </w:tc>
        <w:tc>
          <w:tcPr>
            <w:tcW w:w="963" w:type="pct"/>
            <w:tcBorders>
              <w:top w:val="nil"/>
              <w:left w:val="nil"/>
              <w:bottom w:val="single" w:sz="4" w:space="0" w:color="9C9D9F"/>
              <w:right w:val="nil"/>
            </w:tcBorders>
            <w:shd w:val="clear" w:color="auto" w:fill="auto"/>
            <w:noWrap/>
            <w:vAlign w:val="bottom"/>
            <w:hideMark/>
          </w:tcPr>
          <w:p w14:paraId="44D5FB66" w14:textId="208C4799" w:rsidR="00907A78" w:rsidRPr="00AC713D" w:rsidRDefault="00907A78" w:rsidP="00907A78">
            <w:pPr>
              <w:spacing w:before="0" w:beforeAutospacing="0" w:after="0" w:afterAutospacing="0"/>
              <w:ind w:firstLineChars="100" w:firstLine="200"/>
              <w:jc w:val="right"/>
              <w:rPr>
                <w:rFonts w:cs="Arial"/>
                <w:sz w:val="20"/>
                <w:szCs w:val="20"/>
              </w:rPr>
            </w:pPr>
            <w:r w:rsidRPr="00AC713D">
              <w:rPr>
                <w:rFonts w:cs="Arial"/>
                <w:sz w:val="20"/>
                <w:szCs w:val="20"/>
              </w:rPr>
              <w:t>-258 432</w:t>
            </w:r>
          </w:p>
        </w:tc>
        <w:tc>
          <w:tcPr>
            <w:tcW w:w="962" w:type="pct"/>
            <w:tcBorders>
              <w:top w:val="nil"/>
              <w:left w:val="nil"/>
              <w:bottom w:val="single" w:sz="4" w:space="0" w:color="9C9D9F"/>
              <w:right w:val="nil"/>
            </w:tcBorders>
            <w:shd w:val="clear" w:color="auto" w:fill="auto"/>
            <w:noWrap/>
            <w:vAlign w:val="bottom"/>
          </w:tcPr>
          <w:p w14:paraId="601A51BE" w14:textId="713D8D8A" w:rsidR="00907A78" w:rsidRPr="00AC713D" w:rsidRDefault="00907A78" w:rsidP="00907A78">
            <w:pPr>
              <w:spacing w:before="0" w:beforeAutospacing="0" w:after="0" w:afterAutospacing="0"/>
              <w:ind w:firstLineChars="100" w:firstLine="200"/>
              <w:jc w:val="right"/>
              <w:rPr>
                <w:rFonts w:cs="Arial"/>
                <w:sz w:val="20"/>
                <w:szCs w:val="20"/>
              </w:rPr>
            </w:pPr>
            <w:r>
              <w:rPr>
                <w:rFonts w:cs="Arial"/>
                <w:sz w:val="20"/>
                <w:szCs w:val="20"/>
              </w:rPr>
              <w:t>-127 406</w:t>
            </w:r>
          </w:p>
        </w:tc>
      </w:tr>
      <w:tr w:rsidR="00907A78" w:rsidRPr="00AC713D" w14:paraId="5600B608" w14:textId="77777777" w:rsidTr="00E4317A">
        <w:trPr>
          <w:trHeight w:val="300"/>
        </w:trPr>
        <w:tc>
          <w:tcPr>
            <w:tcW w:w="3075" w:type="pct"/>
            <w:tcBorders>
              <w:top w:val="nil"/>
              <w:left w:val="nil"/>
              <w:bottom w:val="single" w:sz="4" w:space="0" w:color="9C9D9F"/>
              <w:right w:val="nil"/>
            </w:tcBorders>
            <w:shd w:val="clear" w:color="auto" w:fill="auto"/>
            <w:vAlign w:val="bottom"/>
            <w:hideMark/>
          </w:tcPr>
          <w:p w14:paraId="6F4316E4" w14:textId="77777777" w:rsidR="00907A78" w:rsidRPr="00AC713D" w:rsidRDefault="00907A78" w:rsidP="00907A78">
            <w:pPr>
              <w:spacing w:before="0" w:beforeAutospacing="0" w:after="0" w:afterAutospacing="0"/>
              <w:jc w:val="left"/>
              <w:rPr>
                <w:rFonts w:cs="Arial"/>
                <w:b/>
                <w:bCs/>
                <w:sz w:val="20"/>
                <w:szCs w:val="20"/>
              </w:rPr>
            </w:pPr>
            <w:r w:rsidRPr="00AC713D">
              <w:rPr>
                <w:rFonts w:cs="Arial"/>
                <w:b/>
                <w:bCs/>
                <w:sz w:val="20"/>
                <w:szCs w:val="20"/>
              </w:rPr>
              <w:t>Čisté peněžní toky z investiční činnosti</w:t>
            </w:r>
          </w:p>
        </w:tc>
        <w:tc>
          <w:tcPr>
            <w:tcW w:w="963" w:type="pct"/>
            <w:tcBorders>
              <w:top w:val="nil"/>
              <w:left w:val="nil"/>
              <w:bottom w:val="single" w:sz="4" w:space="0" w:color="9C9D9F"/>
              <w:right w:val="nil"/>
            </w:tcBorders>
            <w:shd w:val="clear" w:color="auto" w:fill="auto"/>
            <w:noWrap/>
            <w:vAlign w:val="bottom"/>
            <w:hideMark/>
          </w:tcPr>
          <w:p w14:paraId="7BD21CBD" w14:textId="59CB5DBB" w:rsidR="00907A78" w:rsidRPr="00AC713D" w:rsidRDefault="00907A78" w:rsidP="00907A78">
            <w:pPr>
              <w:spacing w:before="0" w:beforeAutospacing="0" w:after="0" w:afterAutospacing="0"/>
              <w:ind w:firstLineChars="100" w:firstLine="201"/>
              <w:jc w:val="right"/>
              <w:rPr>
                <w:rFonts w:cs="Arial"/>
                <w:b/>
                <w:bCs/>
                <w:sz w:val="20"/>
                <w:szCs w:val="20"/>
              </w:rPr>
            </w:pPr>
            <w:r w:rsidRPr="00AC713D">
              <w:rPr>
                <w:rFonts w:cs="Arial"/>
                <w:b/>
                <w:bCs/>
                <w:sz w:val="20"/>
                <w:szCs w:val="20"/>
              </w:rPr>
              <w:t>-258 432</w:t>
            </w:r>
          </w:p>
        </w:tc>
        <w:tc>
          <w:tcPr>
            <w:tcW w:w="962" w:type="pct"/>
            <w:tcBorders>
              <w:top w:val="nil"/>
              <w:left w:val="nil"/>
              <w:bottom w:val="single" w:sz="4" w:space="0" w:color="9C9D9F"/>
              <w:right w:val="nil"/>
            </w:tcBorders>
            <w:shd w:val="clear" w:color="auto" w:fill="auto"/>
            <w:noWrap/>
            <w:vAlign w:val="bottom"/>
          </w:tcPr>
          <w:p w14:paraId="46A57EDD" w14:textId="616BE77C" w:rsidR="00907A78" w:rsidRPr="00AC713D" w:rsidRDefault="00907A78" w:rsidP="00907A78">
            <w:pPr>
              <w:spacing w:before="0" w:beforeAutospacing="0" w:after="0" w:afterAutospacing="0"/>
              <w:ind w:firstLineChars="100" w:firstLine="201"/>
              <w:jc w:val="right"/>
              <w:rPr>
                <w:rFonts w:cs="Arial"/>
                <w:b/>
                <w:bCs/>
                <w:sz w:val="20"/>
                <w:szCs w:val="20"/>
              </w:rPr>
            </w:pPr>
            <w:r>
              <w:rPr>
                <w:rFonts w:cs="Arial"/>
                <w:b/>
                <w:bCs/>
                <w:sz w:val="20"/>
                <w:szCs w:val="20"/>
              </w:rPr>
              <w:t>-127 406</w:t>
            </w:r>
          </w:p>
        </w:tc>
      </w:tr>
      <w:tr w:rsidR="00907A78" w:rsidRPr="00AC713D" w14:paraId="2B966AD8" w14:textId="77777777" w:rsidTr="00E4317A">
        <w:trPr>
          <w:trHeight w:val="135"/>
        </w:trPr>
        <w:tc>
          <w:tcPr>
            <w:tcW w:w="3075" w:type="pct"/>
            <w:tcBorders>
              <w:top w:val="nil"/>
              <w:left w:val="nil"/>
              <w:bottom w:val="nil"/>
              <w:right w:val="nil"/>
            </w:tcBorders>
            <w:shd w:val="clear" w:color="auto" w:fill="auto"/>
            <w:vAlign w:val="bottom"/>
            <w:hideMark/>
          </w:tcPr>
          <w:p w14:paraId="74543143" w14:textId="77777777" w:rsidR="00907A78" w:rsidRPr="00AC713D" w:rsidRDefault="00907A78" w:rsidP="00907A78">
            <w:pPr>
              <w:spacing w:before="0" w:beforeAutospacing="0" w:after="0" w:afterAutospacing="0"/>
              <w:ind w:firstLineChars="100" w:firstLine="201"/>
              <w:jc w:val="right"/>
              <w:rPr>
                <w:rFonts w:cs="Arial"/>
                <w:b/>
                <w:bCs/>
                <w:sz w:val="20"/>
                <w:szCs w:val="20"/>
              </w:rPr>
            </w:pPr>
          </w:p>
        </w:tc>
        <w:tc>
          <w:tcPr>
            <w:tcW w:w="963" w:type="pct"/>
            <w:tcBorders>
              <w:top w:val="nil"/>
              <w:left w:val="nil"/>
              <w:bottom w:val="nil"/>
              <w:right w:val="nil"/>
            </w:tcBorders>
            <w:shd w:val="clear" w:color="auto" w:fill="auto"/>
            <w:noWrap/>
            <w:vAlign w:val="bottom"/>
            <w:hideMark/>
          </w:tcPr>
          <w:p w14:paraId="5CF2C7CE" w14:textId="77777777" w:rsidR="00907A78" w:rsidRPr="00AC713D" w:rsidRDefault="00907A78" w:rsidP="00907A78">
            <w:pPr>
              <w:spacing w:before="0" w:beforeAutospacing="0" w:after="0" w:afterAutospacing="0"/>
              <w:jc w:val="left"/>
              <w:rPr>
                <w:rFonts w:cs="Arial"/>
                <w:sz w:val="20"/>
                <w:szCs w:val="20"/>
              </w:rPr>
            </w:pPr>
          </w:p>
        </w:tc>
        <w:tc>
          <w:tcPr>
            <w:tcW w:w="962" w:type="pct"/>
            <w:tcBorders>
              <w:top w:val="nil"/>
              <w:left w:val="nil"/>
              <w:bottom w:val="nil"/>
              <w:right w:val="nil"/>
            </w:tcBorders>
            <w:shd w:val="clear" w:color="auto" w:fill="auto"/>
            <w:noWrap/>
            <w:vAlign w:val="bottom"/>
          </w:tcPr>
          <w:p w14:paraId="68E81C66" w14:textId="77777777" w:rsidR="00907A78" w:rsidRPr="00AC713D" w:rsidRDefault="00907A78" w:rsidP="00907A78">
            <w:pPr>
              <w:spacing w:before="0" w:beforeAutospacing="0" w:after="0" w:afterAutospacing="0"/>
              <w:ind w:firstLineChars="100" w:firstLine="200"/>
              <w:jc w:val="right"/>
              <w:rPr>
                <w:rFonts w:cs="Arial"/>
                <w:sz w:val="20"/>
                <w:szCs w:val="20"/>
              </w:rPr>
            </w:pPr>
          </w:p>
        </w:tc>
      </w:tr>
      <w:tr w:rsidR="00907A78" w:rsidRPr="00AC713D" w14:paraId="1F42A74B" w14:textId="77777777" w:rsidTr="00E4317A">
        <w:trPr>
          <w:trHeight w:val="255"/>
        </w:trPr>
        <w:tc>
          <w:tcPr>
            <w:tcW w:w="3075" w:type="pct"/>
            <w:tcBorders>
              <w:top w:val="nil"/>
              <w:left w:val="nil"/>
              <w:bottom w:val="nil"/>
              <w:right w:val="nil"/>
            </w:tcBorders>
            <w:shd w:val="clear" w:color="000000" w:fill="9C9D9F"/>
            <w:vAlign w:val="bottom"/>
            <w:hideMark/>
          </w:tcPr>
          <w:p w14:paraId="448DA8A0" w14:textId="77777777" w:rsidR="00907A78" w:rsidRPr="00AC713D" w:rsidRDefault="00907A78" w:rsidP="00907A78">
            <w:pPr>
              <w:spacing w:before="0" w:beforeAutospacing="0" w:after="0" w:afterAutospacing="0"/>
              <w:jc w:val="left"/>
              <w:rPr>
                <w:rFonts w:cs="Arial"/>
                <w:b/>
                <w:bCs/>
                <w:sz w:val="20"/>
                <w:szCs w:val="20"/>
              </w:rPr>
            </w:pPr>
            <w:r w:rsidRPr="00AC713D">
              <w:rPr>
                <w:rFonts w:cs="Arial"/>
                <w:b/>
                <w:bCs/>
                <w:sz w:val="20"/>
                <w:szCs w:val="20"/>
              </w:rPr>
              <w:t>Peněžní toky z finanční činnosti</w:t>
            </w:r>
          </w:p>
        </w:tc>
        <w:tc>
          <w:tcPr>
            <w:tcW w:w="963" w:type="pct"/>
            <w:tcBorders>
              <w:top w:val="nil"/>
              <w:left w:val="nil"/>
              <w:bottom w:val="nil"/>
              <w:right w:val="nil"/>
            </w:tcBorders>
            <w:shd w:val="clear" w:color="000000" w:fill="9C9D9F"/>
            <w:noWrap/>
            <w:vAlign w:val="bottom"/>
            <w:hideMark/>
          </w:tcPr>
          <w:p w14:paraId="098AD8E5" w14:textId="12A05807" w:rsidR="00907A78" w:rsidRPr="00AC713D" w:rsidRDefault="00907A78" w:rsidP="00907A78">
            <w:pPr>
              <w:spacing w:before="0" w:beforeAutospacing="0" w:after="0" w:afterAutospacing="0"/>
              <w:ind w:firstLineChars="100" w:firstLine="201"/>
              <w:jc w:val="right"/>
              <w:rPr>
                <w:rFonts w:cs="Arial"/>
                <w:b/>
                <w:bCs/>
                <w:sz w:val="20"/>
                <w:szCs w:val="20"/>
              </w:rPr>
            </w:pPr>
            <w:r w:rsidRPr="00AC713D">
              <w:rPr>
                <w:rFonts w:cs="Arial"/>
                <w:b/>
                <w:bCs/>
                <w:sz w:val="20"/>
                <w:szCs w:val="20"/>
              </w:rPr>
              <w:t> </w:t>
            </w:r>
          </w:p>
        </w:tc>
        <w:tc>
          <w:tcPr>
            <w:tcW w:w="962" w:type="pct"/>
            <w:tcBorders>
              <w:top w:val="nil"/>
              <w:left w:val="nil"/>
              <w:bottom w:val="nil"/>
              <w:right w:val="nil"/>
            </w:tcBorders>
            <w:shd w:val="clear" w:color="000000" w:fill="9C9D9F"/>
            <w:noWrap/>
            <w:vAlign w:val="bottom"/>
          </w:tcPr>
          <w:p w14:paraId="2EAF89B5" w14:textId="039C5FBC" w:rsidR="00907A78" w:rsidRPr="00AC713D" w:rsidRDefault="00907A78" w:rsidP="00907A78">
            <w:pPr>
              <w:spacing w:before="0" w:beforeAutospacing="0" w:after="0" w:afterAutospacing="0"/>
              <w:ind w:firstLineChars="100" w:firstLine="201"/>
              <w:jc w:val="right"/>
              <w:rPr>
                <w:rFonts w:cs="Arial"/>
                <w:b/>
                <w:bCs/>
                <w:sz w:val="20"/>
                <w:szCs w:val="20"/>
              </w:rPr>
            </w:pPr>
            <w:r>
              <w:rPr>
                <w:rFonts w:cs="Arial"/>
                <w:b/>
                <w:bCs/>
                <w:sz w:val="20"/>
                <w:szCs w:val="20"/>
              </w:rPr>
              <w:t> </w:t>
            </w:r>
          </w:p>
        </w:tc>
      </w:tr>
      <w:tr w:rsidR="00907A78" w:rsidRPr="00AC713D" w14:paraId="521B6D08" w14:textId="77777777" w:rsidTr="00E4317A">
        <w:trPr>
          <w:trHeight w:val="255"/>
        </w:trPr>
        <w:tc>
          <w:tcPr>
            <w:tcW w:w="3075" w:type="pct"/>
            <w:tcBorders>
              <w:top w:val="nil"/>
              <w:left w:val="nil"/>
              <w:bottom w:val="single" w:sz="4" w:space="0" w:color="9C9D9F"/>
              <w:right w:val="nil"/>
            </w:tcBorders>
            <w:shd w:val="clear" w:color="auto" w:fill="auto"/>
            <w:vAlign w:val="bottom"/>
            <w:hideMark/>
          </w:tcPr>
          <w:p w14:paraId="5B18A71C" w14:textId="77777777" w:rsidR="00907A78" w:rsidRPr="00AC713D" w:rsidRDefault="00907A78" w:rsidP="00907A78">
            <w:pPr>
              <w:spacing w:before="0" w:beforeAutospacing="0" w:after="0" w:afterAutospacing="0"/>
              <w:jc w:val="left"/>
              <w:rPr>
                <w:rFonts w:cs="Arial"/>
                <w:sz w:val="20"/>
                <w:szCs w:val="20"/>
              </w:rPr>
            </w:pPr>
            <w:r w:rsidRPr="00AC713D">
              <w:rPr>
                <w:rFonts w:cs="Arial"/>
                <w:sz w:val="20"/>
                <w:szCs w:val="20"/>
              </w:rPr>
              <w:t>Růst/(pokles) krátkodobých bankovních úvěrů a dluhopisů</w:t>
            </w:r>
          </w:p>
        </w:tc>
        <w:tc>
          <w:tcPr>
            <w:tcW w:w="963" w:type="pct"/>
            <w:tcBorders>
              <w:top w:val="nil"/>
              <w:left w:val="nil"/>
              <w:bottom w:val="single" w:sz="4" w:space="0" w:color="9C9D9F"/>
              <w:right w:val="nil"/>
            </w:tcBorders>
            <w:shd w:val="clear" w:color="auto" w:fill="auto"/>
            <w:noWrap/>
            <w:vAlign w:val="bottom"/>
            <w:hideMark/>
          </w:tcPr>
          <w:p w14:paraId="5BCFC638" w14:textId="20BD1CC3" w:rsidR="00907A78" w:rsidRPr="00AC713D" w:rsidRDefault="00907A78" w:rsidP="00907A78">
            <w:pPr>
              <w:spacing w:before="0" w:beforeAutospacing="0" w:after="0" w:afterAutospacing="0"/>
              <w:ind w:firstLineChars="100" w:firstLine="200"/>
              <w:jc w:val="right"/>
              <w:rPr>
                <w:rFonts w:cs="Arial"/>
                <w:sz w:val="20"/>
                <w:szCs w:val="20"/>
              </w:rPr>
            </w:pPr>
            <w:r w:rsidRPr="00AC713D">
              <w:rPr>
                <w:rFonts w:cs="Arial"/>
                <w:sz w:val="20"/>
                <w:szCs w:val="20"/>
              </w:rPr>
              <w:t>-563 493</w:t>
            </w:r>
          </w:p>
        </w:tc>
        <w:tc>
          <w:tcPr>
            <w:tcW w:w="962" w:type="pct"/>
            <w:tcBorders>
              <w:top w:val="nil"/>
              <w:left w:val="nil"/>
              <w:bottom w:val="single" w:sz="4" w:space="0" w:color="9C9D9F"/>
              <w:right w:val="nil"/>
            </w:tcBorders>
            <w:shd w:val="clear" w:color="auto" w:fill="auto"/>
            <w:noWrap/>
            <w:vAlign w:val="bottom"/>
          </w:tcPr>
          <w:p w14:paraId="4CF44582" w14:textId="2111610D" w:rsidR="00907A78" w:rsidRPr="00AC713D" w:rsidRDefault="00907A78" w:rsidP="00907A78">
            <w:pPr>
              <w:spacing w:before="0" w:beforeAutospacing="0" w:after="0" w:afterAutospacing="0"/>
              <w:ind w:firstLineChars="100" w:firstLine="200"/>
              <w:jc w:val="right"/>
              <w:rPr>
                <w:rFonts w:cs="Arial"/>
                <w:sz w:val="20"/>
                <w:szCs w:val="20"/>
              </w:rPr>
            </w:pPr>
            <w:r>
              <w:rPr>
                <w:rFonts w:cs="Arial"/>
                <w:sz w:val="20"/>
                <w:szCs w:val="20"/>
              </w:rPr>
              <w:t>-129 924</w:t>
            </w:r>
          </w:p>
        </w:tc>
      </w:tr>
      <w:tr w:rsidR="00907A78" w:rsidRPr="00AC713D" w14:paraId="79D1C264" w14:textId="77777777" w:rsidTr="00E4317A">
        <w:trPr>
          <w:trHeight w:val="255"/>
        </w:trPr>
        <w:tc>
          <w:tcPr>
            <w:tcW w:w="3075" w:type="pct"/>
            <w:tcBorders>
              <w:top w:val="nil"/>
              <w:left w:val="nil"/>
              <w:bottom w:val="single" w:sz="4" w:space="0" w:color="9C9D9F"/>
              <w:right w:val="nil"/>
            </w:tcBorders>
            <w:shd w:val="clear" w:color="auto" w:fill="auto"/>
            <w:vAlign w:val="bottom"/>
            <w:hideMark/>
          </w:tcPr>
          <w:p w14:paraId="0132BFD3" w14:textId="77777777" w:rsidR="00907A78" w:rsidRPr="00AC713D" w:rsidRDefault="00907A78" w:rsidP="00907A78">
            <w:pPr>
              <w:spacing w:before="0" w:beforeAutospacing="0" w:after="0" w:afterAutospacing="0"/>
              <w:jc w:val="left"/>
              <w:rPr>
                <w:rFonts w:cs="Arial"/>
                <w:sz w:val="20"/>
                <w:szCs w:val="20"/>
              </w:rPr>
            </w:pPr>
            <w:r w:rsidRPr="00AC713D">
              <w:rPr>
                <w:rFonts w:cs="Arial"/>
                <w:sz w:val="20"/>
                <w:szCs w:val="20"/>
              </w:rPr>
              <w:t>Růst/(pokles) ostatních dlouhodobých závazků</w:t>
            </w:r>
          </w:p>
        </w:tc>
        <w:tc>
          <w:tcPr>
            <w:tcW w:w="963" w:type="pct"/>
            <w:tcBorders>
              <w:top w:val="nil"/>
              <w:left w:val="nil"/>
              <w:bottom w:val="single" w:sz="4" w:space="0" w:color="9C9D9F"/>
              <w:right w:val="nil"/>
            </w:tcBorders>
            <w:shd w:val="clear" w:color="auto" w:fill="auto"/>
            <w:noWrap/>
            <w:vAlign w:val="bottom"/>
            <w:hideMark/>
          </w:tcPr>
          <w:p w14:paraId="12F5B50E" w14:textId="687A0D7C" w:rsidR="00907A78" w:rsidRPr="00AC713D" w:rsidRDefault="00907A78" w:rsidP="00907A78">
            <w:pPr>
              <w:spacing w:before="0" w:beforeAutospacing="0" w:after="0" w:afterAutospacing="0"/>
              <w:ind w:firstLineChars="100" w:firstLine="200"/>
              <w:jc w:val="right"/>
              <w:rPr>
                <w:rFonts w:cs="Arial"/>
                <w:sz w:val="20"/>
                <w:szCs w:val="20"/>
              </w:rPr>
            </w:pPr>
            <w:r w:rsidRPr="00AC713D">
              <w:rPr>
                <w:rFonts w:cs="Arial"/>
                <w:sz w:val="20"/>
                <w:szCs w:val="20"/>
              </w:rPr>
              <w:t>1 103</w:t>
            </w:r>
          </w:p>
        </w:tc>
        <w:tc>
          <w:tcPr>
            <w:tcW w:w="962" w:type="pct"/>
            <w:tcBorders>
              <w:top w:val="nil"/>
              <w:left w:val="nil"/>
              <w:bottom w:val="single" w:sz="4" w:space="0" w:color="9C9D9F"/>
              <w:right w:val="nil"/>
            </w:tcBorders>
            <w:shd w:val="clear" w:color="auto" w:fill="auto"/>
            <w:noWrap/>
            <w:vAlign w:val="bottom"/>
          </w:tcPr>
          <w:p w14:paraId="772FA4CA" w14:textId="32C4FA94" w:rsidR="00907A78" w:rsidRPr="00AC713D" w:rsidRDefault="00907A78" w:rsidP="00907A78">
            <w:pPr>
              <w:spacing w:before="0" w:beforeAutospacing="0" w:after="0" w:afterAutospacing="0"/>
              <w:ind w:firstLineChars="100" w:firstLine="200"/>
              <w:jc w:val="right"/>
              <w:rPr>
                <w:rFonts w:cs="Arial"/>
                <w:sz w:val="20"/>
                <w:szCs w:val="20"/>
              </w:rPr>
            </w:pPr>
            <w:r>
              <w:rPr>
                <w:rFonts w:cs="Arial"/>
                <w:sz w:val="20"/>
                <w:szCs w:val="20"/>
              </w:rPr>
              <w:t>0</w:t>
            </w:r>
          </w:p>
        </w:tc>
      </w:tr>
      <w:tr w:rsidR="00907A78" w:rsidRPr="00AC713D" w14:paraId="3D6D5D51" w14:textId="77777777" w:rsidTr="00E4317A">
        <w:trPr>
          <w:trHeight w:val="255"/>
        </w:trPr>
        <w:tc>
          <w:tcPr>
            <w:tcW w:w="3075" w:type="pct"/>
            <w:tcBorders>
              <w:top w:val="nil"/>
              <w:left w:val="nil"/>
              <w:bottom w:val="single" w:sz="4" w:space="0" w:color="9C9D9F"/>
              <w:right w:val="nil"/>
            </w:tcBorders>
            <w:shd w:val="clear" w:color="auto" w:fill="auto"/>
            <w:vAlign w:val="bottom"/>
            <w:hideMark/>
          </w:tcPr>
          <w:p w14:paraId="7F1B7939" w14:textId="77777777" w:rsidR="00907A78" w:rsidRPr="00AC713D" w:rsidRDefault="00907A78" w:rsidP="00907A78">
            <w:pPr>
              <w:spacing w:before="0" w:beforeAutospacing="0" w:after="0" w:afterAutospacing="0"/>
              <w:jc w:val="left"/>
              <w:rPr>
                <w:rFonts w:cs="Arial"/>
                <w:sz w:val="20"/>
                <w:szCs w:val="20"/>
              </w:rPr>
            </w:pPr>
            <w:r w:rsidRPr="00AC713D">
              <w:rPr>
                <w:rFonts w:cs="Arial"/>
                <w:sz w:val="20"/>
                <w:szCs w:val="20"/>
              </w:rPr>
              <w:t>Nabytí vlastních akcií a ostatní změny v kapitálu</w:t>
            </w:r>
          </w:p>
        </w:tc>
        <w:tc>
          <w:tcPr>
            <w:tcW w:w="963" w:type="pct"/>
            <w:tcBorders>
              <w:top w:val="nil"/>
              <w:left w:val="nil"/>
              <w:bottom w:val="single" w:sz="4" w:space="0" w:color="9C9D9F"/>
              <w:right w:val="nil"/>
            </w:tcBorders>
            <w:shd w:val="clear" w:color="auto" w:fill="auto"/>
            <w:noWrap/>
            <w:vAlign w:val="bottom"/>
            <w:hideMark/>
          </w:tcPr>
          <w:p w14:paraId="5C068C7F" w14:textId="78240C92" w:rsidR="00907A78" w:rsidRPr="00AC713D" w:rsidRDefault="00907A78" w:rsidP="00907A78">
            <w:pPr>
              <w:spacing w:before="0" w:beforeAutospacing="0" w:after="0" w:afterAutospacing="0"/>
              <w:ind w:firstLineChars="100" w:firstLine="200"/>
              <w:jc w:val="right"/>
              <w:rPr>
                <w:rFonts w:cs="Arial"/>
                <w:sz w:val="20"/>
                <w:szCs w:val="20"/>
              </w:rPr>
            </w:pPr>
            <w:r w:rsidRPr="00AC713D">
              <w:rPr>
                <w:rFonts w:cs="Arial"/>
                <w:sz w:val="20"/>
                <w:szCs w:val="20"/>
              </w:rPr>
              <w:t>0</w:t>
            </w:r>
          </w:p>
        </w:tc>
        <w:tc>
          <w:tcPr>
            <w:tcW w:w="962" w:type="pct"/>
            <w:tcBorders>
              <w:top w:val="nil"/>
              <w:left w:val="nil"/>
              <w:bottom w:val="single" w:sz="4" w:space="0" w:color="9C9D9F"/>
              <w:right w:val="nil"/>
            </w:tcBorders>
            <w:shd w:val="clear" w:color="auto" w:fill="auto"/>
            <w:noWrap/>
            <w:vAlign w:val="bottom"/>
          </w:tcPr>
          <w:p w14:paraId="0248C9AB" w14:textId="49CDC4D9" w:rsidR="00907A78" w:rsidRPr="00AC713D" w:rsidRDefault="00907A78" w:rsidP="00907A78">
            <w:pPr>
              <w:spacing w:before="0" w:beforeAutospacing="0" w:after="0" w:afterAutospacing="0"/>
              <w:ind w:firstLineChars="100" w:firstLine="200"/>
              <w:jc w:val="right"/>
              <w:rPr>
                <w:rFonts w:cs="Arial"/>
                <w:sz w:val="20"/>
                <w:szCs w:val="20"/>
              </w:rPr>
            </w:pPr>
            <w:r>
              <w:rPr>
                <w:rFonts w:cs="Arial"/>
                <w:sz w:val="20"/>
                <w:szCs w:val="20"/>
              </w:rPr>
              <w:t>0</w:t>
            </w:r>
          </w:p>
        </w:tc>
      </w:tr>
      <w:tr w:rsidR="00907A78" w:rsidRPr="00AC713D" w14:paraId="5CE52F49" w14:textId="77777777" w:rsidTr="00E4317A">
        <w:trPr>
          <w:trHeight w:val="255"/>
        </w:trPr>
        <w:tc>
          <w:tcPr>
            <w:tcW w:w="3075" w:type="pct"/>
            <w:tcBorders>
              <w:top w:val="nil"/>
              <w:left w:val="nil"/>
              <w:bottom w:val="single" w:sz="4" w:space="0" w:color="9C9D9F"/>
              <w:right w:val="nil"/>
            </w:tcBorders>
            <w:shd w:val="clear" w:color="auto" w:fill="auto"/>
            <w:vAlign w:val="bottom"/>
            <w:hideMark/>
          </w:tcPr>
          <w:p w14:paraId="27A1CF1C" w14:textId="77777777" w:rsidR="00907A78" w:rsidRPr="00AC713D" w:rsidRDefault="00907A78" w:rsidP="00907A78">
            <w:pPr>
              <w:spacing w:before="0" w:beforeAutospacing="0" w:after="0" w:afterAutospacing="0"/>
              <w:jc w:val="left"/>
              <w:rPr>
                <w:rFonts w:cs="Arial"/>
                <w:sz w:val="20"/>
                <w:szCs w:val="20"/>
              </w:rPr>
            </w:pPr>
            <w:r w:rsidRPr="00AC713D">
              <w:rPr>
                <w:rFonts w:cs="Arial"/>
                <w:sz w:val="20"/>
                <w:szCs w:val="20"/>
              </w:rPr>
              <w:t>Distribuce dividendy</w:t>
            </w:r>
          </w:p>
        </w:tc>
        <w:tc>
          <w:tcPr>
            <w:tcW w:w="963" w:type="pct"/>
            <w:tcBorders>
              <w:top w:val="nil"/>
              <w:left w:val="nil"/>
              <w:bottom w:val="single" w:sz="4" w:space="0" w:color="9C9D9F"/>
              <w:right w:val="nil"/>
            </w:tcBorders>
            <w:shd w:val="clear" w:color="auto" w:fill="auto"/>
            <w:noWrap/>
            <w:vAlign w:val="bottom"/>
            <w:hideMark/>
          </w:tcPr>
          <w:p w14:paraId="0593381F" w14:textId="08CA2B47" w:rsidR="00907A78" w:rsidRPr="00AC713D" w:rsidRDefault="00907A78" w:rsidP="00907A78">
            <w:pPr>
              <w:spacing w:before="0" w:beforeAutospacing="0" w:after="0" w:afterAutospacing="0"/>
              <w:ind w:firstLineChars="100" w:firstLine="200"/>
              <w:jc w:val="right"/>
              <w:rPr>
                <w:rFonts w:cs="Arial"/>
                <w:sz w:val="20"/>
                <w:szCs w:val="20"/>
              </w:rPr>
            </w:pPr>
            <w:r w:rsidRPr="00AC713D">
              <w:rPr>
                <w:rFonts w:cs="Arial"/>
                <w:sz w:val="20"/>
                <w:szCs w:val="20"/>
              </w:rPr>
              <w:t>0</w:t>
            </w:r>
          </w:p>
        </w:tc>
        <w:tc>
          <w:tcPr>
            <w:tcW w:w="962" w:type="pct"/>
            <w:tcBorders>
              <w:top w:val="nil"/>
              <w:left w:val="nil"/>
              <w:bottom w:val="single" w:sz="4" w:space="0" w:color="9C9D9F"/>
              <w:right w:val="nil"/>
            </w:tcBorders>
            <w:shd w:val="clear" w:color="auto" w:fill="auto"/>
            <w:noWrap/>
            <w:vAlign w:val="bottom"/>
          </w:tcPr>
          <w:p w14:paraId="7BDCB3A8" w14:textId="7605A4CD" w:rsidR="00907A78" w:rsidRPr="00AC713D" w:rsidRDefault="00907A78" w:rsidP="00907A78">
            <w:pPr>
              <w:spacing w:before="0" w:beforeAutospacing="0" w:after="0" w:afterAutospacing="0"/>
              <w:ind w:firstLineChars="100" w:firstLine="200"/>
              <w:jc w:val="right"/>
              <w:rPr>
                <w:rFonts w:cs="Arial"/>
                <w:sz w:val="20"/>
                <w:szCs w:val="20"/>
              </w:rPr>
            </w:pPr>
            <w:r>
              <w:rPr>
                <w:rFonts w:cs="Arial"/>
                <w:sz w:val="20"/>
                <w:szCs w:val="20"/>
              </w:rPr>
              <w:t>0</w:t>
            </w:r>
          </w:p>
        </w:tc>
      </w:tr>
      <w:tr w:rsidR="00907A78" w:rsidRPr="00AC713D" w14:paraId="42CCE188" w14:textId="77777777" w:rsidTr="00E4317A">
        <w:trPr>
          <w:trHeight w:val="255"/>
        </w:trPr>
        <w:tc>
          <w:tcPr>
            <w:tcW w:w="3075" w:type="pct"/>
            <w:tcBorders>
              <w:top w:val="nil"/>
              <w:left w:val="nil"/>
              <w:bottom w:val="single" w:sz="4" w:space="0" w:color="9C9D9F"/>
              <w:right w:val="nil"/>
            </w:tcBorders>
            <w:shd w:val="clear" w:color="auto" w:fill="auto"/>
            <w:vAlign w:val="bottom"/>
            <w:hideMark/>
          </w:tcPr>
          <w:p w14:paraId="5F53FC14" w14:textId="77777777" w:rsidR="00907A78" w:rsidRPr="00AC713D" w:rsidRDefault="00907A78" w:rsidP="00907A78">
            <w:pPr>
              <w:spacing w:before="0" w:beforeAutospacing="0" w:after="0" w:afterAutospacing="0"/>
              <w:jc w:val="left"/>
              <w:rPr>
                <w:rFonts w:cs="Arial"/>
                <w:sz w:val="20"/>
                <w:szCs w:val="20"/>
              </w:rPr>
            </w:pPr>
            <w:r w:rsidRPr="00AC713D">
              <w:rPr>
                <w:rFonts w:cs="Arial"/>
                <w:sz w:val="20"/>
                <w:szCs w:val="20"/>
              </w:rPr>
              <w:t>Zaplacené úroky</w:t>
            </w:r>
          </w:p>
        </w:tc>
        <w:tc>
          <w:tcPr>
            <w:tcW w:w="963" w:type="pct"/>
            <w:tcBorders>
              <w:top w:val="nil"/>
              <w:left w:val="nil"/>
              <w:bottom w:val="single" w:sz="4" w:space="0" w:color="9C9D9F"/>
              <w:right w:val="nil"/>
            </w:tcBorders>
            <w:shd w:val="clear" w:color="auto" w:fill="auto"/>
            <w:noWrap/>
            <w:vAlign w:val="bottom"/>
            <w:hideMark/>
          </w:tcPr>
          <w:p w14:paraId="33FA6F12" w14:textId="272D2448" w:rsidR="00907A78" w:rsidRPr="00AC713D" w:rsidRDefault="00907A78" w:rsidP="00907A78">
            <w:pPr>
              <w:spacing w:before="0" w:beforeAutospacing="0" w:after="0" w:afterAutospacing="0"/>
              <w:ind w:firstLineChars="100" w:firstLine="200"/>
              <w:jc w:val="right"/>
              <w:rPr>
                <w:rFonts w:cs="Arial"/>
                <w:sz w:val="20"/>
                <w:szCs w:val="20"/>
              </w:rPr>
            </w:pPr>
            <w:r w:rsidRPr="00AC713D">
              <w:rPr>
                <w:rFonts w:cs="Arial"/>
                <w:sz w:val="20"/>
                <w:szCs w:val="20"/>
              </w:rPr>
              <w:t>-22 329</w:t>
            </w:r>
          </w:p>
        </w:tc>
        <w:tc>
          <w:tcPr>
            <w:tcW w:w="962" w:type="pct"/>
            <w:tcBorders>
              <w:top w:val="nil"/>
              <w:left w:val="nil"/>
              <w:bottom w:val="single" w:sz="4" w:space="0" w:color="9C9D9F"/>
              <w:right w:val="nil"/>
            </w:tcBorders>
            <w:shd w:val="clear" w:color="auto" w:fill="auto"/>
            <w:noWrap/>
            <w:vAlign w:val="bottom"/>
          </w:tcPr>
          <w:p w14:paraId="2983DD48" w14:textId="519042DC" w:rsidR="00907A78" w:rsidRPr="00AC713D" w:rsidRDefault="00907A78" w:rsidP="00907A78">
            <w:pPr>
              <w:spacing w:before="0" w:beforeAutospacing="0" w:after="0" w:afterAutospacing="0"/>
              <w:ind w:firstLineChars="100" w:firstLine="200"/>
              <w:jc w:val="right"/>
              <w:rPr>
                <w:rFonts w:cs="Arial"/>
                <w:sz w:val="20"/>
                <w:szCs w:val="20"/>
              </w:rPr>
            </w:pPr>
            <w:r>
              <w:rPr>
                <w:rFonts w:cs="Arial"/>
                <w:sz w:val="20"/>
                <w:szCs w:val="20"/>
              </w:rPr>
              <w:t>-30 398</w:t>
            </w:r>
          </w:p>
        </w:tc>
      </w:tr>
      <w:tr w:rsidR="00907A78" w:rsidRPr="00AC713D" w14:paraId="2E3BAC80" w14:textId="77777777" w:rsidTr="00E4317A">
        <w:trPr>
          <w:trHeight w:val="255"/>
        </w:trPr>
        <w:tc>
          <w:tcPr>
            <w:tcW w:w="3075" w:type="pct"/>
            <w:tcBorders>
              <w:top w:val="nil"/>
              <w:left w:val="nil"/>
              <w:bottom w:val="single" w:sz="4" w:space="0" w:color="9C9D9F"/>
              <w:right w:val="nil"/>
            </w:tcBorders>
            <w:shd w:val="clear" w:color="auto" w:fill="auto"/>
            <w:vAlign w:val="bottom"/>
            <w:hideMark/>
          </w:tcPr>
          <w:p w14:paraId="48F4F818" w14:textId="77777777" w:rsidR="00907A78" w:rsidRPr="00AC713D" w:rsidRDefault="00907A78" w:rsidP="00907A78">
            <w:pPr>
              <w:spacing w:before="0" w:beforeAutospacing="0" w:after="0" w:afterAutospacing="0"/>
              <w:jc w:val="left"/>
              <w:rPr>
                <w:rFonts w:cs="Arial"/>
                <w:sz w:val="20"/>
                <w:szCs w:val="20"/>
              </w:rPr>
            </w:pPr>
            <w:r w:rsidRPr="00AC713D">
              <w:rPr>
                <w:rFonts w:cs="Arial"/>
                <w:sz w:val="20"/>
                <w:szCs w:val="20"/>
              </w:rPr>
              <w:t>Ostatní finanční výnosy/(náklady)</w:t>
            </w:r>
          </w:p>
        </w:tc>
        <w:tc>
          <w:tcPr>
            <w:tcW w:w="963" w:type="pct"/>
            <w:tcBorders>
              <w:top w:val="nil"/>
              <w:left w:val="nil"/>
              <w:bottom w:val="single" w:sz="4" w:space="0" w:color="9C9D9F"/>
              <w:right w:val="nil"/>
            </w:tcBorders>
            <w:shd w:val="clear" w:color="auto" w:fill="auto"/>
            <w:noWrap/>
            <w:vAlign w:val="bottom"/>
            <w:hideMark/>
          </w:tcPr>
          <w:p w14:paraId="78DE9AD0" w14:textId="66B2E6CC" w:rsidR="00907A78" w:rsidRPr="00AC713D" w:rsidRDefault="00907A78" w:rsidP="00907A78">
            <w:pPr>
              <w:spacing w:before="0" w:beforeAutospacing="0" w:after="0" w:afterAutospacing="0"/>
              <w:ind w:firstLineChars="100" w:firstLine="200"/>
              <w:jc w:val="right"/>
              <w:rPr>
                <w:rFonts w:cs="Arial"/>
                <w:sz w:val="20"/>
                <w:szCs w:val="20"/>
              </w:rPr>
            </w:pPr>
            <w:r w:rsidRPr="00AC713D">
              <w:rPr>
                <w:rFonts w:cs="Arial"/>
                <w:sz w:val="20"/>
                <w:szCs w:val="20"/>
              </w:rPr>
              <w:t>0</w:t>
            </w:r>
          </w:p>
        </w:tc>
        <w:tc>
          <w:tcPr>
            <w:tcW w:w="962" w:type="pct"/>
            <w:tcBorders>
              <w:top w:val="nil"/>
              <w:left w:val="nil"/>
              <w:bottom w:val="single" w:sz="4" w:space="0" w:color="9C9D9F"/>
              <w:right w:val="nil"/>
            </w:tcBorders>
            <w:shd w:val="clear" w:color="auto" w:fill="auto"/>
            <w:noWrap/>
            <w:vAlign w:val="bottom"/>
          </w:tcPr>
          <w:p w14:paraId="0EE62590" w14:textId="2661CB77" w:rsidR="00907A78" w:rsidRPr="00AC713D" w:rsidRDefault="00907A78" w:rsidP="00907A78">
            <w:pPr>
              <w:spacing w:before="0" w:beforeAutospacing="0" w:after="0" w:afterAutospacing="0"/>
              <w:ind w:firstLineChars="100" w:firstLine="200"/>
              <w:jc w:val="right"/>
              <w:rPr>
                <w:rFonts w:cs="Arial"/>
                <w:sz w:val="20"/>
                <w:szCs w:val="20"/>
              </w:rPr>
            </w:pPr>
            <w:r>
              <w:rPr>
                <w:rFonts w:cs="Arial"/>
                <w:sz w:val="20"/>
                <w:szCs w:val="20"/>
              </w:rPr>
              <w:t>0</w:t>
            </w:r>
          </w:p>
        </w:tc>
      </w:tr>
      <w:tr w:rsidR="00907A78" w:rsidRPr="00AC713D" w14:paraId="15A57919" w14:textId="77777777" w:rsidTr="00E4317A">
        <w:trPr>
          <w:trHeight w:val="315"/>
        </w:trPr>
        <w:tc>
          <w:tcPr>
            <w:tcW w:w="3075" w:type="pct"/>
            <w:tcBorders>
              <w:top w:val="nil"/>
              <w:left w:val="nil"/>
              <w:bottom w:val="single" w:sz="4" w:space="0" w:color="9C9D9F"/>
              <w:right w:val="nil"/>
            </w:tcBorders>
            <w:shd w:val="clear" w:color="auto" w:fill="auto"/>
            <w:vAlign w:val="bottom"/>
            <w:hideMark/>
          </w:tcPr>
          <w:p w14:paraId="42558444" w14:textId="77777777" w:rsidR="00907A78" w:rsidRPr="00AC713D" w:rsidRDefault="00907A78" w:rsidP="00907A78">
            <w:pPr>
              <w:spacing w:before="0" w:beforeAutospacing="0" w:after="0" w:afterAutospacing="0"/>
              <w:jc w:val="left"/>
              <w:rPr>
                <w:rFonts w:cs="Arial"/>
                <w:b/>
                <w:bCs/>
                <w:sz w:val="20"/>
                <w:szCs w:val="20"/>
              </w:rPr>
            </w:pPr>
            <w:r w:rsidRPr="00AC713D">
              <w:rPr>
                <w:rFonts w:cs="Arial"/>
                <w:b/>
                <w:bCs/>
                <w:sz w:val="20"/>
                <w:szCs w:val="20"/>
              </w:rPr>
              <w:t>Čisté peněžní toky z finanční činnosti</w:t>
            </w:r>
          </w:p>
        </w:tc>
        <w:tc>
          <w:tcPr>
            <w:tcW w:w="963" w:type="pct"/>
            <w:tcBorders>
              <w:top w:val="nil"/>
              <w:left w:val="nil"/>
              <w:bottom w:val="single" w:sz="4" w:space="0" w:color="9C9D9F"/>
              <w:right w:val="nil"/>
            </w:tcBorders>
            <w:shd w:val="clear" w:color="auto" w:fill="auto"/>
            <w:noWrap/>
            <w:vAlign w:val="bottom"/>
            <w:hideMark/>
          </w:tcPr>
          <w:p w14:paraId="65BFEF68" w14:textId="4139961B" w:rsidR="00907A78" w:rsidRPr="00AC713D" w:rsidRDefault="00907A78" w:rsidP="00907A78">
            <w:pPr>
              <w:spacing w:before="0" w:beforeAutospacing="0" w:after="0" w:afterAutospacing="0"/>
              <w:ind w:firstLineChars="100" w:firstLine="201"/>
              <w:jc w:val="right"/>
              <w:rPr>
                <w:rFonts w:cs="Arial"/>
                <w:b/>
                <w:bCs/>
                <w:sz w:val="20"/>
                <w:szCs w:val="20"/>
              </w:rPr>
            </w:pPr>
            <w:r w:rsidRPr="00AC713D">
              <w:rPr>
                <w:rFonts w:cs="Arial"/>
                <w:b/>
                <w:bCs/>
                <w:sz w:val="20"/>
                <w:szCs w:val="20"/>
              </w:rPr>
              <w:t>-584 718</w:t>
            </w:r>
          </w:p>
        </w:tc>
        <w:tc>
          <w:tcPr>
            <w:tcW w:w="962" w:type="pct"/>
            <w:tcBorders>
              <w:top w:val="nil"/>
              <w:left w:val="nil"/>
              <w:bottom w:val="single" w:sz="4" w:space="0" w:color="9C9D9F"/>
              <w:right w:val="nil"/>
            </w:tcBorders>
            <w:shd w:val="clear" w:color="auto" w:fill="auto"/>
            <w:noWrap/>
            <w:vAlign w:val="bottom"/>
          </w:tcPr>
          <w:p w14:paraId="0F50464C" w14:textId="10C74A08" w:rsidR="00907A78" w:rsidRPr="00AC713D" w:rsidRDefault="00907A78" w:rsidP="00907A78">
            <w:pPr>
              <w:spacing w:before="0" w:beforeAutospacing="0" w:after="0" w:afterAutospacing="0"/>
              <w:ind w:firstLineChars="100" w:firstLine="201"/>
              <w:jc w:val="right"/>
              <w:rPr>
                <w:rFonts w:cs="Arial"/>
                <w:b/>
                <w:bCs/>
                <w:sz w:val="20"/>
                <w:szCs w:val="20"/>
              </w:rPr>
            </w:pPr>
            <w:r>
              <w:rPr>
                <w:rFonts w:cs="Arial"/>
                <w:b/>
                <w:bCs/>
                <w:sz w:val="20"/>
                <w:szCs w:val="20"/>
              </w:rPr>
              <w:t>-160 322</w:t>
            </w:r>
          </w:p>
        </w:tc>
      </w:tr>
      <w:tr w:rsidR="00907A78" w:rsidRPr="00AC713D" w14:paraId="7E3B349E" w14:textId="77777777" w:rsidTr="00E4317A">
        <w:trPr>
          <w:trHeight w:val="135"/>
        </w:trPr>
        <w:tc>
          <w:tcPr>
            <w:tcW w:w="3075" w:type="pct"/>
            <w:tcBorders>
              <w:top w:val="nil"/>
              <w:left w:val="nil"/>
              <w:bottom w:val="nil"/>
              <w:right w:val="nil"/>
            </w:tcBorders>
            <w:shd w:val="clear" w:color="auto" w:fill="auto"/>
            <w:vAlign w:val="bottom"/>
            <w:hideMark/>
          </w:tcPr>
          <w:p w14:paraId="0823835C" w14:textId="77777777" w:rsidR="00907A78" w:rsidRPr="00AC713D" w:rsidRDefault="00907A78" w:rsidP="00907A78">
            <w:pPr>
              <w:spacing w:before="0" w:beforeAutospacing="0" w:after="0" w:afterAutospacing="0"/>
              <w:ind w:firstLineChars="100" w:firstLine="201"/>
              <w:jc w:val="right"/>
              <w:rPr>
                <w:rFonts w:cs="Arial"/>
                <w:b/>
                <w:bCs/>
                <w:sz w:val="20"/>
                <w:szCs w:val="20"/>
              </w:rPr>
            </w:pPr>
          </w:p>
        </w:tc>
        <w:tc>
          <w:tcPr>
            <w:tcW w:w="963" w:type="pct"/>
            <w:tcBorders>
              <w:top w:val="nil"/>
              <w:left w:val="nil"/>
              <w:bottom w:val="nil"/>
              <w:right w:val="nil"/>
            </w:tcBorders>
            <w:shd w:val="clear" w:color="auto" w:fill="auto"/>
            <w:noWrap/>
            <w:vAlign w:val="bottom"/>
            <w:hideMark/>
          </w:tcPr>
          <w:p w14:paraId="55731AA4" w14:textId="77777777" w:rsidR="00907A78" w:rsidRPr="00AC713D" w:rsidRDefault="00907A78" w:rsidP="00907A78">
            <w:pPr>
              <w:spacing w:before="0" w:beforeAutospacing="0" w:after="0" w:afterAutospacing="0"/>
              <w:jc w:val="left"/>
              <w:rPr>
                <w:rFonts w:cs="Arial"/>
                <w:sz w:val="20"/>
                <w:szCs w:val="20"/>
              </w:rPr>
            </w:pPr>
          </w:p>
        </w:tc>
        <w:tc>
          <w:tcPr>
            <w:tcW w:w="962" w:type="pct"/>
            <w:tcBorders>
              <w:top w:val="nil"/>
              <w:left w:val="nil"/>
              <w:bottom w:val="nil"/>
              <w:right w:val="nil"/>
            </w:tcBorders>
            <w:shd w:val="clear" w:color="auto" w:fill="auto"/>
            <w:noWrap/>
            <w:vAlign w:val="bottom"/>
          </w:tcPr>
          <w:p w14:paraId="3BD1E496" w14:textId="77777777" w:rsidR="00907A78" w:rsidRPr="00AC713D" w:rsidRDefault="00907A78" w:rsidP="00907A78">
            <w:pPr>
              <w:spacing w:before="0" w:beforeAutospacing="0" w:after="0" w:afterAutospacing="0"/>
              <w:ind w:firstLineChars="100" w:firstLine="200"/>
              <w:jc w:val="right"/>
              <w:rPr>
                <w:rFonts w:cs="Arial"/>
                <w:sz w:val="20"/>
                <w:szCs w:val="20"/>
              </w:rPr>
            </w:pPr>
          </w:p>
        </w:tc>
      </w:tr>
      <w:tr w:rsidR="00907A78" w:rsidRPr="00AC713D" w14:paraId="44913B64" w14:textId="77777777" w:rsidTr="00E4317A">
        <w:trPr>
          <w:trHeight w:val="255"/>
        </w:trPr>
        <w:tc>
          <w:tcPr>
            <w:tcW w:w="3075" w:type="pct"/>
            <w:tcBorders>
              <w:top w:val="nil"/>
              <w:left w:val="nil"/>
              <w:bottom w:val="single" w:sz="4" w:space="0" w:color="9C9D9F"/>
              <w:right w:val="nil"/>
            </w:tcBorders>
            <w:shd w:val="clear" w:color="auto" w:fill="auto"/>
            <w:vAlign w:val="bottom"/>
            <w:hideMark/>
          </w:tcPr>
          <w:p w14:paraId="405E8157" w14:textId="77777777" w:rsidR="00907A78" w:rsidRPr="00AC713D" w:rsidRDefault="00907A78" w:rsidP="00907A78">
            <w:pPr>
              <w:spacing w:before="0" w:beforeAutospacing="0" w:after="0" w:afterAutospacing="0"/>
              <w:jc w:val="left"/>
              <w:rPr>
                <w:rFonts w:cs="Arial"/>
                <w:sz w:val="20"/>
                <w:szCs w:val="20"/>
              </w:rPr>
            </w:pPr>
            <w:r w:rsidRPr="00AC713D">
              <w:rPr>
                <w:rFonts w:cs="Arial"/>
                <w:sz w:val="20"/>
                <w:szCs w:val="20"/>
              </w:rPr>
              <w:t>Peněžní prostředky a peněžní ekvivalenty na počátku účetního období</w:t>
            </w:r>
          </w:p>
        </w:tc>
        <w:tc>
          <w:tcPr>
            <w:tcW w:w="963" w:type="pct"/>
            <w:tcBorders>
              <w:top w:val="nil"/>
              <w:left w:val="nil"/>
              <w:bottom w:val="single" w:sz="4" w:space="0" w:color="9C9D9F"/>
              <w:right w:val="nil"/>
            </w:tcBorders>
            <w:shd w:val="clear" w:color="auto" w:fill="auto"/>
            <w:noWrap/>
            <w:vAlign w:val="bottom"/>
            <w:hideMark/>
          </w:tcPr>
          <w:p w14:paraId="0494CED6" w14:textId="16E2617A" w:rsidR="00907A78" w:rsidRPr="00AC713D" w:rsidRDefault="00907A78" w:rsidP="00907A78">
            <w:pPr>
              <w:spacing w:before="0" w:beforeAutospacing="0" w:after="0" w:afterAutospacing="0"/>
              <w:ind w:firstLineChars="100" w:firstLine="200"/>
              <w:jc w:val="right"/>
              <w:rPr>
                <w:rFonts w:cs="Arial"/>
                <w:sz w:val="20"/>
                <w:szCs w:val="20"/>
              </w:rPr>
            </w:pPr>
            <w:r w:rsidRPr="00AC713D">
              <w:rPr>
                <w:rFonts w:cs="Arial"/>
                <w:sz w:val="20"/>
                <w:szCs w:val="20"/>
              </w:rPr>
              <w:t>400 134</w:t>
            </w:r>
          </w:p>
        </w:tc>
        <w:tc>
          <w:tcPr>
            <w:tcW w:w="962" w:type="pct"/>
            <w:tcBorders>
              <w:top w:val="nil"/>
              <w:left w:val="nil"/>
              <w:bottom w:val="single" w:sz="4" w:space="0" w:color="9C9D9F"/>
              <w:right w:val="nil"/>
            </w:tcBorders>
            <w:shd w:val="clear" w:color="auto" w:fill="auto"/>
            <w:noWrap/>
            <w:vAlign w:val="bottom"/>
          </w:tcPr>
          <w:p w14:paraId="5BCF8E41" w14:textId="486FD86B" w:rsidR="00907A78" w:rsidRPr="00AC713D" w:rsidRDefault="00907A78" w:rsidP="00907A78">
            <w:pPr>
              <w:spacing w:before="0" w:beforeAutospacing="0" w:after="0" w:afterAutospacing="0"/>
              <w:ind w:firstLineChars="100" w:firstLine="200"/>
              <w:jc w:val="right"/>
              <w:rPr>
                <w:rFonts w:cs="Arial"/>
                <w:sz w:val="20"/>
                <w:szCs w:val="20"/>
              </w:rPr>
            </w:pPr>
            <w:r>
              <w:rPr>
                <w:rFonts w:cs="Arial"/>
                <w:sz w:val="20"/>
                <w:szCs w:val="20"/>
              </w:rPr>
              <w:t>202 534</w:t>
            </w:r>
          </w:p>
        </w:tc>
      </w:tr>
      <w:tr w:rsidR="00907A78" w:rsidRPr="00AC713D" w14:paraId="1D809109" w14:textId="77777777" w:rsidTr="00E4317A">
        <w:trPr>
          <w:trHeight w:val="255"/>
        </w:trPr>
        <w:tc>
          <w:tcPr>
            <w:tcW w:w="3075" w:type="pct"/>
            <w:tcBorders>
              <w:top w:val="nil"/>
              <w:left w:val="nil"/>
              <w:bottom w:val="single" w:sz="4" w:space="0" w:color="9C9D9F"/>
              <w:right w:val="nil"/>
            </w:tcBorders>
            <w:shd w:val="clear" w:color="auto" w:fill="auto"/>
            <w:vAlign w:val="bottom"/>
            <w:hideMark/>
          </w:tcPr>
          <w:p w14:paraId="12A034C3" w14:textId="77777777" w:rsidR="00907A78" w:rsidRPr="00AC713D" w:rsidRDefault="00907A78" w:rsidP="00907A78">
            <w:pPr>
              <w:spacing w:before="0" w:beforeAutospacing="0" w:after="0" w:afterAutospacing="0"/>
              <w:jc w:val="left"/>
              <w:rPr>
                <w:rFonts w:cs="Arial"/>
                <w:sz w:val="20"/>
                <w:szCs w:val="20"/>
              </w:rPr>
            </w:pPr>
            <w:r w:rsidRPr="00AC713D">
              <w:rPr>
                <w:rFonts w:cs="Arial"/>
                <w:sz w:val="20"/>
                <w:szCs w:val="20"/>
              </w:rPr>
              <w:t>Čistý přírůstek (úbytek) peněžních prostředků a peněžních ekvivalentů</w:t>
            </w:r>
          </w:p>
        </w:tc>
        <w:tc>
          <w:tcPr>
            <w:tcW w:w="963" w:type="pct"/>
            <w:tcBorders>
              <w:top w:val="nil"/>
              <w:left w:val="nil"/>
              <w:bottom w:val="single" w:sz="4" w:space="0" w:color="9C9D9F"/>
              <w:right w:val="nil"/>
            </w:tcBorders>
            <w:shd w:val="clear" w:color="auto" w:fill="auto"/>
            <w:noWrap/>
            <w:vAlign w:val="bottom"/>
            <w:hideMark/>
          </w:tcPr>
          <w:p w14:paraId="2714D09E" w14:textId="0B65099B" w:rsidR="00907A78" w:rsidRPr="00AC713D" w:rsidRDefault="00907A78" w:rsidP="00907A78">
            <w:pPr>
              <w:spacing w:before="0" w:beforeAutospacing="0" w:after="0" w:afterAutospacing="0"/>
              <w:ind w:firstLineChars="100" w:firstLine="200"/>
              <w:jc w:val="right"/>
              <w:rPr>
                <w:rFonts w:cs="Arial"/>
                <w:sz w:val="20"/>
                <w:szCs w:val="20"/>
              </w:rPr>
            </w:pPr>
            <w:r w:rsidRPr="00AC713D">
              <w:rPr>
                <w:rFonts w:cs="Arial"/>
                <w:sz w:val="20"/>
                <w:szCs w:val="20"/>
              </w:rPr>
              <w:t>-80 623</w:t>
            </w:r>
          </w:p>
        </w:tc>
        <w:tc>
          <w:tcPr>
            <w:tcW w:w="962" w:type="pct"/>
            <w:tcBorders>
              <w:top w:val="nil"/>
              <w:left w:val="nil"/>
              <w:bottom w:val="single" w:sz="4" w:space="0" w:color="9C9D9F"/>
              <w:right w:val="nil"/>
            </w:tcBorders>
            <w:shd w:val="clear" w:color="auto" w:fill="auto"/>
            <w:noWrap/>
            <w:vAlign w:val="bottom"/>
          </w:tcPr>
          <w:p w14:paraId="64940494" w14:textId="188FDFEA" w:rsidR="00907A78" w:rsidRPr="00AC713D" w:rsidRDefault="0092561B" w:rsidP="00907A78">
            <w:pPr>
              <w:spacing w:before="0" w:beforeAutospacing="0" w:after="0" w:afterAutospacing="0"/>
              <w:ind w:firstLineChars="100" w:firstLine="200"/>
              <w:jc w:val="right"/>
              <w:rPr>
                <w:rFonts w:cs="Arial"/>
                <w:sz w:val="20"/>
                <w:szCs w:val="20"/>
              </w:rPr>
            </w:pPr>
            <w:r>
              <w:rPr>
                <w:rFonts w:cs="Arial"/>
                <w:sz w:val="20"/>
                <w:szCs w:val="20"/>
              </w:rPr>
              <w:t>47 500</w:t>
            </w:r>
          </w:p>
        </w:tc>
      </w:tr>
      <w:tr w:rsidR="00907A78" w:rsidRPr="00AC713D" w14:paraId="188530C7" w14:textId="77777777" w:rsidTr="00E4317A">
        <w:trPr>
          <w:trHeight w:val="135"/>
        </w:trPr>
        <w:tc>
          <w:tcPr>
            <w:tcW w:w="3075" w:type="pct"/>
            <w:tcBorders>
              <w:top w:val="nil"/>
              <w:left w:val="nil"/>
              <w:bottom w:val="nil"/>
              <w:right w:val="nil"/>
            </w:tcBorders>
            <w:shd w:val="clear" w:color="auto" w:fill="auto"/>
            <w:vAlign w:val="bottom"/>
            <w:hideMark/>
          </w:tcPr>
          <w:p w14:paraId="6848D5FE" w14:textId="77777777" w:rsidR="00907A78" w:rsidRPr="00AC713D" w:rsidRDefault="00907A78" w:rsidP="00907A78">
            <w:pPr>
              <w:spacing w:before="0" w:beforeAutospacing="0" w:after="0" w:afterAutospacing="0"/>
              <w:ind w:firstLineChars="100" w:firstLine="200"/>
              <w:jc w:val="right"/>
              <w:rPr>
                <w:rFonts w:cs="Arial"/>
                <w:sz w:val="20"/>
                <w:szCs w:val="20"/>
              </w:rPr>
            </w:pPr>
          </w:p>
        </w:tc>
        <w:tc>
          <w:tcPr>
            <w:tcW w:w="963" w:type="pct"/>
            <w:tcBorders>
              <w:top w:val="nil"/>
              <w:left w:val="nil"/>
              <w:bottom w:val="nil"/>
              <w:right w:val="nil"/>
            </w:tcBorders>
            <w:shd w:val="clear" w:color="auto" w:fill="auto"/>
            <w:noWrap/>
            <w:vAlign w:val="bottom"/>
            <w:hideMark/>
          </w:tcPr>
          <w:p w14:paraId="4D46554D" w14:textId="77777777" w:rsidR="00907A78" w:rsidRPr="00AC713D" w:rsidRDefault="00907A78" w:rsidP="00907A78">
            <w:pPr>
              <w:spacing w:before="0" w:beforeAutospacing="0" w:after="0" w:afterAutospacing="0"/>
              <w:jc w:val="left"/>
              <w:rPr>
                <w:rFonts w:cs="Arial"/>
                <w:sz w:val="20"/>
                <w:szCs w:val="20"/>
              </w:rPr>
            </w:pPr>
          </w:p>
        </w:tc>
        <w:tc>
          <w:tcPr>
            <w:tcW w:w="962" w:type="pct"/>
            <w:tcBorders>
              <w:top w:val="nil"/>
              <w:left w:val="nil"/>
              <w:bottom w:val="nil"/>
              <w:right w:val="nil"/>
            </w:tcBorders>
            <w:shd w:val="clear" w:color="auto" w:fill="auto"/>
            <w:noWrap/>
            <w:vAlign w:val="bottom"/>
          </w:tcPr>
          <w:p w14:paraId="1E43579F" w14:textId="77777777" w:rsidR="00907A78" w:rsidRPr="00AC713D" w:rsidRDefault="00907A78" w:rsidP="00907A78">
            <w:pPr>
              <w:spacing w:before="0" w:beforeAutospacing="0" w:after="0" w:afterAutospacing="0"/>
              <w:ind w:firstLineChars="100" w:firstLine="200"/>
              <w:jc w:val="right"/>
              <w:rPr>
                <w:rFonts w:cs="Arial"/>
                <w:sz w:val="20"/>
                <w:szCs w:val="20"/>
              </w:rPr>
            </w:pPr>
          </w:p>
        </w:tc>
      </w:tr>
      <w:tr w:rsidR="00907A78" w:rsidRPr="00AC713D" w14:paraId="59CF0315" w14:textId="77777777" w:rsidTr="00E4317A">
        <w:trPr>
          <w:trHeight w:val="255"/>
        </w:trPr>
        <w:tc>
          <w:tcPr>
            <w:tcW w:w="3075" w:type="pct"/>
            <w:tcBorders>
              <w:top w:val="nil"/>
              <w:left w:val="nil"/>
              <w:bottom w:val="single" w:sz="4" w:space="0" w:color="9C9D9F"/>
              <w:right w:val="nil"/>
            </w:tcBorders>
            <w:shd w:val="clear" w:color="auto" w:fill="auto"/>
            <w:vAlign w:val="bottom"/>
            <w:hideMark/>
          </w:tcPr>
          <w:p w14:paraId="48ACF6BE" w14:textId="77777777" w:rsidR="00907A78" w:rsidRPr="00AC713D" w:rsidRDefault="00907A78" w:rsidP="00907A78">
            <w:pPr>
              <w:spacing w:before="0" w:beforeAutospacing="0" w:after="0" w:afterAutospacing="0"/>
              <w:jc w:val="left"/>
              <w:rPr>
                <w:rFonts w:cs="Arial"/>
                <w:b/>
                <w:bCs/>
                <w:sz w:val="20"/>
                <w:szCs w:val="20"/>
              </w:rPr>
            </w:pPr>
            <w:r w:rsidRPr="00AC713D">
              <w:rPr>
                <w:rFonts w:cs="Arial"/>
                <w:b/>
                <w:bCs/>
                <w:sz w:val="20"/>
                <w:szCs w:val="20"/>
              </w:rPr>
              <w:t>Peněžní prostředky a peněžní ekvivalenty na konci účetního období</w:t>
            </w:r>
          </w:p>
        </w:tc>
        <w:tc>
          <w:tcPr>
            <w:tcW w:w="963" w:type="pct"/>
            <w:tcBorders>
              <w:top w:val="nil"/>
              <w:left w:val="nil"/>
              <w:bottom w:val="single" w:sz="4" w:space="0" w:color="9C9D9F"/>
              <w:right w:val="nil"/>
            </w:tcBorders>
            <w:shd w:val="clear" w:color="auto" w:fill="auto"/>
            <w:noWrap/>
            <w:vAlign w:val="bottom"/>
            <w:hideMark/>
          </w:tcPr>
          <w:p w14:paraId="2E82B68F" w14:textId="0F254643" w:rsidR="00907A78" w:rsidRPr="00AC713D" w:rsidRDefault="00907A78" w:rsidP="00907A78">
            <w:pPr>
              <w:spacing w:before="0" w:beforeAutospacing="0" w:after="0" w:afterAutospacing="0"/>
              <w:ind w:firstLineChars="100" w:firstLine="201"/>
              <w:jc w:val="right"/>
              <w:rPr>
                <w:rFonts w:cs="Arial"/>
                <w:b/>
                <w:bCs/>
                <w:sz w:val="20"/>
                <w:szCs w:val="20"/>
              </w:rPr>
            </w:pPr>
            <w:r w:rsidRPr="00AC713D">
              <w:rPr>
                <w:rFonts w:cs="Arial"/>
                <w:b/>
                <w:bCs/>
                <w:sz w:val="20"/>
                <w:szCs w:val="20"/>
              </w:rPr>
              <w:t>319 511</w:t>
            </w:r>
          </w:p>
        </w:tc>
        <w:tc>
          <w:tcPr>
            <w:tcW w:w="962" w:type="pct"/>
            <w:tcBorders>
              <w:top w:val="nil"/>
              <w:left w:val="nil"/>
              <w:bottom w:val="single" w:sz="4" w:space="0" w:color="9C9D9F"/>
              <w:right w:val="nil"/>
            </w:tcBorders>
            <w:shd w:val="clear" w:color="auto" w:fill="auto"/>
            <w:noWrap/>
            <w:vAlign w:val="bottom"/>
          </w:tcPr>
          <w:p w14:paraId="67A25620" w14:textId="628DE4DB" w:rsidR="00907A78" w:rsidRPr="00AC713D" w:rsidRDefault="0092561B" w:rsidP="00907A78">
            <w:pPr>
              <w:spacing w:before="0" w:beforeAutospacing="0" w:after="0" w:afterAutospacing="0"/>
              <w:ind w:firstLineChars="100" w:firstLine="201"/>
              <w:jc w:val="right"/>
              <w:rPr>
                <w:rFonts w:cs="Arial"/>
                <w:b/>
                <w:bCs/>
                <w:sz w:val="20"/>
                <w:szCs w:val="20"/>
              </w:rPr>
            </w:pPr>
            <w:r>
              <w:rPr>
                <w:rFonts w:cs="Arial"/>
                <w:b/>
                <w:bCs/>
                <w:sz w:val="20"/>
                <w:szCs w:val="20"/>
              </w:rPr>
              <w:t>250 034</w:t>
            </w:r>
          </w:p>
        </w:tc>
      </w:tr>
    </w:tbl>
    <w:p w14:paraId="7FF5408C" w14:textId="77777777" w:rsidR="000C292F" w:rsidRPr="00AC713D" w:rsidRDefault="000C292F" w:rsidP="000C292F">
      <w:pPr>
        <w:rPr>
          <w:rFonts w:cs="Arial"/>
        </w:rPr>
      </w:pPr>
    </w:p>
    <w:p w14:paraId="7EBA26D4" w14:textId="77777777" w:rsidR="000C292F" w:rsidRPr="00AC713D" w:rsidRDefault="000C292F" w:rsidP="000C292F">
      <w:pPr>
        <w:rPr>
          <w:rFonts w:cs="Arial"/>
        </w:rPr>
      </w:pPr>
    </w:p>
    <w:p w14:paraId="2B5C99D4" w14:textId="77777777" w:rsidR="009603DE" w:rsidRPr="00AC713D" w:rsidRDefault="009603DE">
      <w:pPr>
        <w:spacing w:before="0" w:beforeAutospacing="0" w:after="160" w:afterAutospacing="0" w:line="259" w:lineRule="auto"/>
        <w:jc w:val="left"/>
        <w:rPr>
          <w:rFonts w:cs="Arial"/>
          <w:b/>
          <w:bCs/>
          <w:kern w:val="32"/>
          <w:sz w:val="28"/>
          <w:szCs w:val="28"/>
        </w:rPr>
      </w:pPr>
      <w:bookmarkStart w:id="99" w:name="_Toc269295563"/>
      <w:bookmarkStart w:id="100" w:name="_Toc269907502"/>
      <w:r w:rsidRPr="00AC713D">
        <w:rPr>
          <w:rFonts w:cs="Arial"/>
        </w:rPr>
        <w:br w:type="page"/>
      </w:r>
    </w:p>
    <w:p w14:paraId="6656EDE7" w14:textId="1AF7B161" w:rsidR="000C292F" w:rsidRPr="00AC713D" w:rsidRDefault="000C292F" w:rsidP="000C292F">
      <w:pPr>
        <w:pStyle w:val="Nadpis2"/>
        <w:rPr>
          <w:rFonts w:cs="Arial"/>
        </w:rPr>
      </w:pPr>
      <w:bookmarkStart w:id="101" w:name="_Toc47644472"/>
      <w:r w:rsidRPr="00AC713D">
        <w:rPr>
          <w:rFonts w:cs="Arial"/>
        </w:rPr>
        <w:lastRenderedPageBreak/>
        <w:t>Konsolidovaný přehled o změnách vlastního kapitálu ve zkrácené podobě</w:t>
      </w:r>
      <w:bookmarkEnd w:id="99"/>
      <w:bookmarkEnd w:id="100"/>
      <w:bookmarkEnd w:id="101"/>
    </w:p>
    <w:p w14:paraId="2FF195EE" w14:textId="77777777" w:rsidR="000C292F" w:rsidRPr="00AC713D" w:rsidRDefault="000C292F" w:rsidP="000C292F">
      <w:pPr>
        <w:rPr>
          <w:rFonts w:cs="Arial"/>
        </w:rPr>
      </w:pPr>
    </w:p>
    <w:tbl>
      <w:tblPr>
        <w:tblW w:w="5139" w:type="pct"/>
        <w:tblInd w:w="-144" w:type="dxa"/>
        <w:tblLayout w:type="fixed"/>
        <w:tblCellMar>
          <w:left w:w="0" w:type="dxa"/>
          <w:right w:w="0" w:type="dxa"/>
        </w:tblCellMar>
        <w:tblLook w:val="0000" w:firstRow="0" w:lastRow="0" w:firstColumn="0" w:lastColumn="0" w:noHBand="0" w:noVBand="0"/>
      </w:tblPr>
      <w:tblGrid>
        <w:gridCol w:w="1742"/>
        <w:gridCol w:w="1223"/>
        <w:gridCol w:w="1414"/>
        <w:gridCol w:w="1223"/>
        <w:gridCol w:w="1223"/>
        <w:gridCol w:w="1223"/>
        <w:gridCol w:w="1276"/>
      </w:tblGrid>
      <w:tr w:rsidR="00E4317A" w:rsidRPr="00AC713D" w14:paraId="2B195036" w14:textId="77777777" w:rsidTr="00424B97">
        <w:trPr>
          <w:trHeight w:val="255"/>
        </w:trPr>
        <w:tc>
          <w:tcPr>
            <w:tcW w:w="934" w:type="pct"/>
            <w:shd w:val="clear" w:color="auto" w:fill="2A7FC6"/>
            <w:noWrap/>
            <w:vAlign w:val="center"/>
          </w:tcPr>
          <w:p w14:paraId="62118B39" w14:textId="77777777" w:rsidR="00E4317A" w:rsidRPr="00AC713D" w:rsidRDefault="00E4317A" w:rsidP="00E431E6">
            <w:pPr>
              <w:jc w:val="center"/>
              <w:rPr>
                <w:rFonts w:cs="Arial"/>
                <w:b/>
                <w:color w:val="FFFFFF" w:themeColor="background1"/>
                <w:sz w:val="20"/>
                <w:szCs w:val="20"/>
              </w:rPr>
            </w:pPr>
            <w:r w:rsidRPr="00AC713D">
              <w:rPr>
                <w:rFonts w:cs="Arial"/>
                <w:b/>
                <w:bCs/>
                <w:color w:val="FFFFFF"/>
                <w:sz w:val="20"/>
                <w:szCs w:val="20"/>
                <w:lang w:eastAsia="en-US"/>
              </w:rPr>
              <w:t>v tis. Kč</w:t>
            </w:r>
          </w:p>
        </w:tc>
        <w:tc>
          <w:tcPr>
            <w:tcW w:w="656" w:type="pct"/>
            <w:shd w:val="clear" w:color="auto" w:fill="2A7FC6"/>
            <w:noWrap/>
            <w:vAlign w:val="center"/>
          </w:tcPr>
          <w:p w14:paraId="5616F9A6" w14:textId="77777777" w:rsidR="00E4317A" w:rsidRPr="00AC713D" w:rsidRDefault="00E4317A" w:rsidP="00E431E6">
            <w:pPr>
              <w:jc w:val="center"/>
              <w:rPr>
                <w:rFonts w:cs="Arial"/>
                <w:b/>
                <w:color w:val="FFFFFF" w:themeColor="background1"/>
                <w:sz w:val="20"/>
                <w:szCs w:val="20"/>
              </w:rPr>
            </w:pPr>
            <w:r w:rsidRPr="00AC713D">
              <w:rPr>
                <w:rFonts w:cs="Arial"/>
                <w:b/>
                <w:color w:val="FFFFFF" w:themeColor="background1"/>
                <w:sz w:val="20"/>
                <w:szCs w:val="20"/>
              </w:rPr>
              <w:t>Základní kapitál</w:t>
            </w:r>
          </w:p>
        </w:tc>
        <w:tc>
          <w:tcPr>
            <w:tcW w:w="758" w:type="pct"/>
            <w:shd w:val="clear" w:color="auto" w:fill="2A7FC6"/>
            <w:vAlign w:val="center"/>
          </w:tcPr>
          <w:p w14:paraId="4A743D61" w14:textId="77777777" w:rsidR="00E4317A" w:rsidRPr="00AC713D" w:rsidRDefault="00E4317A" w:rsidP="00E431E6">
            <w:pPr>
              <w:jc w:val="center"/>
              <w:rPr>
                <w:rFonts w:cs="Arial"/>
                <w:b/>
                <w:color w:val="FFFFFF" w:themeColor="background1"/>
                <w:sz w:val="20"/>
                <w:szCs w:val="20"/>
              </w:rPr>
            </w:pPr>
            <w:r w:rsidRPr="00AC713D">
              <w:rPr>
                <w:rFonts w:cs="Arial"/>
                <w:b/>
                <w:color w:val="FFFFFF" w:themeColor="background1"/>
                <w:sz w:val="20"/>
                <w:szCs w:val="20"/>
              </w:rPr>
              <w:t>Zákonný rezervní fond a ostatní rezervy</w:t>
            </w:r>
          </w:p>
        </w:tc>
        <w:tc>
          <w:tcPr>
            <w:tcW w:w="656" w:type="pct"/>
            <w:shd w:val="clear" w:color="auto" w:fill="2A7FC6"/>
            <w:vAlign w:val="center"/>
          </w:tcPr>
          <w:p w14:paraId="4FB97926" w14:textId="77777777" w:rsidR="00E4317A" w:rsidRPr="00AC713D" w:rsidRDefault="00E4317A" w:rsidP="00E431E6">
            <w:pPr>
              <w:jc w:val="center"/>
              <w:rPr>
                <w:rFonts w:cs="Arial"/>
                <w:b/>
                <w:color w:val="FFFFFF" w:themeColor="background1"/>
                <w:sz w:val="20"/>
                <w:szCs w:val="20"/>
              </w:rPr>
            </w:pPr>
            <w:r w:rsidRPr="00AC713D">
              <w:rPr>
                <w:rFonts w:cs="Arial"/>
                <w:b/>
                <w:color w:val="FFFFFF" w:themeColor="background1"/>
                <w:sz w:val="20"/>
                <w:szCs w:val="20"/>
              </w:rPr>
              <w:t>Rozdíly z přepočtu</w:t>
            </w:r>
          </w:p>
        </w:tc>
        <w:tc>
          <w:tcPr>
            <w:tcW w:w="656" w:type="pct"/>
            <w:shd w:val="clear" w:color="auto" w:fill="2A7FC6"/>
            <w:vAlign w:val="center"/>
          </w:tcPr>
          <w:p w14:paraId="196995DA" w14:textId="77777777" w:rsidR="00E4317A" w:rsidRPr="00AC713D" w:rsidRDefault="00E4317A" w:rsidP="00E431E6">
            <w:pPr>
              <w:jc w:val="center"/>
              <w:rPr>
                <w:rFonts w:cs="Arial"/>
                <w:b/>
                <w:color w:val="FFFFFF" w:themeColor="background1"/>
                <w:sz w:val="20"/>
                <w:szCs w:val="20"/>
              </w:rPr>
            </w:pPr>
            <w:r w:rsidRPr="00AC713D">
              <w:rPr>
                <w:rFonts w:cs="Arial"/>
                <w:b/>
                <w:color w:val="FFFFFF" w:themeColor="background1"/>
                <w:sz w:val="20"/>
                <w:szCs w:val="20"/>
              </w:rPr>
              <w:t>Zajištění peněžních toků</w:t>
            </w:r>
          </w:p>
        </w:tc>
        <w:tc>
          <w:tcPr>
            <w:tcW w:w="656" w:type="pct"/>
            <w:shd w:val="clear" w:color="auto" w:fill="2A7FC6"/>
            <w:noWrap/>
            <w:vAlign w:val="center"/>
          </w:tcPr>
          <w:p w14:paraId="02A68705" w14:textId="77777777" w:rsidR="00E4317A" w:rsidRPr="00AC713D" w:rsidRDefault="00E4317A" w:rsidP="00E431E6">
            <w:pPr>
              <w:jc w:val="center"/>
              <w:rPr>
                <w:rFonts w:cs="Arial"/>
                <w:b/>
                <w:color w:val="FFFFFF" w:themeColor="background1"/>
                <w:sz w:val="20"/>
                <w:szCs w:val="20"/>
              </w:rPr>
            </w:pPr>
            <w:r w:rsidRPr="00AC713D">
              <w:rPr>
                <w:rFonts w:cs="Arial"/>
                <w:b/>
                <w:color w:val="FFFFFF" w:themeColor="background1"/>
                <w:sz w:val="20"/>
                <w:szCs w:val="20"/>
              </w:rPr>
              <w:t>Nerozdělený zisk</w:t>
            </w:r>
          </w:p>
        </w:tc>
        <w:tc>
          <w:tcPr>
            <w:tcW w:w="685" w:type="pct"/>
            <w:shd w:val="clear" w:color="auto" w:fill="2A7FC6"/>
            <w:vAlign w:val="center"/>
          </w:tcPr>
          <w:p w14:paraId="49966E7B" w14:textId="77777777" w:rsidR="00E4317A" w:rsidRPr="00AC713D" w:rsidRDefault="00E4317A" w:rsidP="00E431E6">
            <w:pPr>
              <w:jc w:val="center"/>
              <w:rPr>
                <w:rFonts w:cs="Arial"/>
                <w:b/>
                <w:color w:val="FFFFFF" w:themeColor="background1"/>
                <w:sz w:val="20"/>
                <w:szCs w:val="20"/>
              </w:rPr>
            </w:pPr>
            <w:r w:rsidRPr="00AC713D">
              <w:rPr>
                <w:rFonts w:cs="Arial"/>
                <w:b/>
                <w:color w:val="FFFFFF" w:themeColor="background1"/>
                <w:sz w:val="20"/>
                <w:szCs w:val="20"/>
              </w:rPr>
              <w:t>Základní kapitál a rezervní fondy celkem</w:t>
            </w:r>
          </w:p>
        </w:tc>
      </w:tr>
      <w:tr w:rsidR="00E4317A" w:rsidRPr="00AC713D" w14:paraId="74200ED7" w14:textId="77777777" w:rsidTr="00424B97">
        <w:trPr>
          <w:trHeight w:val="20"/>
        </w:trPr>
        <w:tc>
          <w:tcPr>
            <w:tcW w:w="934" w:type="pct"/>
            <w:shd w:val="clear" w:color="auto" w:fill="auto"/>
            <w:noWrap/>
            <w:vAlign w:val="center"/>
          </w:tcPr>
          <w:p w14:paraId="0526E4D6" w14:textId="77777777" w:rsidR="00E4317A" w:rsidRPr="00AC713D" w:rsidRDefault="00E4317A" w:rsidP="00E431E6">
            <w:pPr>
              <w:jc w:val="right"/>
              <w:rPr>
                <w:rFonts w:cs="Arial"/>
                <w:b/>
                <w:bCs/>
                <w:color w:val="000000"/>
                <w:sz w:val="20"/>
                <w:szCs w:val="20"/>
              </w:rPr>
            </w:pPr>
          </w:p>
        </w:tc>
        <w:tc>
          <w:tcPr>
            <w:tcW w:w="656" w:type="pct"/>
            <w:shd w:val="clear" w:color="auto" w:fill="auto"/>
            <w:noWrap/>
            <w:vAlign w:val="center"/>
          </w:tcPr>
          <w:p w14:paraId="4025A894" w14:textId="77777777" w:rsidR="00E4317A" w:rsidRPr="00AC713D" w:rsidRDefault="00E4317A" w:rsidP="00E431E6">
            <w:pPr>
              <w:ind w:right="96"/>
              <w:jc w:val="right"/>
              <w:rPr>
                <w:rFonts w:cs="Arial"/>
                <w:b/>
                <w:bCs/>
                <w:color w:val="000000"/>
                <w:sz w:val="20"/>
                <w:szCs w:val="20"/>
              </w:rPr>
            </w:pPr>
          </w:p>
        </w:tc>
        <w:tc>
          <w:tcPr>
            <w:tcW w:w="758" w:type="pct"/>
            <w:vAlign w:val="center"/>
          </w:tcPr>
          <w:p w14:paraId="7FC11080" w14:textId="77777777" w:rsidR="00E4317A" w:rsidRPr="00AC713D" w:rsidRDefault="00E4317A" w:rsidP="00E431E6">
            <w:pPr>
              <w:ind w:right="96"/>
              <w:jc w:val="right"/>
              <w:rPr>
                <w:rFonts w:cs="Arial"/>
                <w:b/>
                <w:bCs/>
                <w:color w:val="000000"/>
                <w:sz w:val="20"/>
                <w:szCs w:val="20"/>
              </w:rPr>
            </w:pPr>
          </w:p>
        </w:tc>
        <w:tc>
          <w:tcPr>
            <w:tcW w:w="656" w:type="pct"/>
            <w:vAlign w:val="center"/>
          </w:tcPr>
          <w:p w14:paraId="03E1336A" w14:textId="77777777" w:rsidR="00E4317A" w:rsidRPr="00AC713D" w:rsidRDefault="00E4317A" w:rsidP="00E431E6">
            <w:pPr>
              <w:ind w:right="96"/>
              <w:jc w:val="right"/>
              <w:rPr>
                <w:rFonts w:cs="Arial"/>
                <w:b/>
                <w:bCs/>
                <w:color w:val="000000"/>
                <w:sz w:val="20"/>
                <w:szCs w:val="20"/>
              </w:rPr>
            </w:pPr>
          </w:p>
        </w:tc>
        <w:tc>
          <w:tcPr>
            <w:tcW w:w="656" w:type="pct"/>
            <w:vAlign w:val="center"/>
          </w:tcPr>
          <w:p w14:paraId="717E23CD" w14:textId="77777777" w:rsidR="00E4317A" w:rsidRPr="00AC713D" w:rsidRDefault="00E4317A" w:rsidP="00E431E6">
            <w:pPr>
              <w:ind w:right="96"/>
              <w:jc w:val="right"/>
              <w:rPr>
                <w:rFonts w:cs="Arial"/>
                <w:b/>
                <w:bCs/>
                <w:color w:val="000000"/>
                <w:sz w:val="20"/>
                <w:szCs w:val="20"/>
              </w:rPr>
            </w:pPr>
          </w:p>
        </w:tc>
        <w:tc>
          <w:tcPr>
            <w:tcW w:w="656" w:type="pct"/>
            <w:shd w:val="clear" w:color="auto" w:fill="auto"/>
            <w:noWrap/>
            <w:vAlign w:val="center"/>
          </w:tcPr>
          <w:p w14:paraId="0F305574" w14:textId="77777777" w:rsidR="00E4317A" w:rsidRPr="00AC713D" w:rsidRDefault="00E4317A" w:rsidP="00E431E6">
            <w:pPr>
              <w:ind w:right="96"/>
              <w:jc w:val="right"/>
              <w:rPr>
                <w:rFonts w:cs="Arial"/>
                <w:b/>
                <w:bCs/>
                <w:color w:val="000000"/>
                <w:sz w:val="20"/>
                <w:szCs w:val="20"/>
              </w:rPr>
            </w:pPr>
          </w:p>
        </w:tc>
        <w:tc>
          <w:tcPr>
            <w:tcW w:w="685" w:type="pct"/>
            <w:vAlign w:val="center"/>
          </w:tcPr>
          <w:p w14:paraId="4C4AFEDC" w14:textId="77777777" w:rsidR="00E4317A" w:rsidRPr="00AC713D" w:rsidRDefault="00E4317A" w:rsidP="00E431E6">
            <w:pPr>
              <w:ind w:right="96"/>
              <w:jc w:val="right"/>
              <w:rPr>
                <w:rFonts w:cs="Arial"/>
                <w:b/>
                <w:bCs/>
                <w:color w:val="000000"/>
                <w:sz w:val="20"/>
                <w:szCs w:val="20"/>
              </w:rPr>
            </w:pPr>
          </w:p>
        </w:tc>
      </w:tr>
      <w:tr w:rsidR="00E4317A" w:rsidRPr="00AC713D" w14:paraId="518026D0" w14:textId="77777777" w:rsidTr="00424B97">
        <w:trPr>
          <w:trHeight w:val="20"/>
        </w:trPr>
        <w:tc>
          <w:tcPr>
            <w:tcW w:w="934" w:type="pct"/>
            <w:shd w:val="clear" w:color="auto" w:fill="9C9D9F"/>
            <w:noWrap/>
            <w:vAlign w:val="center"/>
          </w:tcPr>
          <w:p w14:paraId="0CE654E8" w14:textId="0DCDDA82" w:rsidR="00E4317A" w:rsidRPr="00AC713D" w:rsidRDefault="00E4317A" w:rsidP="00E4317A">
            <w:pPr>
              <w:spacing w:before="0" w:beforeAutospacing="0" w:after="0" w:afterAutospacing="0"/>
              <w:jc w:val="right"/>
              <w:rPr>
                <w:rFonts w:cs="Arial"/>
                <w:color w:val="000000"/>
                <w:sz w:val="20"/>
                <w:szCs w:val="20"/>
              </w:rPr>
            </w:pPr>
            <w:r w:rsidRPr="00AC713D">
              <w:rPr>
                <w:rFonts w:cs="Arial"/>
                <w:b/>
                <w:bCs/>
                <w:color w:val="000000"/>
                <w:sz w:val="20"/>
                <w:szCs w:val="20"/>
              </w:rPr>
              <w:t>k 1. lednu 2019</w:t>
            </w:r>
          </w:p>
        </w:tc>
        <w:tc>
          <w:tcPr>
            <w:tcW w:w="656" w:type="pct"/>
            <w:shd w:val="clear" w:color="auto" w:fill="9C9D9F"/>
            <w:noWrap/>
            <w:vAlign w:val="center"/>
          </w:tcPr>
          <w:p w14:paraId="7B53F310" w14:textId="34E5380D" w:rsidR="00E4317A" w:rsidRPr="00AC713D" w:rsidRDefault="00E4317A" w:rsidP="00E4317A">
            <w:pPr>
              <w:spacing w:before="0" w:beforeAutospacing="0" w:after="0" w:afterAutospacing="0"/>
              <w:ind w:right="96"/>
              <w:jc w:val="right"/>
              <w:rPr>
                <w:rFonts w:cs="Arial"/>
                <w:b/>
                <w:color w:val="000000"/>
                <w:sz w:val="20"/>
                <w:szCs w:val="20"/>
              </w:rPr>
            </w:pPr>
            <w:r w:rsidRPr="00AC713D">
              <w:rPr>
                <w:rFonts w:cs="Arial"/>
                <w:b/>
                <w:color w:val="000000"/>
                <w:sz w:val="20"/>
                <w:szCs w:val="20"/>
              </w:rPr>
              <w:t>299 857</w:t>
            </w:r>
          </w:p>
        </w:tc>
        <w:tc>
          <w:tcPr>
            <w:tcW w:w="758" w:type="pct"/>
            <w:shd w:val="clear" w:color="auto" w:fill="9C9D9F"/>
            <w:vAlign w:val="center"/>
          </w:tcPr>
          <w:p w14:paraId="5EA0A226" w14:textId="2D3DCCED" w:rsidR="00E4317A" w:rsidRPr="00AC713D" w:rsidRDefault="00E4317A" w:rsidP="00E4317A">
            <w:pPr>
              <w:spacing w:before="0" w:beforeAutospacing="0" w:after="0" w:afterAutospacing="0"/>
              <w:ind w:right="96"/>
              <w:jc w:val="right"/>
              <w:rPr>
                <w:rFonts w:cs="Arial"/>
                <w:b/>
                <w:color w:val="000000"/>
                <w:sz w:val="20"/>
                <w:szCs w:val="20"/>
              </w:rPr>
            </w:pPr>
            <w:r w:rsidRPr="00AC713D">
              <w:rPr>
                <w:rFonts w:cs="Arial"/>
                <w:b/>
                <w:color w:val="000000"/>
                <w:sz w:val="20"/>
                <w:szCs w:val="20"/>
              </w:rPr>
              <w:t>86 701</w:t>
            </w:r>
          </w:p>
        </w:tc>
        <w:tc>
          <w:tcPr>
            <w:tcW w:w="656" w:type="pct"/>
            <w:shd w:val="clear" w:color="auto" w:fill="9C9D9F"/>
            <w:vAlign w:val="center"/>
          </w:tcPr>
          <w:p w14:paraId="75D81E9B" w14:textId="7263F3DD" w:rsidR="00E4317A" w:rsidRPr="00AC713D" w:rsidRDefault="00E4317A" w:rsidP="00E4317A">
            <w:pPr>
              <w:spacing w:before="0" w:beforeAutospacing="0" w:after="0" w:afterAutospacing="0"/>
              <w:ind w:right="96"/>
              <w:jc w:val="right"/>
              <w:rPr>
                <w:rFonts w:cs="Arial"/>
                <w:b/>
                <w:color w:val="000000"/>
                <w:sz w:val="20"/>
                <w:szCs w:val="20"/>
              </w:rPr>
            </w:pPr>
            <w:r w:rsidRPr="00AC713D">
              <w:rPr>
                <w:rFonts w:cs="Arial"/>
                <w:b/>
                <w:color w:val="000000"/>
                <w:sz w:val="20"/>
                <w:szCs w:val="20"/>
              </w:rPr>
              <w:t>57 594</w:t>
            </w:r>
          </w:p>
        </w:tc>
        <w:tc>
          <w:tcPr>
            <w:tcW w:w="656" w:type="pct"/>
            <w:shd w:val="clear" w:color="auto" w:fill="9C9D9F"/>
            <w:vAlign w:val="center"/>
          </w:tcPr>
          <w:p w14:paraId="7F1B230E" w14:textId="3BDEE1FE" w:rsidR="00E4317A" w:rsidRPr="00AC713D" w:rsidDel="002D1E65" w:rsidRDefault="00E4317A" w:rsidP="00E4317A">
            <w:pPr>
              <w:spacing w:before="0" w:beforeAutospacing="0" w:after="0" w:afterAutospacing="0"/>
              <w:ind w:right="96"/>
              <w:jc w:val="right"/>
              <w:rPr>
                <w:rFonts w:cs="Arial"/>
                <w:b/>
                <w:color w:val="000000"/>
                <w:sz w:val="20"/>
                <w:szCs w:val="20"/>
              </w:rPr>
            </w:pPr>
            <w:r w:rsidRPr="00AC713D">
              <w:rPr>
                <w:rFonts w:cs="Arial"/>
                <w:b/>
                <w:color w:val="000000"/>
                <w:sz w:val="20"/>
                <w:szCs w:val="20"/>
              </w:rPr>
              <w:t>4 860</w:t>
            </w:r>
          </w:p>
        </w:tc>
        <w:tc>
          <w:tcPr>
            <w:tcW w:w="656" w:type="pct"/>
            <w:shd w:val="clear" w:color="auto" w:fill="9C9D9F"/>
            <w:noWrap/>
            <w:vAlign w:val="center"/>
          </w:tcPr>
          <w:p w14:paraId="4F1CCEF0" w14:textId="763FEE09" w:rsidR="00E4317A" w:rsidRPr="00AC713D" w:rsidRDefault="00E4317A" w:rsidP="00E4317A">
            <w:pPr>
              <w:spacing w:before="0" w:beforeAutospacing="0" w:after="0" w:afterAutospacing="0"/>
              <w:ind w:right="96"/>
              <w:jc w:val="right"/>
              <w:rPr>
                <w:rFonts w:cs="Arial"/>
                <w:b/>
                <w:color w:val="000000"/>
                <w:sz w:val="20"/>
                <w:szCs w:val="20"/>
              </w:rPr>
            </w:pPr>
            <w:r w:rsidRPr="00AC713D">
              <w:rPr>
                <w:rFonts w:cs="Arial"/>
                <w:b/>
                <w:color w:val="000000"/>
                <w:sz w:val="20"/>
                <w:szCs w:val="20"/>
              </w:rPr>
              <w:t>4 521 740</w:t>
            </w:r>
          </w:p>
        </w:tc>
        <w:tc>
          <w:tcPr>
            <w:tcW w:w="685" w:type="pct"/>
            <w:shd w:val="clear" w:color="auto" w:fill="9C9D9F"/>
            <w:vAlign w:val="center"/>
          </w:tcPr>
          <w:p w14:paraId="1F3BBAF6" w14:textId="2B3FC00E" w:rsidR="00E4317A" w:rsidRPr="00AC713D" w:rsidRDefault="00E4317A" w:rsidP="00E4317A">
            <w:pPr>
              <w:spacing w:before="0" w:beforeAutospacing="0" w:after="0" w:afterAutospacing="0"/>
              <w:ind w:right="94"/>
              <w:jc w:val="right"/>
              <w:rPr>
                <w:rFonts w:cs="Arial"/>
                <w:b/>
                <w:color w:val="000000"/>
                <w:sz w:val="20"/>
                <w:szCs w:val="20"/>
              </w:rPr>
            </w:pPr>
            <w:r w:rsidRPr="00AC713D">
              <w:rPr>
                <w:rFonts w:cs="Arial"/>
                <w:b/>
                <w:color w:val="000000"/>
                <w:sz w:val="20"/>
                <w:szCs w:val="20"/>
              </w:rPr>
              <w:t>4 970 752</w:t>
            </w:r>
          </w:p>
        </w:tc>
      </w:tr>
      <w:tr w:rsidR="00E4317A" w:rsidRPr="00AC713D" w14:paraId="6AD59A23" w14:textId="77777777" w:rsidTr="00424B97">
        <w:trPr>
          <w:trHeight w:val="20"/>
        </w:trPr>
        <w:tc>
          <w:tcPr>
            <w:tcW w:w="934" w:type="pct"/>
            <w:tcBorders>
              <w:bottom w:val="single" w:sz="4" w:space="0" w:color="9C9D9F"/>
            </w:tcBorders>
            <w:shd w:val="clear" w:color="auto" w:fill="auto"/>
            <w:noWrap/>
            <w:vAlign w:val="center"/>
          </w:tcPr>
          <w:p w14:paraId="3C5DE349" w14:textId="68E2D31C" w:rsidR="00E4317A" w:rsidRPr="00AC713D" w:rsidRDefault="00E4317A" w:rsidP="00E4317A">
            <w:pPr>
              <w:spacing w:before="0" w:beforeAutospacing="0" w:after="0" w:afterAutospacing="0"/>
              <w:jc w:val="right"/>
              <w:rPr>
                <w:rFonts w:cs="Arial"/>
                <w:bCs/>
                <w:color w:val="000000"/>
                <w:sz w:val="20"/>
                <w:szCs w:val="20"/>
              </w:rPr>
            </w:pPr>
            <w:r w:rsidRPr="00AC713D">
              <w:rPr>
                <w:rFonts w:cs="Arial"/>
                <w:color w:val="000000"/>
                <w:sz w:val="20"/>
                <w:szCs w:val="20"/>
              </w:rPr>
              <w:t>Distribuce</w:t>
            </w:r>
          </w:p>
        </w:tc>
        <w:tc>
          <w:tcPr>
            <w:tcW w:w="656" w:type="pct"/>
            <w:tcBorders>
              <w:bottom w:val="single" w:sz="4" w:space="0" w:color="9C9D9F"/>
            </w:tcBorders>
            <w:shd w:val="clear" w:color="auto" w:fill="auto"/>
            <w:noWrap/>
            <w:vAlign w:val="center"/>
          </w:tcPr>
          <w:p w14:paraId="78E54CAB" w14:textId="388B81BB" w:rsidR="00E4317A" w:rsidRPr="00AC713D" w:rsidRDefault="00E4317A" w:rsidP="00E4317A">
            <w:pPr>
              <w:spacing w:before="0" w:beforeAutospacing="0" w:after="0" w:afterAutospacing="0"/>
              <w:ind w:right="96"/>
              <w:jc w:val="right"/>
              <w:rPr>
                <w:rFonts w:cs="Arial"/>
                <w:iCs/>
                <w:color w:val="000000"/>
                <w:sz w:val="20"/>
                <w:szCs w:val="20"/>
              </w:rPr>
            </w:pPr>
            <w:r w:rsidRPr="00AC713D">
              <w:rPr>
                <w:rFonts w:cs="Arial"/>
                <w:iCs/>
                <w:color w:val="000000"/>
                <w:sz w:val="20"/>
                <w:szCs w:val="20"/>
              </w:rPr>
              <w:t>--</w:t>
            </w:r>
          </w:p>
        </w:tc>
        <w:tc>
          <w:tcPr>
            <w:tcW w:w="758" w:type="pct"/>
            <w:tcBorders>
              <w:bottom w:val="single" w:sz="4" w:space="0" w:color="9C9D9F"/>
            </w:tcBorders>
            <w:vAlign w:val="center"/>
          </w:tcPr>
          <w:p w14:paraId="0FBB4492" w14:textId="2D52E48F" w:rsidR="00E4317A" w:rsidRPr="00AC713D" w:rsidRDefault="00E4317A" w:rsidP="00E4317A">
            <w:pPr>
              <w:spacing w:before="0" w:beforeAutospacing="0" w:after="0" w:afterAutospacing="0"/>
              <w:ind w:right="96"/>
              <w:jc w:val="right"/>
              <w:rPr>
                <w:rFonts w:cs="Arial"/>
                <w:iCs/>
                <w:color w:val="000000"/>
                <w:sz w:val="20"/>
                <w:szCs w:val="20"/>
              </w:rPr>
            </w:pPr>
            <w:r w:rsidRPr="00AC713D">
              <w:rPr>
                <w:rFonts w:cs="Arial"/>
                <w:iCs/>
                <w:color w:val="000000"/>
                <w:sz w:val="20"/>
                <w:szCs w:val="20"/>
              </w:rPr>
              <w:t>--</w:t>
            </w:r>
          </w:p>
        </w:tc>
        <w:tc>
          <w:tcPr>
            <w:tcW w:w="656" w:type="pct"/>
            <w:tcBorders>
              <w:bottom w:val="single" w:sz="4" w:space="0" w:color="9C9D9F"/>
            </w:tcBorders>
            <w:vAlign w:val="center"/>
          </w:tcPr>
          <w:p w14:paraId="6E9190E2" w14:textId="502051CF" w:rsidR="00E4317A" w:rsidRPr="00AC713D" w:rsidRDefault="00E4317A" w:rsidP="00E4317A">
            <w:pPr>
              <w:spacing w:before="0" w:beforeAutospacing="0" w:after="0" w:afterAutospacing="0"/>
              <w:ind w:right="96"/>
              <w:jc w:val="right"/>
              <w:rPr>
                <w:rFonts w:cs="Arial"/>
                <w:iCs/>
                <w:color w:val="000000"/>
                <w:sz w:val="20"/>
                <w:szCs w:val="20"/>
              </w:rPr>
            </w:pPr>
            <w:r w:rsidRPr="00AC713D">
              <w:rPr>
                <w:rFonts w:cs="Arial"/>
                <w:iCs/>
                <w:color w:val="000000"/>
                <w:sz w:val="20"/>
                <w:szCs w:val="20"/>
              </w:rPr>
              <w:t>--</w:t>
            </w:r>
          </w:p>
        </w:tc>
        <w:tc>
          <w:tcPr>
            <w:tcW w:w="656" w:type="pct"/>
            <w:tcBorders>
              <w:bottom w:val="single" w:sz="4" w:space="0" w:color="9C9D9F"/>
            </w:tcBorders>
            <w:vAlign w:val="center"/>
          </w:tcPr>
          <w:p w14:paraId="6170216A" w14:textId="33DCEF6E" w:rsidR="00E4317A" w:rsidRPr="00AC713D" w:rsidRDefault="00E4317A" w:rsidP="00E4317A">
            <w:pPr>
              <w:spacing w:before="0" w:beforeAutospacing="0" w:after="0" w:afterAutospacing="0"/>
              <w:ind w:right="96"/>
              <w:jc w:val="right"/>
              <w:rPr>
                <w:rFonts w:cs="Arial"/>
                <w:b/>
                <w:iCs/>
                <w:color w:val="000000"/>
                <w:sz w:val="20"/>
                <w:szCs w:val="20"/>
              </w:rPr>
            </w:pPr>
            <w:r w:rsidRPr="00AC713D">
              <w:rPr>
                <w:rFonts w:cs="Arial"/>
                <w:iCs/>
                <w:color w:val="000000"/>
                <w:sz w:val="20"/>
                <w:szCs w:val="20"/>
              </w:rPr>
              <w:t>--</w:t>
            </w:r>
          </w:p>
        </w:tc>
        <w:tc>
          <w:tcPr>
            <w:tcW w:w="656" w:type="pct"/>
            <w:tcBorders>
              <w:bottom w:val="single" w:sz="4" w:space="0" w:color="9C9D9F"/>
            </w:tcBorders>
            <w:shd w:val="clear" w:color="auto" w:fill="auto"/>
            <w:noWrap/>
            <w:vAlign w:val="center"/>
          </w:tcPr>
          <w:p w14:paraId="25BECE54" w14:textId="765BFDA2" w:rsidR="00E4317A" w:rsidRPr="00AC713D" w:rsidRDefault="00E4317A" w:rsidP="00E4317A">
            <w:pPr>
              <w:spacing w:before="0" w:beforeAutospacing="0" w:after="0" w:afterAutospacing="0"/>
              <w:ind w:right="96"/>
              <w:jc w:val="right"/>
              <w:rPr>
                <w:rFonts w:cs="Arial"/>
                <w:iCs/>
                <w:color w:val="000000"/>
                <w:sz w:val="20"/>
                <w:szCs w:val="20"/>
              </w:rPr>
            </w:pPr>
            <w:r w:rsidRPr="00AC713D">
              <w:rPr>
                <w:rFonts w:cs="Arial"/>
                <w:iCs/>
                <w:color w:val="000000"/>
                <w:sz w:val="20"/>
                <w:szCs w:val="20"/>
              </w:rPr>
              <w:t>--</w:t>
            </w:r>
          </w:p>
        </w:tc>
        <w:tc>
          <w:tcPr>
            <w:tcW w:w="685" w:type="pct"/>
            <w:tcBorders>
              <w:bottom w:val="single" w:sz="4" w:space="0" w:color="9C9D9F"/>
            </w:tcBorders>
            <w:vAlign w:val="center"/>
          </w:tcPr>
          <w:p w14:paraId="23FE38CB" w14:textId="1C400E29" w:rsidR="00E4317A" w:rsidRPr="00AC713D" w:rsidRDefault="00E4317A" w:rsidP="00E4317A">
            <w:pPr>
              <w:spacing w:before="0" w:beforeAutospacing="0" w:after="0" w:afterAutospacing="0"/>
              <w:ind w:right="94"/>
              <w:jc w:val="right"/>
              <w:rPr>
                <w:rFonts w:cs="Arial"/>
                <w:b/>
                <w:bCs/>
                <w:color w:val="000000"/>
                <w:sz w:val="20"/>
                <w:szCs w:val="20"/>
              </w:rPr>
            </w:pPr>
            <w:r w:rsidRPr="00AC713D">
              <w:rPr>
                <w:rFonts w:cs="Arial"/>
                <w:iCs/>
                <w:color w:val="000000"/>
                <w:sz w:val="20"/>
                <w:szCs w:val="20"/>
              </w:rPr>
              <w:t>--</w:t>
            </w:r>
          </w:p>
        </w:tc>
      </w:tr>
      <w:tr w:rsidR="00E4317A" w:rsidRPr="00AC713D" w14:paraId="187658CB" w14:textId="77777777" w:rsidTr="00424B97">
        <w:trPr>
          <w:trHeight w:val="20"/>
        </w:trPr>
        <w:tc>
          <w:tcPr>
            <w:tcW w:w="934" w:type="pct"/>
            <w:tcBorders>
              <w:top w:val="single" w:sz="4" w:space="0" w:color="9C9D9F"/>
              <w:bottom w:val="single" w:sz="4" w:space="0" w:color="9C9D9F"/>
            </w:tcBorders>
            <w:shd w:val="clear" w:color="auto" w:fill="auto"/>
            <w:noWrap/>
            <w:vAlign w:val="center"/>
          </w:tcPr>
          <w:p w14:paraId="1F871B1E" w14:textId="2B5639A3" w:rsidR="00E4317A" w:rsidRPr="00AC713D" w:rsidRDefault="00E4317A" w:rsidP="00E4317A">
            <w:pPr>
              <w:spacing w:before="0" w:beforeAutospacing="0" w:after="0" w:afterAutospacing="0"/>
              <w:jc w:val="right"/>
              <w:rPr>
                <w:rFonts w:cs="Arial"/>
                <w:bCs/>
                <w:color w:val="000000"/>
                <w:sz w:val="20"/>
                <w:szCs w:val="20"/>
              </w:rPr>
            </w:pPr>
            <w:r w:rsidRPr="00AC713D">
              <w:rPr>
                <w:rFonts w:cs="Arial"/>
                <w:color w:val="000000"/>
                <w:sz w:val="20"/>
                <w:szCs w:val="20"/>
              </w:rPr>
              <w:t>Ostatní úplný výsledek za období</w:t>
            </w:r>
          </w:p>
        </w:tc>
        <w:tc>
          <w:tcPr>
            <w:tcW w:w="656" w:type="pct"/>
            <w:tcBorders>
              <w:top w:val="single" w:sz="4" w:space="0" w:color="9C9D9F"/>
              <w:bottom w:val="single" w:sz="4" w:space="0" w:color="9C9D9F"/>
            </w:tcBorders>
            <w:shd w:val="clear" w:color="auto" w:fill="auto"/>
            <w:noWrap/>
            <w:vAlign w:val="center"/>
          </w:tcPr>
          <w:p w14:paraId="1D27FEAE" w14:textId="7AADF5EA" w:rsidR="00E4317A" w:rsidRPr="00AC713D" w:rsidRDefault="00E4317A" w:rsidP="00E4317A">
            <w:pPr>
              <w:spacing w:before="0" w:beforeAutospacing="0" w:after="0" w:afterAutospacing="0"/>
              <w:ind w:right="96"/>
              <w:jc w:val="right"/>
              <w:rPr>
                <w:rFonts w:cs="Arial"/>
                <w:iCs/>
                <w:color w:val="000000"/>
                <w:sz w:val="20"/>
                <w:szCs w:val="20"/>
              </w:rPr>
            </w:pPr>
          </w:p>
        </w:tc>
        <w:tc>
          <w:tcPr>
            <w:tcW w:w="758" w:type="pct"/>
            <w:tcBorders>
              <w:top w:val="single" w:sz="4" w:space="0" w:color="9C9D9F"/>
              <w:bottom w:val="single" w:sz="4" w:space="0" w:color="9C9D9F"/>
            </w:tcBorders>
            <w:vAlign w:val="center"/>
          </w:tcPr>
          <w:p w14:paraId="22621634" w14:textId="7EC01940" w:rsidR="00E4317A" w:rsidRPr="00AC713D" w:rsidRDefault="00E4317A" w:rsidP="00E4317A">
            <w:pPr>
              <w:spacing w:before="0" w:beforeAutospacing="0" w:after="0" w:afterAutospacing="0"/>
              <w:ind w:right="96"/>
              <w:jc w:val="right"/>
              <w:rPr>
                <w:rFonts w:cs="Arial"/>
                <w:iCs/>
                <w:color w:val="000000"/>
                <w:sz w:val="20"/>
                <w:szCs w:val="20"/>
              </w:rPr>
            </w:pPr>
          </w:p>
        </w:tc>
        <w:tc>
          <w:tcPr>
            <w:tcW w:w="656" w:type="pct"/>
            <w:tcBorders>
              <w:top w:val="single" w:sz="4" w:space="0" w:color="9C9D9F"/>
              <w:bottom w:val="single" w:sz="4" w:space="0" w:color="9C9D9F"/>
            </w:tcBorders>
            <w:vAlign w:val="center"/>
          </w:tcPr>
          <w:p w14:paraId="546CFB2D" w14:textId="1353632D" w:rsidR="00E4317A" w:rsidRPr="00AC713D" w:rsidRDefault="00E4317A" w:rsidP="00E4317A">
            <w:pPr>
              <w:spacing w:before="0" w:beforeAutospacing="0" w:after="0" w:afterAutospacing="0"/>
              <w:ind w:right="96"/>
              <w:jc w:val="right"/>
              <w:rPr>
                <w:rFonts w:cs="Arial"/>
                <w:iCs/>
                <w:color w:val="000000"/>
                <w:sz w:val="20"/>
                <w:szCs w:val="20"/>
              </w:rPr>
            </w:pPr>
            <w:r w:rsidRPr="00AC713D">
              <w:rPr>
                <w:rFonts w:cs="Arial"/>
                <w:iCs/>
                <w:color w:val="000000"/>
                <w:sz w:val="20"/>
                <w:szCs w:val="20"/>
              </w:rPr>
              <w:t>-184</w:t>
            </w:r>
          </w:p>
        </w:tc>
        <w:tc>
          <w:tcPr>
            <w:tcW w:w="656" w:type="pct"/>
            <w:tcBorders>
              <w:top w:val="single" w:sz="4" w:space="0" w:color="9C9D9F"/>
              <w:bottom w:val="single" w:sz="4" w:space="0" w:color="9C9D9F"/>
            </w:tcBorders>
            <w:vAlign w:val="center"/>
          </w:tcPr>
          <w:p w14:paraId="73ECC4C9" w14:textId="6EFF47E6" w:rsidR="00E4317A" w:rsidRPr="00AC713D" w:rsidRDefault="00E4317A" w:rsidP="00E4317A">
            <w:pPr>
              <w:spacing w:before="0" w:beforeAutospacing="0" w:after="0" w:afterAutospacing="0"/>
              <w:ind w:right="96"/>
              <w:jc w:val="right"/>
              <w:rPr>
                <w:rFonts w:cs="Arial"/>
                <w:bCs/>
                <w:color w:val="000000"/>
                <w:sz w:val="20"/>
                <w:szCs w:val="20"/>
              </w:rPr>
            </w:pPr>
            <w:r w:rsidRPr="00AC713D">
              <w:rPr>
                <w:rFonts w:cs="Arial"/>
                <w:b/>
                <w:iCs/>
                <w:color w:val="000000"/>
                <w:sz w:val="20"/>
                <w:szCs w:val="20"/>
              </w:rPr>
              <w:t>-9 763</w:t>
            </w:r>
          </w:p>
        </w:tc>
        <w:tc>
          <w:tcPr>
            <w:tcW w:w="656" w:type="pct"/>
            <w:tcBorders>
              <w:top w:val="single" w:sz="4" w:space="0" w:color="9C9D9F"/>
              <w:bottom w:val="single" w:sz="4" w:space="0" w:color="9C9D9F"/>
            </w:tcBorders>
            <w:shd w:val="clear" w:color="auto" w:fill="auto"/>
            <w:noWrap/>
            <w:vAlign w:val="center"/>
          </w:tcPr>
          <w:p w14:paraId="5D46523F" w14:textId="1A28F504" w:rsidR="00E4317A" w:rsidRPr="00AC713D" w:rsidRDefault="00E4317A" w:rsidP="00E4317A">
            <w:pPr>
              <w:spacing w:before="0" w:beforeAutospacing="0" w:after="0" w:afterAutospacing="0"/>
              <w:ind w:right="96"/>
              <w:jc w:val="right"/>
              <w:rPr>
                <w:rFonts w:cs="Arial"/>
                <w:iCs/>
                <w:color w:val="000000"/>
                <w:sz w:val="20"/>
                <w:szCs w:val="20"/>
              </w:rPr>
            </w:pPr>
            <w:r w:rsidRPr="00AC713D">
              <w:rPr>
                <w:rFonts w:cs="Arial"/>
                <w:iCs/>
                <w:color w:val="000000"/>
                <w:sz w:val="20"/>
                <w:szCs w:val="20"/>
              </w:rPr>
              <w:t>--</w:t>
            </w:r>
          </w:p>
        </w:tc>
        <w:tc>
          <w:tcPr>
            <w:tcW w:w="685" w:type="pct"/>
            <w:tcBorders>
              <w:top w:val="single" w:sz="4" w:space="0" w:color="9C9D9F"/>
              <w:bottom w:val="single" w:sz="4" w:space="0" w:color="9C9D9F"/>
            </w:tcBorders>
            <w:vAlign w:val="center"/>
          </w:tcPr>
          <w:p w14:paraId="6DCE2535" w14:textId="7A08D89F" w:rsidR="00E4317A" w:rsidRPr="00AC713D" w:rsidRDefault="00E4317A" w:rsidP="00E4317A">
            <w:pPr>
              <w:spacing w:before="0" w:beforeAutospacing="0" w:after="0" w:afterAutospacing="0"/>
              <w:ind w:right="94"/>
              <w:jc w:val="right"/>
              <w:rPr>
                <w:rFonts w:cs="Arial"/>
                <w:b/>
                <w:bCs/>
                <w:color w:val="000000"/>
                <w:sz w:val="20"/>
                <w:szCs w:val="20"/>
              </w:rPr>
            </w:pPr>
            <w:r w:rsidRPr="00AC713D">
              <w:rPr>
                <w:rFonts w:cs="Arial"/>
                <w:b/>
                <w:bCs/>
                <w:color w:val="000000"/>
                <w:sz w:val="20"/>
                <w:szCs w:val="20"/>
              </w:rPr>
              <w:t>-9 947</w:t>
            </w:r>
          </w:p>
        </w:tc>
      </w:tr>
      <w:tr w:rsidR="00E4317A" w:rsidRPr="00AC713D" w14:paraId="2C6CF25A" w14:textId="77777777" w:rsidTr="00424B97">
        <w:trPr>
          <w:trHeight w:val="20"/>
        </w:trPr>
        <w:tc>
          <w:tcPr>
            <w:tcW w:w="934" w:type="pct"/>
            <w:tcBorders>
              <w:top w:val="single" w:sz="4" w:space="0" w:color="9C9D9F"/>
              <w:bottom w:val="single" w:sz="4" w:space="0" w:color="9C9D9F"/>
            </w:tcBorders>
            <w:shd w:val="clear" w:color="auto" w:fill="auto"/>
            <w:noWrap/>
            <w:vAlign w:val="center"/>
          </w:tcPr>
          <w:p w14:paraId="0F392503" w14:textId="6EAA3BEC" w:rsidR="00E4317A" w:rsidRPr="00AC713D" w:rsidRDefault="00E4317A" w:rsidP="00E4317A">
            <w:pPr>
              <w:spacing w:before="0" w:beforeAutospacing="0" w:after="0" w:afterAutospacing="0"/>
              <w:jc w:val="right"/>
              <w:rPr>
                <w:rFonts w:cs="Arial"/>
                <w:bCs/>
                <w:color w:val="000000"/>
                <w:sz w:val="20"/>
                <w:szCs w:val="20"/>
              </w:rPr>
            </w:pPr>
            <w:r w:rsidRPr="00AC713D">
              <w:rPr>
                <w:rFonts w:cs="Arial"/>
                <w:color w:val="000000"/>
                <w:sz w:val="20"/>
                <w:szCs w:val="20"/>
              </w:rPr>
              <w:t>Čistý zisk za dané období</w:t>
            </w:r>
          </w:p>
        </w:tc>
        <w:tc>
          <w:tcPr>
            <w:tcW w:w="656" w:type="pct"/>
            <w:tcBorders>
              <w:top w:val="single" w:sz="4" w:space="0" w:color="9C9D9F"/>
              <w:bottom w:val="single" w:sz="4" w:space="0" w:color="9C9D9F"/>
            </w:tcBorders>
            <w:shd w:val="clear" w:color="auto" w:fill="auto"/>
            <w:noWrap/>
            <w:vAlign w:val="center"/>
          </w:tcPr>
          <w:p w14:paraId="1E4D9F96" w14:textId="3CC2A7CC" w:rsidR="00E4317A" w:rsidRPr="00AC713D" w:rsidRDefault="00E4317A" w:rsidP="00E4317A">
            <w:pPr>
              <w:spacing w:before="0" w:beforeAutospacing="0" w:after="0" w:afterAutospacing="0"/>
              <w:ind w:right="96"/>
              <w:jc w:val="right"/>
              <w:rPr>
                <w:rFonts w:cs="Arial"/>
                <w:iCs/>
                <w:color w:val="000000"/>
                <w:sz w:val="20"/>
                <w:szCs w:val="20"/>
              </w:rPr>
            </w:pPr>
            <w:r w:rsidRPr="00AC713D">
              <w:rPr>
                <w:rFonts w:cs="Arial"/>
                <w:iCs/>
                <w:color w:val="000000"/>
                <w:sz w:val="20"/>
                <w:szCs w:val="20"/>
              </w:rPr>
              <w:t>--</w:t>
            </w:r>
          </w:p>
        </w:tc>
        <w:tc>
          <w:tcPr>
            <w:tcW w:w="758" w:type="pct"/>
            <w:tcBorders>
              <w:top w:val="single" w:sz="4" w:space="0" w:color="9C9D9F"/>
              <w:bottom w:val="single" w:sz="4" w:space="0" w:color="9C9D9F"/>
            </w:tcBorders>
            <w:vAlign w:val="center"/>
          </w:tcPr>
          <w:p w14:paraId="22EFF983" w14:textId="70664986" w:rsidR="00E4317A" w:rsidRPr="00AC713D" w:rsidRDefault="00E4317A" w:rsidP="00E4317A">
            <w:pPr>
              <w:spacing w:before="0" w:beforeAutospacing="0" w:after="0" w:afterAutospacing="0"/>
              <w:ind w:right="96"/>
              <w:jc w:val="right"/>
              <w:rPr>
                <w:rFonts w:cs="Arial"/>
                <w:iCs/>
                <w:color w:val="000000"/>
                <w:sz w:val="20"/>
                <w:szCs w:val="20"/>
              </w:rPr>
            </w:pPr>
            <w:r w:rsidRPr="00AC713D">
              <w:rPr>
                <w:rFonts w:cs="Arial"/>
                <w:iCs/>
                <w:color w:val="000000"/>
                <w:sz w:val="20"/>
                <w:szCs w:val="20"/>
              </w:rPr>
              <w:t>--</w:t>
            </w:r>
          </w:p>
        </w:tc>
        <w:tc>
          <w:tcPr>
            <w:tcW w:w="656" w:type="pct"/>
            <w:tcBorders>
              <w:top w:val="single" w:sz="4" w:space="0" w:color="9C9D9F"/>
              <w:bottom w:val="single" w:sz="4" w:space="0" w:color="9C9D9F"/>
            </w:tcBorders>
            <w:vAlign w:val="center"/>
          </w:tcPr>
          <w:p w14:paraId="2582FF21" w14:textId="645C190F" w:rsidR="00E4317A" w:rsidRPr="00AC713D" w:rsidRDefault="00424B97" w:rsidP="00E4317A">
            <w:pPr>
              <w:spacing w:before="0" w:beforeAutospacing="0" w:after="0" w:afterAutospacing="0"/>
              <w:ind w:right="96"/>
              <w:jc w:val="right"/>
              <w:rPr>
                <w:rFonts w:cs="Arial"/>
                <w:b/>
                <w:iCs/>
                <w:color w:val="000000"/>
                <w:sz w:val="20"/>
                <w:szCs w:val="20"/>
              </w:rPr>
            </w:pPr>
            <w:r w:rsidRPr="00AC713D">
              <w:rPr>
                <w:rFonts w:cs="Arial"/>
                <w:b/>
                <w:iCs/>
                <w:color w:val="000000"/>
                <w:sz w:val="20"/>
                <w:szCs w:val="20"/>
              </w:rPr>
              <w:t>--</w:t>
            </w:r>
          </w:p>
        </w:tc>
        <w:tc>
          <w:tcPr>
            <w:tcW w:w="656" w:type="pct"/>
            <w:tcBorders>
              <w:top w:val="single" w:sz="4" w:space="0" w:color="9C9D9F"/>
              <w:bottom w:val="single" w:sz="4" w:space="0" w:color="9C9D9F"/>
            </w:tcBorders>
            <w:vAlign w:val="center"/>
          </w:tcPr>
          <w:p w14:paraId="2D8267A3" w14:textId="4C8DCC52" w:rsidR="00E4317A" w:rsidRPr="00AC713D" w:rsidRDefault="00424B97" w:rsidP="00E4317A">
            <w:pPr>
              <w:spacing w:before="0" w:beforeAutospacing="0" w:after="0" w:afterAutospacing="0"/>
              <w:ind w:right="96"/>
              <w:jc w:val="right"/>
              <w:rPr>
                <w:rFonts w:cs="Arial"/>
                <w:b/>
                <w:iCs/>
                <w:color w:val="000000"/>
                <w:sz w:val="20"/>
                <w:szCs w:val="20"/>
              </w:rPr>
            </w:pPr>
            <w:r w:rsidRPr="00AC713D">
              <w:rPr>
                <w:rFonts w:cs="Arial"/>
                <w:b/>
                <w:iCs/>
                <w:color w:val="000000"/>
                <w:sz w:val="20"/>
                <w:szCs w:val="20"/>
              </w:rPr>
              <w:t>--</w:t>
            </w:r>
          </w:p>
        </w:tc>
        <w:tc>
          <w:tcPr>
            <w:tcW w:w="656" w:type="pct"/>
            <w:tcBorders>
              <w:top w:val="single" w:sz="4" w:space="0" w:color="9C9D9F"/>
              <w:bottom w:val="single" w:sz="4" w:space="0" w:color="9C9D9F"/>
            </w:tcBorders>
            <w:shd w:val="clear" w:color="auto" w:fill="auto"/>
            <w:noWrap/>
            <w:vAlign w:val="center"/>
          </w:tcPr>
          <w:p w14:paraId="7ECE9919" w14:textId="1E69D593" w:rsidR="00E4317A" w:rsidRPr="00AC713D" w:rsidRDefault="00E4317A" w:rsidP="00E4317A">
            <w:pPr>
              <w:spacing w:before="0" w:beforeAutospacing="0" w:after="0" w:afterAutospacing="0"/>
              <w:ind w:right="96"/>
              <w:jc w:val="right"/>
              <w:rPr>
                <w:rFonts w:cs="Arial"/>
                <w:iCs/>
                <w:color w:val="000000"/>
                <w:sz w:val="20"/>
                <w:szCs w:val="20"/>
              </w:rPr>
            </w:pPr>
            <w:r w:rsidRPr="00AC713D">
              <w:rPr>
                <w:rFonts w:cs="Arial"/>
                <w:iCs/>
                <w:color w:val="000000"/>
                <w:sz w:val="20"/>
                <w:szCs w:val="20"/>
              </w:rPr>
              <w:t>246 846</w:t>
            </w:r>
          </w:p>
        </w:tc>
        <w:tc>
          <w:tcPr>
            <w:tcW w:w="685" w:type="pct"/>
            <w:tcBorders>
              <w:top w:val="single" w:sz="4" w:space="0" w:color="9C9D9F"/>
              <w:bottom w:val="single" w:sz="4" w:space="0" w:color="9C9D9F"/>
            </w:tcBorders>
            <w:vAlign w:val="center"/>
          </w:tcPr>
          <w:p w14:paraId="56D45FD2" w14:textId="11842194" w:rsidR="00E4317A" w:rsidRPr="00AC713D" w:rsidRDefault="00E4317A" w:rsidP="00E4317A">
            <w:pPr>
              <w:spacing w:before="0" w:beforeAutospacing="0" w:after="0" w:afterAutospacing="0"/>
              <w:ind w:right="94"/>
              <w:jc w:val="right"/>
              <w:rPr>
                <w:rFonts w:cs="Arial"/>
                <w:b/>
                <w:bCs/>
                <w:color w:val="000000"/>
                <w:sz w:val="20"/>
                <w:szCs w:val="20"/>
              </w:rPr>
            </w:pPr>
            <w:r w:rsidRPr="00AC713D">
              <w:rPr>
                <w:rFonts w:cs="Arial"/>
                <w:b/>
                <w:bCs/>
                <w:color w:val="000000"/>
                <w:sz w:val="20"/>
                <w:szCs w:val="20"/>
              </w:rPr>
              <w:t>246 846</w:t>
            </w:r>
          </w:p>
        </w:tc>
      </w:tr>
      <w:tr w:rsidR="00E4317A" w:rsidRPr="00AC713D" w14:paraId="1383F78C" w14:textId="77777777" w:rsidTr="00424B97">
        <w:trPr>
          <w:trHeight w:val="20"/>
        </w:trPr>
        <w:tc>
          <w:tcPr>
            <w:tcW w:w="934" w:type="pct"/>
            <w:tcBorders>
              <w:top w:val="single" w:sz="4" w:space="0" w:color="9C9D9F"/>
            </w:tcBorders>
            <w:shd w:val="clear" w:color="auto" w:fill="auto"/>
            <w:noWrap/>
            <w:vAlign w:val="center"/>
          </w:tcPr>
          <w:p w14:paraId="23A927A8" w14:textId="77777777" w:rsidR="00E4317A" w:rsidRPr="00AC713D" w:rsidRDefault="00E4317A" w:rsidP="00E4317A">
            <w:pPr>
              <w:spacing w:before="0" w:beforeAutospacing="0" w:after="0" w:afterAutospacing="0"/>
              <w:jc w:val="right"/>
              <w:rPr>
                <w:rFonts w:cs="Arial"/>
                <w:b/>
                <w:bCs/>
                <w:color w:val="000000"/>
                <w:sz w:val="20"/>
                <w:szCs w:val="20"/>
              </w:rPr>
            </w:pPr>
          </w:p>
        </w:tc>
        <w:tc>
          <w:tcPr>
            <w:tcW w:w="656" w:type="pct"/>
            <w:tcBorders>
              <w:top w:val="single" w:sz="4" w:space="0" w:color="9C9D9F"/>
            </w:tcBorders>
            <w:shd w:val="clear" w:color="auto" w:fill="auto"/>
            <w:noWrap/>
            <w:vAlign w:val="center"/>
          </w:tcPr>
          <w:p w14:paraId="2B632B34" w14:textId="77777777" w:rsidR="00E4317A" w:rsidRPr="00AC713D" w:rsidRDefault="00E4317A" w:rsidP="00E4317A">
            <w:pPr>
              <w:spacing w:before="0" w:beforeAutospacing="0" w:after="0" w:afterAutospacing="0"/>
              <w:ind w:right="96"/>
              <w:jc w:val="right"/>
              <w:rPr>
                <w:rFonts w:cs="Arial"/>
                <w:b/>
                <w:bCs/>
                <w:color w:val="000000"/>
                <w:sz w:val="20"/>
                <w:szCs w:val="20"/>
              </w:rPr>
            </w:pPr>
          </w:p>
        </w:tc>
        <w:tc>
          <w:tcPr>
            <w:tcW w:w="758" w:type="pct"/>
            <w:tcBorders>
              <w:top w:val="single" w:sz="4" w:space="0" w:color="9C9D9F"/>
            </w:tcBorders>
            <w:vAlign w:val="center"/>
          </w:tcPr>
          <w:p w14:paraId="167D3532" w14:textId="77777777" w:rsidR="00E4317A" w:rsidRPr="00AC713D" w:rsidRDefault="00E4317A" w:rsidP="00E4317A">
            <w:pPr>
              <w:spacing w:before="0" w:beforeAutospacing="0" w:after="0" w:afterAutospacing="0"/>
              <w:ind w:right="96"/>
              <w:jc w:val="right"/>
              <w:rPr>
                <w:rFonts w:cs="Arial"/>
                <w:b/>
                <w:bCs/>
                <w:color w:val="000000"/>
                <w:sz w:val="20"/>
                <w:szCs w:val="20"/>
              </w:rPr>
            </w:pPr>
          </w:p>
        </w:tc>
        <w:tc>
          <w:tcPr>
            <w:tcW w:w="656" w:type="pct"/>
            <w:tcBorders>
              <w:top w:val="single" w:sz="4" w:space="0" w:color="9C9D9F"/>
            </w:tcBorders>
            <w:vAlign w:val="center"/>
          </w:tcPr>
          <w:p w14:paraId="17588AEA" w14:textId="77777777" w:rsidR="00E4317A" w:rsidRPr="00AC713D" w:rsidRDefault="00E4317A" w:rsidP="00E4317A">
            <w:pPr>
              <w:spacing w:before="0" w:beforeAutospacing="0" w:after="0" w:afterAutospacing="0"/>
              <w:ind w:right="96"/>
              <w:jc w:val="right"/>
              <w:rPr>
                <w:rFonts w:cs="Arial"/>
                <w:b/>
                <w:bCs/>
                <w:color w:val="000000"/>
                <w:sz w:val="20"/>
                <w:szCs w:val="20"/>
              </w:rPr>
            </w:pPr>
          </w:p>
        </w:tc>
        <w:tc>
          <w:tcPr>
            <w:tcW w:w="656" w:type="pct"/>
            <w:tcBorders>
              <w:top w:val="single" w:sz="4" w:space="0" w:color="9C9D9F"/>
            </w:tcBorders>
            <w:vAlign w:val="center"/>
          </w:tcPr>
          <w:p w14:paraId="3AD5DEEB" w14:textId="77777777" w:rsidR="00E4317A" w:rsidRPr="00AC713D" w:rsidRDefault="00E4317A" w:rsidP="00E4317A">
            <w:pPr>
              <w:spacing w:before="0" w:beforeAutospacing="0" w:after="0" w:afterAutospacing="0"/>
              <w:ind w:right="96"/>
              <w:jc w:val="right"/>
              <w:rPr>
                <w:rFonts w:cs="Arial"/>
                <w:b/>
                <w:bCs/>
                <w:color w:val="000000"/>
                <w:sz w:val="20"/>
                <w:szCs w:val="20"/>
              </w:rPr>
            </w:pPr>
          </w:p>
        </w:tc>
        <w:tc>
          <w:tcPr>
            <w:tcW w:w="656" w:type="pct"/>
            <w:tcBorders>
              <w:top w:val="single" w:sz="4" w:space="0" w:color="9C9D9F"/>
            </w:tcBorders>
            <w:shd w:val="clear" w:color="auto" w:fill="auto"/>
            <w:noWrap/>
            <w:vAlign w:val="center"/>
          </w:tcPr>
          <w:p w14:paraId="39D5A1C8" w14:textId="77777777" w:rsidR="00E4317A" w:rsidRPr="00AC713D" w:rsidRDefault="00E4317A" w:rsidP="00E4317A">
            <w:pPr>
              <w:spacing w:before="0" w:beforeAutospacing="0" w:after="0" w:afterAutospacing="0"/>
              <w:ind w:right="96"/>
              <w:jc w:val="right"/>
              <w:rPr>
                <w:rFonts w:cs="Arial"/>
                <w:b/>
                <w:bCs/>
                <w:color w:val="000000"/>
                <w:sz w:val="20"/>
                <w:szCs w:val="20"/>
              </w:rPr>
            </w:pPr>
          </w:p>
        </w:tc>
        <w:tc>
          <w:tcPr>
            <w:tcW w:w="685" w:type="pct"/>
            <w:tcBorders>
              <w:top w:val="single" w:sz="4" w:space="0" w:color="9C9D9F"/>
            </w:tcBorders>
            <w:vAlign w:val="center"/>
          </w:tcPr>
          <w:p w14:paraId="53AC4946" w14:textId="77777777" w:rsidR="00E4317A" w:rsidRPr="00AC713D" w:rsidRDefault="00E4317A" w:rsidP="00E4317A">
            <w:pPr>
              <w:spacing w:before="0" w:beforeAutospacing="0" w:after="0" w:afterAutospacing="0"/>
              <w:ind w:right="94"/>
              <w:jc w:val="right"/>
              <w:rPr>
                <w:rFonts w:cs="Arial"/>
                <w:b/>
                <w:bCs/>
                <w:color w:val="000000"/>
                <w:sz w:val="20"/>
                <w:szCs w:val="20"/>
              </w:rPr>
            </w:pPr>
          </w:p>
        </w:tc>
      </w:tr>
      <w:tr w:rsidR="00E4317A" w:rsidRPr="00AC713D" w14:paraId="72CE014E" w14:textId="77777777" w:rsidTr="00424B97">
        <w:trPr>
          <w:trHeight w:val="20"/>
        </w:trPr>
        <w:tc>
          <w:tcPr>
            <w:tcW w:w="934" w:type="pct"/>
            <w:shd w:val="clear" w:color="auto" w:fill="9C9D9F"/>
            <w:noWrap/>
            <w:vAlign w:val="center"/>
          </w:tcPr>
          <w:p w14:paraId="48BC65AA" w14:textId="12CC64F9" w:rsidR="00E4317A" w:rsidRPr="00AC713D" w:rsidRDefault="00E4317A" w:rsidP="00E4317A">
            <w:pPr>
              <w:spacing w:before="0" w:beforeAutospacing="0" w:after="0" w:afterAutospacing="0"/>
              <w:jc w:val="right"/>
              <w:rPr>
                <w:rFonts w:cs="Arial"/>
                <w:b/>
                <w:bCs/>
                <w:color w:val="000000"/>
                <w:sz w:val="20"/>
                <w:szCs w:val="20"/>
              </w:rPr>
            </w:pPr>
            <w:r w:rsidRPr="00AC713D">
              <w:rPr>
                <w:rFonts w:cs="Arial"/>
                <w:b/>
                <w:bCs/>
                <w:color w:val="000000"/>
                <w:sz w:val="20"/>
                <w:szCs w:val="20"/>
              </w:rPr>
              <w:t>k 30. červnu 2019</w:t>
            </w:r>
          </w:p>
        </w:tc>
        <w:tc>
          <w:tcPr>
            <w:tcW w:w="656" w:type="pct"/>
            <w:shd w:val="clear" w:color="auto" w:fill="9C9D9F"/>
            <w:noWrap/>
            <w:vAlign w:val="center"/>
          </w:tcPr>
          <w:p w14:paraId="7E95003F" w14:textId="60F73D57" w:rsidR="00E4317A" w:rsidRPr="00AC713D" w:rsidRDefault="00424B97" w:rsidP="00E4317A">
            <w:pPr>
              <w:spacing w:before="0" w:beforeAutospacing="0" w:after="0" w:afterAutospacing="0"/>
              <w:ind w:right="96"/>
              <w:jc w:val="right"/>
              <w:rPr>
                <w:rFonts w:cs="Arial"/>
                <w:b/>
                <w:iCs/>
                <w:color w:val="000000"/>
                <w:sz w:val="20"/>
                <w:szCs w:val="20"/>
              </w:rPr>
            </w:pPr>
            <w:r w:rsidRPr="00AC713D">
              <w:rPr>
                <w:rFonts w:cs="Arial"/>
                <w:b/>
                <w:iCs/>
                <w:color w:val="000000"/>
                <w:sz w:val="20"/>
                <w:szCs w:val="20"/>
              </w:rPr>
              <w:t>299 857</w:t>
            </w:r>
          </w:p>
        </w:tc>
        <w:tc>
          <w:tcPr>
            <w:tcW w:w="758" w:type="pct"/>
            <w:shd w:val="clear" w:color="auto" w:fill="9C9D9F"/>
            <w:vAlign w:val="center"/>
          </w:tcPr>
          <w:p w14:paraId="35377AC1" w14:textId="4598591A" w:rsidR="00E4317A" w:rsidRPr="00AC713D" w:rsidRDefault="00424B97" w:rsidP="00E4317A">
            <w:pPr>
              <w:spacing w:before="0" w:beforeAutospacing="0" w:after="0" w:afterAutospacing="0"/>
              <w:ind w:right="96"/>
              <w:jc w:val="right"/>
              <w:rPr>
                <w:rFonts w:cs="Arial"/>
                <w:b/>
                <w:iCs/>
                <w:color w:val="000000"/>
                <w:sz w:val="20"/>
                <w:szCs w:val="20"/>
              </w:rPr>
            </w:pPr>
            <w:r w:rsidRPr="00AC713D">
              <w:rPr>
                <w:rFonts w:cs="Arial"/>
                <w:b/>
                <w:iCs/>
                <w:color w:val="000000"/>
                <w:sz w:val="20"/>
                <w:szCs w:val="20"/>
              </w:rPr>
              <w:t>86 701</w:t>
            </w:r>
          </w:p>
        </w:tc>
        <w:tc>
          <w:tcPr>
            <w:tcW w:w="656" w:type="pct"/>
            <w:shd w:val="clear" w:color="auto" w:fill="9C9D9F"/>
            <w:vAlign w:val="center"/>
          </w:tcPr>
          <w:p w14:paraId="717EAED3" w14:textId="74CABF34" w:rsidR="00E4317A" w:rsidRPr="00AC713D" w:rsidRDefault="00E4317A" w:rsidP="00E4317A">
            <w:pPr>
              <w:spacing w:before="0" w:beforeAutospacing="0" w:after="0" w:afterAutospacing="0"/>
              <w:ind w:right="96"/>
              <w:jc w:val="right"/>
              <w:rPr>
                <w:rFonts w:cs="Arial"/>
                <w:b/>
                <w:bCs/>
                <w:color w:val="000000"/>
                <w:sz w:val="20"/>
                <w:szCs w:val="20"/>
              </w:rPr>
            </w:pPr>
            <w:r w:rsidRPr="00AC713D">
              <w:rPr>
                <w:rFonts w:cs="Arial"/>
                <w:b/>
                <w:bCs/>
                <w:color w:val="000000"/>
                <w:sz w:val="20"/>
                <w:szCs w:val="20"/>
              </w:rPr>
              <w:t>57 410</w:t>
            </w:r>
          </w:p>
        </w:tc>
        <w:tc>
          <w:tcPr>
            <w:tcW w:w="656" w:type="pct"/>
            <w:shd w:val="clear" w:color="auto" w:fill="9C9D9F"/>
            <w:vAlign w:val="center"/>
          </w:tcPr>
          <w:p w14:paraId="2405D335" w14:textId="6BB3B7E0" w:rsidR="00E4317A" w:rsidRPr="00AC713D" w:rsidDel="002D1E65" w:rsidRDefault="00E4317A" w:rsidP="00E4317A">
            <w:pPr>
              <w:spacing w:before="0" w:beforeAutospacing="0" w:after="0" w:afterAutospacing="0"/>
              <w:ind w:right="96"/>
              <w:jc w:val="right"/>
              <w:rPr>
                <w:rFonts w:cs="Arial"/>
                <w:b/>
                <w:bCs/>
                <w:color w:val="000000"/>
                <w:sz w:val="20"/>
                <w:szCs w:val="20"/>
              </w:rPr>
            </w:pPr>
            <w:r w:rsidRPr="00AC713D">
              <w:rPr>
                <w:rFonts w:cs="Arial"/>
                <w:b/>
                <w:bCs/>
                <w:color w:val="000000"/>
                <w:sz w:val="20"/>
                <w:szCs w:val="20"/>
              </w:rPr>
              <w:t>-4 903</w:t>
            </w:r>
          </w:p>
        </w:tc>
        <w:tc>
          <w:tcPr>
            <w:tcW w:w="656" w:type="pct"/>
            <w:shd w:val="clear" w:color="auto" w:fill="9C9D9F"/>
            <w:noWrap/>
            <w:vAlign w:val="center"/>
          </w:tcPr>
          <w:p w14:paraId="0E846A27" w14:textId="26ECB396" w:rsidR="00E4317A" w:rsidRPr="00AC713D" w:rsidRDefault="00E4317A" w:rsidP="00E4317A">
            <w:pPr>
              <w:spacing w:before="0" w:beforeAutospacing="0" w:after="0" w:afterAutospacing="0"/>
              <w:ind w:right="96"/>
              <w:jc w:val="right"/>
              <w:rPr>
                <w:rFonts w:cs="Arial"/>
                <w:b/>
                <w:bCs/>
                <w:color w:val="000000"/>
                <w:sz w:val="20"/>
                <w:szCs w:val="20"/>
              </w:rPr>
            </w:pPr>
            <w:r w:rsidRPr="00AC713D">
              <w:rPr>
                <w:rFonts w:cs="Arial"/>
                <w:b/>
                <w:bCs/>
                <w:color w:val="000000"/>
                <w:sz w:val="20"/>
                <w:szCs w:val="20"/>
              </w:rPr>
              <w:t>4 768 586</w:t>
            </w:r>
          </w:p>
        </w:tc>
        <w:tc>
          <w:tcPr>
            <w:tcW w:w="685" w:type="pct"/>
            <w:shd w:val="clear" w:color="auto" w:fill="9C9D9F"/>
            <w:vAlign w:val="center"/>
          </w:tcPr>
          <w:p w14:paraId="08E9221A" w14:textId="11A0467A" w:rsidR="00E4317A" w:rsidRPr="00AC713D" w:rsidRDefault="00E4317A" w:rsidP="00E4317A">
            <w:pPr>
              <w:spacing w:before="0" w:beforeAutospacing="0" w:after="0" w:afterAutospacing="0"/>
              <w:ind w:right="94"/>
              <w:jc w:val="right"/>
              <w:rPr>
                <w:rFonts w:cs="Arial"/>
                <w:b/>
                <w:bCs/>
                <w:color w:val="000000"/>
                <w:sz w:val="20"/>
                <w:szCs w:val="20"/>
              </w:rPr>
            </w:pPr>
            <w:r w:rsidRPr="00AC713D">
              <w:rPr>
                <w:rFonts w:cs="Arial"/>
                <w:b/>
                <w:bCs/>
                <w:color w:val="000000"/>
                <w:sz w:val="20"/>
                <w:szCs w:val="20"/>
              </w:rPr>
              <w:t>5 207 652</w:t>
            </w:r>
          </w:p>
        </w:tc>
      </w:tr>
      <w:tr w:rsidR="00E4317A" w:rsidRPr="00AC713D" w14:paraId="2D06C71D" w14:textId="77777777" w:rsidTr="00424B97">
        <w:trPr>
          <w:trHeight w:val="20"/>
        </w:trPr>
        <w:tc>
          <w:tcPr>
            <w:tcW w:w="934" w:type="pct"/>
            <w:shd w:val="clear" w:color="auto" w:fill="auto"/>
            <w:noWrap/>
            <w:vAlign w:val="center"/>
          </w:tcPr>
          <w:p w14:paraId="64150093" w14:textId="77777777" w:rsidR="00E4317A" w:rsidRPr="00AC713D" w:rsidRDefault="00E4317A" w:rsidP="00E431E6">
            <w:pPr>
              <w:spacing w:before="0" w:beforeAutospacing="0" w:after="0" w:afterAutospacing="0"/>
              <w:jc w:val="right"/>
              <w:rPr>
                <w:rFonts w:cs="Arial"/>
                <w:b/>
                <w:bCs/>
                <w:color w:val="000000"/>
                <w:sz w:val="20"/>
                <w:szCs w:val="20"/>
              </w:rPr>
            </w:pPr>
          </w:p>
        </w:tc>
        <w:tc>
          <w:tcPr>
            <w:tcW w:w="656" w:type="pct"/>
            <w:shd w:val="clear" w:color="auto" w:fill="auto"/>
            <w:noWrap/>
            <w:vAlign w:val="center"/>
          </w:tcPr>
          <w:p w14:paraId="14C3EF55" w14:textId="77777777" w:rsidR="00E4317A" w:rsidRPr="00AC713D" w:rsidRDefault="00E4317A" w:rsidP="00E431E6">
            <w:pPr>
              <w:spacing w:before="0" w:beforeAutospacing="0" w:after="0" w:afterAutospacing="0"/>
              <w:ind w:right="96"/>
              <w:jc w:val="right"/>
              <w:rPr>
                <w:rFonts w:cs="Arial"/>
                <w:b/>
                <w:iCs/>
                <w:color w:val="000000"/>
                <w:sz w:val="20"/>
                <w:szCs w:val="20"/>
              </w:rPr>
            </w:pPr>
          </w:p>
        </w:tc>
        <w:tc>
          <w:tcPr>
            <w:tcW w:w="758" w:type="pct"/>
            <w:shd w:val="clear" w:color="auto" w:fill="auto"/>
            <w:vAlign w:val="center"/>
          </w:tcPr>
          <w:p w14:paraId="3BC140E2" w14:textId="77777777" w:rsidR="00E4317A" w:rsidRPr="00AC713D" w:rsidRDefault="00E4317A" w:rsidP="00E431E6">
            <w:pPr>
              <w:spacing w:before="0" w:beforeAutospacing="0" w:after="0" w:afterAutospacing="0"/>
              <w:ind w:right="96"/>
              <w:jc w:val="right"/>
              <w:rPr>
                <w:rFonts w:cs="Arial"/>
                <w:b/>
                <w:iCs/>
                <w:color w:val="000000"/>
                <w:sz w:val="20"/>
                <w:szCs w:val="20"/>
              </w:rPr>
            </w:pPr>
          </w:p>
        </w:tc>
        <w:tc>
          <w:tcPr>
            <w:tcW w:w="656" w:type="pct"/>
            <w:shd w:val="clear" w:color="auto" w:fill="auto"/>
            <w:vAlign w:val="center"/>
          </w:tcPr>
          <w:p w14:paraId="401DF7EE" w14:textId="77777777" w:rsidR="00E4317A" w:rsidRPr="00AC713D" w:rsidRDefault="00E4317A" w:rsidP="00E431E6">
            <w:pPr>
              <w:spacing w:before="0" w:beforeAutospacing="0" w:after="0" w:afterAutospacing="0"/>
              <w:ind w:right="96"/>
              <w:jc w:val="right"/>
              <w:rPr>
                <w:rFonts w:cs="Arial"/>
                <w:b/>
                <w:bCs/>
                <w:color w:val="000000"/>
                <w:sz w:val="20"/>
                <w:szCs w:val="20"/>
              </w:rPr>
            </w:pPr>
          </w:p>
        </w:tc>
        <w:tc>
          <w:tcPr>
            <w:tcW w:w="656" w:type="pct"/>
            <w:shd w:val="clear" w:color="auto" w:fill="auto"/>
            <w:vAlign w:val="center"/>
          </w:tcPr>
          <w:p w14:paraId="58BD4DAF" w14:textId="77777777" w:rsidR="00E4317A" w:rsidRPr="00AC713D" w:rsidDel="002D1E65" w:rsidRDefault="00E4317A" w:rsidP="00E431E6">
            <w:pPr>
              <w:spacing w:before="0" w:beforeAutospacing="0" w:after="0" w:afterAutospacing="0"/>
              <w:ind w:right="96"/>
              <w:jc w:val="right"/>
              <w:rPr>
                <w:rFonts w:cs="Arial"/>
                <w:b/>
                <w:bCs/>
                <w:color w:val="000000"/>
                <w:sz w:val="20"/>
                <w:szCs w:val="20"/>
              </w:rPr>
            </w:pPr>
          </w:p>
        </w:tc>
        <w:tc>
          <w:tcPr>
            <w:tcW w:w="656" w:type="pct"/>
            <w:shd w:val="clear" w:color="auto" w:fill="auto"/>
            <w:noWrap/>
            <w:vAlign w:val="center"/>
          </w:tcPr>
          <w:p w14:paraId="715A25D0" w14:textId="77777777" w:rsidR="00E4317A" w:rsidRPr="00AC713D" w:rsidRDefault="00E4317A" w:rsidP="00E431E6">
            <w:pPr>
              <w:spacing w:before="0" w:beforeAutospacing="0" w:after="0" w:afterAutospacing="0"/>
              <w:ind w:right="96"/>
              <w:jc w:val="right"/>
              <w:rPr>
                <w:rFonts w:cs="Arial"/>
                <w:b/>
                <w:bCs/>
                <w:color w:val="000000"/>
                <w:sz w:val="20"/>
                <w:szCs w:val="20"/>
              </w:rPr>
            </w:pPr>
          </w:p>
        </w:tc>
        <w:tc>
          <w:tcPr>
            <w:tcW w:w="685" w:type="pct"/>
            <w:shd w:val="clear" w:color="auto" w:fill="auto"/>
            <w:vAlign w:val="center"/>
          </w:tcPr>
          <w:p w14:paraId="2A698457" w14:textId="77777777" w:rsidR="00E4317A" w:rsidRPr="00AC713D" w:rsidRDefault="00E4317A" w:rsidP="00E431E6">
            <w:pPr>
              <w:spacing w:before="0" w:beforeAutospacing="0" w:after="0" w:afterAutospacing="0"/>
              <w:ind w:right="94"/>
              <w:jc w:val="right"/>
              <w:rPr>
                <w:rFonts w:cs="Arial"/>
                <w:b/>
                <w:bCs/>
                <w:color w:val="000000"/>
                <w:sz w:val="20"/>
                <w:szCs w:val="20"/>
              </w:rPr>
            </w:pPr>
          </w:p>
        </w:tc>
      </w:tr>
      <w:tr w:rsidR="00E4317A" w:rsidRPr="00AC713D" w14:paraId="7BB4CFE2" w14:textId="77777777" w:rsidTr="00424B97">
        <w:trPr>
          <w:trHeight w:val="20"/>
        </w:trPr>
        <w:tc>
          <w:tcPr>
            <w:tcW w:w="934" w:type="pct"/>
            <w:tcBorders>
              <w:top w:val="single" w:sz="4" w:space="0" w:color="9C9D9F"/>
            </w:tcBorders>
            <w:shd w:val="clear" w:color="auto" w:fill="auto"/>
            <w:noWrap/>
            <w:vAlign w:val="center"/>
          </w:tcPr>
          <w:p w14:paraId="1C1F3C43" w14:textId="77777777" w:rsidR="00E4317A" w:rsidRPr="00AC713D" w:rsidRDefault="00E4317A" w:rsidP="00E431E6">
            <w:pPr>
              <w:spacing w:before="0" w:beforeAutospacing="0" w:after="0" w:afterAutospacing="0"/>
              <w:jc w:val="right"/>
              <w:rPr>
                <w:rFonts w:cs="Arial"/>
                <w:b/>
                <w:bCs/>
                <w:color w:val="000000"/>
                <w:sz w:val="20"/>
                <w:szCs w:val="20"/>
              </w:rPr>
            </w:pPr>
          </w:p>
        </w:tc>
        <w:tc>
          <w:tcPr>
            <w:tcW w:w="656" w:type="pct"/>
            <w:tcBorders>
              <w:top w:val="single" w:sz="4" w:space="0" w:color="9C9D9F"/>
            </w:tcBorders>
            <w:shd w:val="clear" w:color="auto" w:fill="auto"/>
            <w:noWrap/>
            <w:vAlign w:val="center"/>
          </w:tcPr>
          <w:p w14:paraId="7557A23D" w14:textId="77777777" w:rsidR="00E4317A" w:rsidRPr="00AC713D" w:rsidRDefault="00E4317A" w:rsidP="00E431E6">
            <w:pPr>
              <w:spacing w:before="0" w:beforeAutospacing="0" w:after="0" w:afterAutospacing="0"/>
              <w:ind w:right="96"/>
              <w:jc w:val="right"/>
              <w:rPr>
                <w:rFonts w:cs="Arial"/>
                <w:bCs/>
                <w:color w:val="000000"/>
                <w:sz w:val="20"/>
                <w:szCs w:val="20"/>
              </w:rPr>
            </w:pPr>
            <w:r w:rsidRPr="00AC713D">
              <w:rPr>
                <w:rFonts w:cs="Arial"/>
                <w:color w:val="000000"/>
                <w:sz w:val="20"/>
                <w:szCs w:val="20"/>
              </w:rPr>
              <w:t> </w:t>
            </w:r>
          </w:p>
        </w:tc>
        <w:tc>
          <w:tcPr>
            <w:tcW w:w="758" w:type="pct"/>
            <w:tcBorders>
              <w:top w:val="single" w:sz="4" w:space="0" w:color="9C9D9F"/>
            </w:tcBorders>
            <w:vAlign w:val="center"/>
          </w:tcPr>
          <w:p w14:paraId="3DF7FE70" w14:textId="77777777" w:rsidR="00E4317A" w:rsidRPr="00AC713D" w:rsidRDefault="00E4317A" w:rsidP="00E431E6">
            <w:pPr>
              <w:spacing w:before="0" w:beforeAutospacing="0" w:after="0" w:afterAutospacing="0"/>
              <w:ind w:right="96"/>
              <w:jc w:val="right"/>
              <w:rPr>
                <w:rFonts w:cs="Arial"/>
                <w:bCs/>
                <w:color w:val="000000"/>
                <w:sz w:val="20"/>
                <w:szCs w:val="20"/>
              </w:rPr>
            </w:pPr>
            <w:r w:rsidRPr="00AC713D">
              <w:rPr>
                <w:rFonts w:cs="Arial"/>
                <w:color w:val="000000"/>
                <w:sz w:val="20"/>
                <w:szCs w:val="20"/>
              </w:rPr>
              <w:t> </w:t>
            </w:r>
          </w:p>
        </w:tc>
        <w:tc>
          <w:tcPr>
            <w:tcW w:w="656" w:type="pct"/>
            <w:tcBorders>
              <w:top w:val="single" w:sz="4" w:space="0" w:color="9C9D9F"/>
            </w:tcBorders>
            <w:vAlign w:val="center"/>
          </w:tcPr>
          <w:p w14:paraId="1AFF56C9" w14:textId="77777777" w:rsidR="00E4317A" w:rsidRPr="00AC713D" w:rsidRDefault="00E4317A" w:rsidP="00E431E6">
            <w:pPr>
              <w:spacing w:before="0" w:beforeAutospacing="0" w:after="0" w:afterAutospacing="0"/>
              <w:ind w:right="96"/>
              <w:jc w:val="right"/>
              <w:rPr>
                <w:rFonts w:cs="Arial"/>
                <w:bCs/>
                <w:color w:val="000000"/>
                <w:sz w:val="20"/>
                <w:szCs w:val="20"/>
              </w:rPr>
            </w:pPr>
            <w:r w:rsidRPr="00AC713D">
              <w:rPr>
                <w:rFonts w:cs="Arial"/>
                <w:color w:val="000000"/>
                <w:sz w:val="20"/>
                <w:szCs w:val="20"/>
              </w:rPr>
              <w:t> </w:t>
            </w:r>
          </w:p>
        </w:tc>
        <w:tc>
          <w:tcPr>
            <w:tcW w:w="656" w:type="pct"/>
            <w:tcBorders>
              <w:top w:val="single" w:sz="4" w:space="0" w:color="9C9D9F"/>
            </w:tcBorders>
            <w:vAlign w:val="center"/>
          </w:tcPr>
          <w:p w14:paraId="50B12BC5" w14:textId="77777777" w:rsidR="00E4317A" w:rsidRPr="00AC713D" w:rsidRDefault="00E4317A" w:rsidP="00E431E6">
            <w:pPr>
              <w:spacing w:before="0" w:beforeAutospacing="0" w:after="0" w:afterAutospacing="0"/>
              <w:ind w:right="96"/>
              <w:jc w:val="right"/>
              <w:rPr>
                <w:rFonts w:cs="Arial"/>
                <w:bCs/>
                <w:color w:val="000000"/>
                <w:sz w:val="20"/>
                <w:szCs w:val="20"/>
              </w:rPr>
            </w:pPr>
            <w:r w:rsidRPr="00AC713D">
              <w:rPr>
                <w:rFonts w:cs="Arial"/>
                <w:color w:val="000000"/>
                <w:sz w:val="20"/>
                <w:szCs w:val="20"/>
              </w:rPr>
              <w:t> </w:t>
            </w:r>
          </w:p>
        </w:tc>
        <w:tc>
          <w:tcPr>
            <w:tcW w:w="656" w:type="pct"/>
            <w:tcBorders>
              <w:top w:val="single" w:sz="4" w:space="0" w:color="9C9D9F"/>
            </w:tcBorders>
            <w:shd w:val="clear" w:color="auto" w:fill="auto"/>
            <w:noWrap/>
            <w:vAlign w:val="center"/>
          </w:tcPr>
          <w:p w14:paraId="37E8FABC" w14:textId="77777777" w:rsidR="00E4317A" w:rsidRPr="00AC713D" w:rsidRDefault="00E4317A" w:rsidP="00E431E6">
            <w:pPr>
              <w:spacing w:before="0" w:beforeAutospacing="0" w:after="0" w:afterAutospacing="0"/>
              <w:ind w:right="96"/>
              <w:jc w:val="right"/>
              <w:rPr>
                <w:rFonts w:cs="Arial"/>
                <w:bCs/>
                <w:color w:val="000000"/>
                <w:sz w:val="20"/>
                <w:szCs w:val="20"/>
              </w:rPr>
            </w:pPr>
            <w:r w:rsidRPr="00AC713D">
              <w:rPr>
                <w:rFonts w:cs="Arial"/>
                <w:color w:val="000000"/>
                <w:sz w:val="20"/>
                <w:szCs w:val="20"/>
              </w:rPr>
              <w:t> </w:t>
            </w:r>
          </w:p>
        </w:tc>
        <w:tc>
          <w:tcPr>
            <w:tcW w:w="685" w:type="pct"/>
            <w:tcBorders>
              <w:top w:val="single" w:sz="4" w:space="0" w:color="9C9D9F"/>
            </w:tcBorders>
            <w:vAlign w:val="center"/>
          </w:tcPr>
          <w:p w14:paraId="7FE7D3C9" w14:textId="77777777" w:rsidR="00E4317A" w:rsidRPr="00AC713D" w:rsidRDefault="00E4317A" w:rsidP="00E431E6">
            <w:pPr>
              <w:spacing w:before="0" w:beforeAutospacing="0" w:after="0" w:afterAutospacing="0"/>
              <w:ind w:right="94"/>
              <w:jc w:val="right"/>
              <w:rPr>
                <w:rFonts w:cs="Arial"/>
                <w:b/>
                <w:bCs/>
                <w:color w:val="000000"/>
                <w:sz w:val="20"/>
                <w:szCs w:val="20"/>
              </w:rPr>
            </w:pPr>
            <w:r w:rsidRPr="00AC713D">
              <w:rPr>
                <w:rFonts w:cs="Arial"/>
                <w:b/>
                <w:bCs/>
                <w:color w:val="000000"/>
                <w:sz w:val="20"/>
                <w:szCs w:val="20"/>
              </w:rPr>
              <w:t> </w:t>
            </w:r>
          </w:p>
        </w:tc>
      </w:tr>
      <w:tr w:rsidR="00424B97" w:rsidRPr="00AC713D" w14:paraId="20BB339C" w14:textId="77777777" w:rsidTr="00424B97">
        <w:trPr>
          <w:trHeight w:val="20"/>
        </w:trPr>
        <w:tc>
          <w:tcPr>
            <w:tcW w:w="934" w:type="pct"/>
            <w:shd w:val="clear" w:color="auto" w:fill="9C9D9F"/>
            <w:noWrap/>
            <w:vAlign w:val="center"/>
          </w:tcPr>
          <w:p w14:paraId="629819B2" w14:textId="09C0B8C5" w:rsidR="00424B97" w:rsidRPr="00AC713D" w:rsidRDefault="00424B97" w:rsidP="00424B97">
            <w:pPr>
              <w:spacing w:before="0" w:beforeAutospacing="0" w:after="0" w:afterAutospacing="0"/>
              <w:jc w:val="right"/>
              <w:rPr>
                <w:rFonts w:cs="Arial"/>
                <w:color w:val="000000"/>
                <w:sz w:val="20"/>
                <w:szCs w:val="20"/>
              </w:rPr>
            </w:pPr>
            <w:r w:rsidRPr="00AC713D">
              <w:rPr>
                <w:rFonts w:cs="Arial"/>
                <w:b/>
                <w:bCs/>
                <w:color w:val="000000"/>
                <w:sz w:val="20"/>
                <w:szCs w:val="20"/>
              </w:rPr>
              <w:t>k 1. lednu 2020</w:t>
            </w:r>
          </w:p>
        </w:tc>
        <w:tc>
          <w:tcPr>
            <w:tcW w:w="656" w:type="pct"/>
            <w:shd w:val="clear" w:color="auto" w:fill="9C9D9F"/>
            <w:noWrap/>
            <w:vAlign w:val="center"/>
          </w:tcPr>
          <w:p w14:paraId="001EA09A" w14:textId="53F25517" w:rsidR="00424B97" w:rsidRPr="00AC713D" w:rsidRDefault="00424B97" w:rsidP="00424B97">
            <w:pPr>
              <w:spacing w:before="0" w:beforeAutospacing="0" w:after="0" w:afterAutospacing="0"/>
              <w:ind w:right="96"/>
              <w:jc w:val="right"/>
              <w:rPr>
                <w:rFonts w:cs="Arial"/>
                <w:b/>
                <w:color w:val="000000"/>
                <w:sz w:val="20"/>
                <w:szCs w:val="20"/>
              </w:rPr>
            </w:pPr>
            <w:r w:rsidRPr="00AC713D">
              <w:rPr>
                <w:rFonts w:cs="Arial"/>
                <w:b/>
                <w:iCs/>
                <w:color w:val="000000"/>
                <w:sz w:val="20"/>
                <w:szCs w:val="20"/>
              </w:rPr>
              <w:t>299 857</w:t>
            </w:r>
          </w:p>
        </w:tc>
        <w:tc>
          <w:tcPr>
            <w:tcW w:w="758" w:type="pct"/>
            <w:shd w:val="clear" w:color="auto" w:fill="9C9D9F"/>
            <w:vAlign w:val="center"/>
          </w:tcPr>
          <w:p w14:paraId="3203ECBE" w14:textId="12B72328" w:rsidR="00424B97" w:rsidRPr="00AC713D" w:rsidRDefault="00424B97" w:rsidP="00424B97">
            <w:pPr>
              <w:spacing w:before="0" w:beforeAutospacing="0" w:after="0" w:afterAutospacing="0"/>
              <w:ind w:right="96"/>
              <w:jc w:val="right"/>
              <w:rPr>
                <w:rFonts w:cs="Arial"/>
                <w:b/>
                <w:color w:val="000000"/>
                <w:sz w:val="20"/>
                <w:szCs w:val="20"/>
              </w:rPr>
            </w:pPr>
            <w:r w:rsidRPr="00AC713D">
              <w:rPr>
                <w:rFonts w:cs="Arial"/>
                <w:b/>
                <w:iCs/>
                <w:color w:val="000000"/>
                <w:sz w:val="20"/>
                <w:szCs w:val="20"/>
              </w:rPr>
              <w:t>86 701</w:t>
            </w:r>
          </w:p>
        </w:tc>
        <w:tc>
          <w:tcPr>
            <w:tcW w:w="656" w:type="pct"/>
            <w:shd w:val="clear" w:color="auto" w:fill="9C9D9F"/>
            <w:vAlign w:val="center"/>
          </w:tcPr>
          <w:p w14:paraId="57DB694B" w14:textId="72CC5CA1" w:rsidR="00424B97" w:rsidRPr="00AC713D" w:rsidRDefault="00200BC7" w:rsidP="00424B97">
            <w:pPr>
              <w:spacing w:before="0" w:beforeAutospacing="0" w:after="0" w:afterAutospacing="0"/>
              <w:ind w:right="96"/>
              <w:jc w:val="right"/>
              <w:rPr>
                <w:rFonts w:cs="Arial"/>
                <w:b/>
                <w:color w:val="000000"/>
                <w:sz w:val="20"/>
                <w:szCs w:val="20"/>
              </w:rPr>
            </w:pPr>
            <w:r>
              <w:rPr>
                <w:rFonts w:cs="Arial"/>
                <w:b/>
                <w:color w:val="000000"/>
                <w:sz w:val="20"/>
                <w:szCs w:val="20"/>
              </w:rPr>
              <w:t>88 335</w:t>
            </w:r>
          </w:p>
        </w:tc>
        <w:tc>
          <w:tcPr>
            <w:tcW w:w="656" w:type="pct"/>
            <w:shd w:val="clear" w:color="auto" w:fill="9C9D9F"/>
            <w:vAlign w:val="center"/>
          </w:tcPr>
          <w:p w14:paraId="17634647" w14:textId="20AA3804" w:rsidR="00424B97" w:rsidRPr="00AC713D" w:rsidDel="002D1E65" w:rsidRDefault="00200BC7" w:rsidP="00424B97">
            <w:pPr>
              <w:spacing w:before="0" w:beforeAutospacing="0" w:after="0" w:afterAutospacing="0"/>
              <w:ind w:right="96"/>
              <w:jc w:val="right"/>
              <w:rPr>
                <w:rFonts w:cs="Arial"/>
                <w:b/>
                <w:color w:val="000000"/>
                <w:sz w:val="20"/>
                <w:szCs w:val="20"/>
              </w:rPr>
            </w:pPr>
            <w:r>
              <w:rPr>
                <w:rFonts w:cs="Arial"/>
                <w:b/>
                <w:color w:val="000000"/>
                <w:sz w:val="20"/>
                <w:szCs w:val="20"/>
              </w:rPr>
              <w:t>16 270</w:t>
            </w:r>
          </w:p>
        </w:tc>
        <w:tc>
          <w:tcPr>
            <w:tcW w:w="656" w:type="pct"/>
            <w:shd w:val="clear" w:color="auto" w:fill="9C9D9F"/>
            <w:noWrap/>
            <w:vAlign w:val="center"/>
          </w:tcPr>
          <w:p w14:paraId="568BD813" w14:textId="6713AFAA" w:rsidR="00424B97" w:rsidRPr="00AC713D" w:rsidRDefault="00200BC7" w:rsidP="00424B97">
            <w:pPr>
              <w:spacing w:before="0" w:beforeAutospacing="0" w:after="0" w:afterAutospacing="0"/>
              <w:ind w:right="96"/>
              <w:jc w:val="right"/>
              <w:rPr>
                <w:rFonts w:cs="Arial"/>
                <w:b/>
                <w:color w:val="000000"/>
                <w:sz w:val="20"/>
                <w:szCs w:val="20"/>
              </w:rPr>
            </w:pPr>
            <w:r>
              <w:rPr>
                <w:rFonts w:cs="Arial"/>
                <w:b/>
                <w:color w:val="000000"/>
                <w:sz w:val="20"/>
                <w:szCs w:val="20"/>
              </w:rPr>
              <w:t>4 994 938</w:t>
            </w:r>
          </w:p>
        </w:tc>
        <w:tc>
          <w:tcPr>
            <w:tcW w:w="685" w:type="pct"/>
            <w:shd w:val="clear" w:color="auto" w:fill="9C9D9F"/>
            <w:vAlign w:val="center"/>
          </w:tcPr>
          <w:p w14:paraId="4DED3947" w14:textId="11E05237" w:rsidR="00424B97" w:rsidRPr="00AC713D" w:rsidRDefault="00200BC7" w:rsidP="00424B97">
            <w:pPr>
              <w:spacing w:before="0" w:beforeAutospacing="0" w:after="0" w:afterAutospacing="0"/>
              <w:ind w:right="94"/>
              <w:jc w:val="right"/>
              <w:rPr>
                <w:rFonts w:cs="Arial"/>
                <w:b/>
                <w:color w:val="000000"/>
                <w:sz w:val="20"/>
                <w:szCs w:val="20"/>
              </w:rPr>
            </w:pPr>
            <w:r>
              <w:rPr>
                <w:rFonts w:cs="Arial"/>
                <w:b/>
                <w:color w:val="000000"/>
                <w:sz w:val="20"/>
                <w:szCs w:val="20"/>
              </w:rPr>
              <w:t>5 486 102</w:t>
            </w:r>
          </w:p>
        </w:tc>
      </w:tr>
      <w:tr w:rsidR="00424B97" w:rsidRPr="00AC713D" w14:paraId="5A359FF5" w14:textId="77777777" w:rsidTr="00424B97">
        <w:trPr>
          <w:trHeight w:val="20"/>
        </w:trPr>
        <w:tc>
          <w:tcPr>
            <w:tcW w:w="934" w:type="pct"/>
            <w:tcBorders>
              <w:bottom w:val="single" w:sz="4" w:space="0" w:color="9C9D9F"/>
            </w:tcBorders>
            <w:shd w:val="clear" w:color="auto" w:fill="auto"/>
            <w:noWrap/>
            <w:vAlign w:val="center"/>
          </w:tcPr>
          <w:p w14:paraId="48B7A0D8" w14:textId="77777777" w:rsidR="00424B97" w:rsidRPr="00AC713D" w:rsidRDefault="00424B97" w:rsidP="00424B97">
            <w:pPr>
              <w:spacing w:before="0" w:beforeAutospacing="0" w:after="0" w:afterAutospacing="0"/>
              <w:jc w:val="right"/>
              <w:rPr>
                <w:rFonts w:cs="Arial"/>
                <w:bCs/>
                <w:color w:val="000000"/>
                <w:sz w:val="20"/>
                <w:szCs w:val="20"/>
              </w:rPr>
            </w:pPr>
            <w:r w:rsidRPr="00AC713D">
              <w:rPr>
                <w:rFonts w:cs="Arial"/>
                <w:color w:val="000000"/>
                <w:sz w:val="20"/>
                <w:szCs w:val="20"/>
              </w:rPr>
              <w:t>Distribuce</w:t>
            </w:r>
          </w:p>
        </w:tc>
        <w:tc>
          <w:tcPr>
            <w:tcW w:w="656" w:type="pct"/>
            <w:tcBorders>
              <w:bottom w:val="single" w:sz="4" w:space="0" w:color="9C9D9F"/>
            </w:tcBorders>
            <w:shd w:val="clear" w:color="auto" w:fill="auto"/>
            <w:noWrap/>
            <w:vAlign w:val="center"/>
          </w:tcPr>
          <w:p w14:paraId="47A248A6" w14:textId="77777777" w:rsidR="00424B97" w:rsidRPr="00AC713D" w:rsidRDefault="00424B97" w:rsidP="00424B97">
            <w:pPr>
              <w:spacing w:before="0" w:beforeAutospacing="0" w:after="0" w:afterAutospacing="0"/>
              <w:ind w:right="96"/>
              <w:jc w:val="right"/>
              <w:rPr>
                <w:rFonts w:cs="Arial"/>
                <w:iCs/>
                <w:color w:val="000000"/>
                <w:sz w:val="20"/>
                <w:szCs w:val="20"/>
              </w:rPr>
            </w:pPr>
            <w:r w:rsidRPr="00AC713D">
              <w:rPr>
                <w:rFonts w:cs="Arial"/>
                <w:iCs/>
                <w:color w:val="000000"/>
                <w:sz w:val="20"/>
                <w:szCs w:val="20"/>
              </w:rPr>
              <w:t>--</w:t>
            </w:r>
          </w:p>
        </w:tc>
        <w:tc>
          <w:tcPr>
            <w:tcW w:w="758" w:type="pct"/>
            <w:tcBorders>
              <w:bottom w:val="single" w:sz="4" w:space="0" w:color="9C9D9F"/>
            </w:tcBorders>
            <w:shd w:val="clear" w:color="auto" w:fill="auto"/>
            <w:vAlign w:val="center"/>
          </w:tcPr>
          <w:p w14:paraId="37C9DB67" w14:textId="77777777" w:rsidR="00424B97" w:rsidRPr="00AC713D" w:rsidRDefault="00424B97" w:rsidP="00424B97">
            <w:pPr>
              <w:spacing w:before="0" w:beforeAutospacing="0" w:after="0" w:afterAutospacing="0"/>
              <w:ind w:right="96"/>
              <w:jc w:val="right"/>
              <w:rPr>
                <w:rFonts w:cs="Arial"/>
                <w:iCs/>
                <w:color w:val="000000"/>
                <w:sz w:val="20"/>
                <w:szCs w:val="20"/>
              </w:rPr>
            </w:pPr>
            <w:r w:rsidRPr="00AC713D">
              <w:rPr>
                <w:rFonts w:cs="Arial"/>
                <w:iCs/>
                <w:color w:val="000000"/>
                <w:sz w:val="20"/>
                <w:szCs w:val="20"/>
              </w:rPr>
              <w:t>--</w:t>
            </w:r>
          </w:p>
        </w:tc>
        <w:tc>
          <w:tcPr>
            <w:tcW w:w="656" w:type="pct"/>
            <w:tcBorders>
              <w:bottom w:val="single" w:sz="4" w:space="0" w:color="9C9D9F"/>
            </w:tcBorders>
            <w:vAlign w:val="center"/>
          </w:tcPr>
          <w:p w14:paraId="5D2632C3" w14:textId="56E9C232" w:rsidR="00424B97" w:rsidRPr="00AC713D" w:rsidRDefault="00424B97" w:rsidP="00424B97">
            <w:pPr>
              <w:spacing w:before="0" w:beforeAutospacing="0" w:after="0" w:afterAutospacing="0"/>
              <w:ind w:right="96"/>
              <w:jc w:val="right"/>
              <w:rPr>
                <w:rFonts w:cs="Arial"/>
                <w:iCs/>
                <w:color w:val="000000"/>
                <w:sz w:val="20"/>
                <w:szCs w:val="20"/>
              </w:rPr>
            </w:pPr>
            <w:r w:rsidRPr="00AC713D">
              <w:rPr>
                <w:rFonts w:cs="Arial"/>
                <w:iCs/>
                <w:color w:val="000000"/>
                <w:sz w:val="20"/>
                <w:szCs w:val="20"/>
              </w:rPr>
              <w:t>--</w:t>
            </w:r>
          </w:p>
        </w:tc>
        <w:tc>
          <w:tcPr>
            <w:tcW w:w="656" w:type="pct"/>
            <w:tcBorders>
              <w:bottom w:val="single" w:sz="4" w:space="0" w:color="9C9D9F"/>
            </w:tcBorders>
            <w:shd w:val="clear" w:color="auto" w:fill="auto"/>
            <w:vAlign w:val="center"/>
          </w:tcPr>
          <w:p w14:paraId="1D765C14" w14:textId="4F5A0292" w:rsidR="00424B97" w:rsidRPr="00AC713D" w:rsidRDefault="00424B97" w:rsidP="00424B97">
            <w:pPr>
              <w:spacing w:before="0" w:beforeAutospacing="0" w:after="0" w:afterAutospacing="0"/>
              <w:ind w:right="96"/>
              <w:jc w:val="right"/>
              <w:rPr>
                <w:rFonts w:cs="Arial"/>
                <w:b/>
                <w:iCs/>
                <w:color w:val="000000"/>
                <w:sz w:val="20"/>
                <w:szCs w:val="20"/>
              </w:rPr>
            </w:pPr>
            <w:r w:rsidRPr="00AC713D">
              <w:rPr>
                <w:rFonts w:cs="Arial"/>
                <w:iCs/>
                <w:color w:val="000000"/>
                <w:sz w:val="20"/>
                <w:szCs w:val="20"/>
              </w:rPr>
              <w:t>--</w:t>
            </w:r>
          </w:p>
        </w:tc>
        <w:tc>
          <w:tcPr>
            <w:tcW w:w="656" w:type="pct"/>
            <w:tcBorders>
              <w:bottom w:val="single" w:sz="4" w:space="0" w:color="9C9D9F"/>
            </w:tcBorders>
            <w:shd w:val="clear" w:color="auto" w:fill="auto"/>
            <w:noWrap/>
            <w:vAlign w:val="center"/>
          </w:tcPr>
          <w:p w14:paraId="60B71AB2" w14:textId="77777777" w:rsidR="00424B97" w:rsidRPr="00AC713D" w:rsidRDefault="00424B97" w:rsidP="00424B97">
            <w:pPr>
              <w:spacing w:before="0" w:beforeAutospacing="0" w:after="0" w:afterAutospacing="0"/>
              <w:ind w:right="96"/>
              <w:jc w:val="right"/>
              <w:rPr>
                <w:rFonts w:cs="Arial"/>
                <w:iCs/>
                <w:color w:val="000000"/>
                <w:sz w:val="20"/>
                <w:szCs w:val="20"/>
              </w:rPr>
            </w:pPr>
            <w:r w:rsidRPr="00AC713D">
              <w:rPr>
                <w:rFonts w:cs="Arial"/>
                <w:iCs/>
                <w:color w:val="000000"/>
                <w:sz w:val="20"/>
                <w:szCs w:val="20"/>
              </w:rPr>
              <w:t>--</w:t>
            </w:r>
          </w:p>
        </w:tc>
        <w:tc>
          <w:tcPr>
            <w:tcW w:w="685" w:type="pct"/>
            <w:tcBorders>
              <w:bottom w:val="single" w:sz="4" w:space="0" w:color="9C9D9F"/>
            </w:tcBorders>
            <w:shd w:val="clear" w:color="auto" w:fill="auto"/>
            <w:vAlign w:val="center"/>
          </w:tcPr>
          <w:p w14:paraId="6B87F7AD" w14:textId="734CD349" w:rsidR="00424B97" w:rsidRPr="00AC713D" w:rsidRDefault="00424B97" w:rsidP="00424B97">
            <w:pPr>
              <w:spacing w:before="0" w:beforeAutospacing="0" w:after="0" w:afterAutospacing="0"/>
              <w:ind w:right="94"/>
              <w:jc w:val="right"/>
              <w:rPr>
                <w:rFonts w:cs="Arial"/>
                <w:b/>
                <w:bCs/>
                <w:color w:val="000000"/>
                <w:sz w:val="20"/>
                <w:szCs w:val="20"/>
              </w:rPr>
            </w:pPr>
            <w:r w:rsidRPr="00AC713D">
              <w:rPr>
                <w:rFonts w:cs="Arial"/>
                <w:iCs/>
                <w:color w:val="000000"/>
                <w:sz w:val="20"/>
                <w:szCs w:val="20"/>
              </w:rPr>
              <w:t>--</w:t>
            </w:r>
          </w:p>
        </w:tc>
      </w:tr>
      <w:tr w:rsidR="00424B97" w:rsidRPr="00AC713D" w14:paraId="350ABD7A" w14:textId="77777777" w:rsidTr="00424B97">
        <w:trPr>
          <w:trHeight w:val="20"/>
        </w:trPr>
        <w:tc>
          <w:tcPr>
            <w:tcW w:w="934" w:type="pct"/>
            <w:tcBorders>
              <w:top w:val="single" w:sz="4" w:space="0" w:color="9C9D9F"/>
              <w:bottom w:val="single" w:sz="4" w:space="0" w:color="9C9D9F"/>
            </w:tcBorders>
            <w:shd w:val="clear" w:color="auto" w:fill="auto"/>
            <w:noWrap/>
            <w:vAlign w:val="center"/>
          </w:tcPr>
          <w:p w14:paraId="56465A70" w14:textId="77777777" w:rsidR="00424B97" w:rsidRPr="00AC713D" w:rsidRDefault="00424B97" w:rsidP="00424B97">
            <w:pPr>
              <w:spacing w:before="0" w:beforeAutospacing="0" w:after="0" w:afterAutospacing="0"/>
              <w:jc w:val="right"/>
              <w:rPr>
                <w:rFonts w:cs="Arial"/>
                <w:bCs/>
                <w:color w:val="000000"/>
                <w:sz w:val="20"/>
                <w:szCs w:val="20"/>
              </w:rPr>
            </w:pPr>
            <w:r w:rsidRPr="00AC713D">
              <w:rPr>
                <w:rFonts w:cs="Arial"/>
                <w:color w:val="000000"/>
                <w:sz w:val="20"/>
                <w:szCs w:val="20"/>
              </w:rPr>
              <w:t>Ostatní úplný výsledek za období</w:t>
            </w:r>
          </w:p>
        </w:tc>
        <w:tc>
          <w:tcPr>
            <w:tcW w:w="656" w:type="pct"/>
            <w:tcBorders>
              <w:top w:val="single" w:sz="4" w:space="0" w:color="9C9D9F"/>
              <w:bottom w:val="single" w:sz="4" w:space="0" w:color="9C9D9F"/>
            </w:tcBorders>
            <w:shd w:val="clear" w:color="auto" w:fill="auto"/>
            <w:noWrap/>
            <w:vAlign w:val="center"/>
          </w:tcPr>
          <w:p w14:paraId="64084BC2" w14:textId="426F7EA2" w:rsidR="00424B97" w:rsidRPr="00AC713D" w:rsidRDefault="00424B97" w:rsidP="00424B97">
            <w:pPr>
              <w:spacing w:before="0" w:beforeAutospacing="0" w:after="0" w:afterAutospacing="0"/>
              <w:ind w:right="96"/>
              <w:jc w:val="right"/>
              <w:rPr>
                <w:rFonts w:cs="Arial"/>
                <w:iCs/>
                <w:color w:val="000000"/>
                <w:sz w:val="20"/>
                <w:szCs w:val="20"/>
              </w:rPr>
            </w:pPr>
            <w:r w:rsidRPr="00AC713D">
              <w:rPr>
                <w:rFonts w:cs="Arial"/>
                <w:iCs/>
                <w:color w:val="000000"/>
                <w:sz w:val="20"/>
                <w:szCs w:val="20"/>
              </w:rPr>
              <w:t>--</w:t>
            </w:r>
          </w:p>
        </w:tc>
        <w:tc>
          <w:tcPr>
            <w:tcW w:w="758" w:type="pct"/>
            <w:tcBorders>
              <w:top w:val="single" w:sz="4" w:space="0" w:color="9C9D9F"/>
              <w:bottom w:val="single" w:sz="4" w:space="0" w:color="9C9D9F"/>
            </w:tcBorders>
            <w:shd w:val="clear" w:color="auto" w:fill="auto"/>
            <w:vAlign w:val="center"/>
          </w:tcPr>
          <w:p w14:paraId="2D4F3FD9" w14:textId="64340CE3" w:rsidR="00424B97" w:rsidRPr="00AC713D" w:rsidRDefault="00424B97" w:rsidP="00424B97">
            <w:pPr>
              <w:spacing w:before="0" w:beforeAutospacing="0" w:after="0" w:afterAutospacing="0"/>
              <w:ind w:right="96"/>
              <w:jc w:val="right"/>
              <w:rPr>
                <w:rFonts w:cs="Arial"/>
                <w:iCs/>
                <w:color w:val="000000"/>
                <w:sz w:val="20"/>
                <w:szCs w:val="20"/>
              </w:rPr>
            </w:pPr>
            <w:r w:rsidRPr="00AC713D">
              <w:rPr>
                <w:rFonts w:cs="Arial"/>
                <w:iCs/>
                <w:color w:val="000000"/>
                <w:sz w:val="20"/>
                <w:szCs w:val="20"/>
              </w:rPr>
              <w:t>--</w:t>
            </w:r>
          </w:p>
        </w:tc>
        <w:tc>
          <w:tcPr>
            <w:tcW w:w="656" w:type="pct"/>
            <w:tcBorders>
              <w:top w:val="single" w:sz="4" w:space="0" w:color="9C9D9F"/>
              <w:bottom w:val="single" w:sz="4" w:space="0" w:color="9C9D9F"/>
            </w:tcBorders>
            <w:vAlign w:val="center"/>
          </w:tcPr>
          <w:p w14:paraId="49C4B283" w14:textId="35FF88EC" w:rsidR="00424B97" w:rsidRPr="00AC713D" w:rsidRDefault="001B6C32" w:rsidP="00424B97">
            <w:pPr>
              <w:spacing w:before="0" w:beforeAutospacing="0" w:after="0" w:afterAutospacing="0"/>
              <w:ind w:right="96"/>
              <w:jc w:val="right"/>
              <w:rPr>
                <w:rFonts w:cs="Arial"/>
                <w:iCs/>
                <w:color w:val="000000"/>
                <w:sz w:val="20"/>
                <w:szCs w:val="20"/>
              </w:rPr>
            </w:pPr>
            <w:r>
              <w:rPr>
                <w:rFonts w:cs="Arial"/>
                <w:iCs/>
                <w:color w:val="000000"/>
                <w:sz w:val="20"/>
                <w:szCs w:val="20"/>
              </w:rPr>
              <w:t>49 202</w:t>
            </w:r>
          </w:p>
        </w:tc>
        <w:tc>
          <w:tcPr>
            <w:tcW w:w="656" w:type="pct"/>
            <w:tcBorders>
              <w:top w:val="single" w:sz="4" w:space="0" w:color="9C9D9F"/>
              <w:bottom w:val="single" w:sz="4" w:space="0" w:color="9C9D9F"/>
            </w:tcBorders>
            <w:shd w:val="clear" w:color="auto" w:fill="auto"/>
            <w:vAlign w:val="center"/>
          </w:tcPr>
          <w:p w14:paraId="1A0133BE" w14:textId="170A629A" w:rsidR="00424B97" w:rsidRPr="00AC713D" w:rsidRDefault="001B6C32" w:rsidP="00424B97">
            <w:pPr>
              <w:spacing w:before="0" w:beforeAutospacing="0" w:after="0" w:afterAutospacing="0"/>
              <w:ind w:right="96"/>
              <w:jc w:val="right"/>
              <w:rPr>
                <w:rFonts w:cs="Arial"/>
                <w:bCs/>
                <w:color w:val="000000"/>
                <w:sz w:val="20"/>
                <w:szCs w:val="20"/>
              </w:rPr>
            </w:pPr>
            <w:r>
              <w:rPr>
                <w:rFonts w:cs="Arial"/>
                <w:bCs/>
                <w:color w:val="000000"/>
                <w:sz w:val="20"/>
                <w:szCs w:val="20"/>
              </w:rPr>
              <w:t>-53 047</w:t>
            </w:r>
          </w:p>
        </w:tc>
        <w:tc>
          <w:tcPr>
            <w:tcW w:w="656" w:type="pct"/>
            <w:tcBorders>
              <w:top w:val="single" w:sz="4" w:space="0" w:color="9C9D9F"/>
              <w:bottom w:val="single" w:sz="4" w:space="0" w:color="9C9D9F"/>
            </w:tcBorders>
            <w:shd w:val="clear" w:color="auto" w:fill="auto"/>
            <w:noWrap/>
            <w:vAlign w:val="center"/>
          </w:tcPr>
          <w:p w14:paraId="3B2AC5EF" w14:textId="4991EE51" w:rsidR="00424B97" w:rsidRPr="00AC713D" w:rsidRDefault="00200BC7" w:rsidP="00424B97">
            <w:pPr>
              <w:spacing w:before="0" w:beforeAutospacing="0" w:after="0" w:afterAutospacing="0"/>
              <w:ind w:right="96"/>
              <w:jc w:val="right"/>
              <w:rPr>
                <w:rFonts w:cs="Arial"/>
                <w:iCs/>
                <w:color w:val="000000"/>
                <w:sz w:val="20"/>
                <w:szCs w:val="20"/>
              </w:rPr>
            </w:pPr>
            <w:r w:rsidRPr="00AC713D">
              <w:rPr>
                <w:rFonts w:cs="Arial"/>
                <w:iCs/>
                <w:color w:val="000000"/>
                <w:sz w:val="20"/>
                <w:szCs w:val="20"/>
              </w:rPr>
              <w:t>--</w:t>
            </w:r>
          </w:p>
        </w:tc>
        <w:tc>
          <w:tcPr>
            <w:tcW w:w="685" w:type="pct"/>
            <w:tcBorders>
              <w:top w:val="single" w:sz="4" w:space="0" w:color="9C9D9F"/>
              <w:bottom w:val="single" w:sz="4" w:space="0" w:color="9C9D9F"/>
            </w:tcBorders>
            <w:shd w:val="clear" w:color="auto" w:fill="auto"/>
            <w:vAlign w:val="center"/>
          </w:tcPr>
          <w:p w14:paraId="72F8275B" w14:textId="5A0ED4CD" w:rsidR="00424B97" w:rsidRPr="00AC713D" w:rsidRDefault="00424B97" w:rsidP="00424B97">
            <w:pPr>
              <w:spacing w:before="0" w:beforeAutospacing="0" w:after="0" w:afterAutospacing="0"/>
              <w:ind w:right="94"/>
              <w:jc w:val="right"/>
              <w:rPr>
                <w:rFonts w:cs="Arial"/>
                <w:b/>
                <w:bCs/>
                <w:color w:val="000000"/>
                <w:sz w:val="20"/>
                <w:szCs w:val="20"/>
              </w:rPr>
            </w:pPr>
          </w:p>
        </w:tc>
      </w:tr>
      <w:tr w:rsidR="00424B97" w:rsidRPr="00AC713D" w14:paraId="6174D610" w14:textId="77777777" w:rsidTr="00424B97">
        <w:trPr>
          <w:trHeight w:val="20"/>
        </w:trPr>
        <w:tc>
          <w:tcPr>
            <w:tcW w:w="934" w:type="pct"/>
            <w:tcBorders>
              <w:top w:val="single" w:sz="4" w:space="0" w:color="9C9D9F"/>
              <w:bottom w:val="single" w:sz="4" w:space="0" w:color="9C9D9F"/>
            </w:tcBorders>
            <w:shd w:val="clear" w:color="auto" w:fill="auto"/>
            <w:noWrap/>
            <w:vAlign w:val="center"/>
          </w:tcPr>
          <w:p w14:paraId="7813CF0D" w14:textId="77777777" w:rsidR="00424B97" w:rsidRPr="00AC713D" w:rsidRDefault="00424B97" w:rsidP="00424B97">
            <w:pPr>
              <w:spacing w:before="0" w:beforeAutospacing="0" w:after="0" w:afterAutospacing="0"/>
              <w:jc w:val="right"/>
              <w:rPr>
                <w:rFonts w:cs="Arial"/>
                <w:bCs/>
                <w:color w:val="000000"/>
                <w:sz w:val="20"/>
                <w:szCs w:val="20"/>
              </w:rPr>
            </w:pPr>
            <w:r w:rsidRPr="00AC713D">
              <w:rPr>
                <w:rFonts w:cs="Arial"/>
                <w:color w:val="000000"/>
                <w:sz w:val="20"/>
                <w:szCs w:val="20"/>
              </w:rPr>
              <w:t>Čistý zisk za dané období</w:t>
            </w:r>
          </w:p>
        </w:tc>
        <w:tc>
          <w:tcPr>
            <w:tcW w:w="656" w:type="pct"/>
            <w:tcBorders>
              <w:top w:val="single" w:sz="4" w:space="0" w:color="9C9D9F"/>
              <w:bottom w:val="single" w:sz="4" w:space="0" w:color="9C9D9F"/>
            </w:tcBorders>
            <w:shd w:val="clear" w:color="auto" w:fill="auto"/>
            <w:noWrap/>
            <w:vAlign w:val="center"/>
          </w:tcPr>
          <w:p w14:paraId="2AFB2ED8" w14:textId="7828D4A3" w:rsidR="00424B97" w:rsidRPr="00AC713D" w:rsidRDefault="00424B97" w:rsidP="00424B97">
            <w:pPr>
              <w:spacing w:before="0" w:beforeAutospacing="0" w:after="0" w:afterAutospacing="0"/>
              <w:ind w:right="96"/>
              <w:jc w:val="right"/>
              <w:rPr>
                <w:rFonts w:cs="Arial"/>
                <w:iCs/>
                <w:color w:val="000000"/>
                <w:sz w:val="20"/>
                <w:szCs w:val="20"/>
              </w:rPr>
            </w:pPr>
            <w:r w:rsidRPr="00AC713D">
              <w:rPr>
                <w:rFonts w:cs="Arial"/>
                <w:iCs/>
                <w:color w:val="000000"/>
                <w:sz w:val="20"/>
                <w:szCs w:val="20"/>
              </w:rPr>
              <w:t>--</w:t>
            </w:r>
          </w:p>
        </w:tc>
        <w:tc>
          <w:tcPr>
            <w:tcW w:w="758" w:type="pct"/>
            <w:tcBorders>
              <w:top w:val="single" w:sz="4" w:space="0" w:color="9C9D9F"/>
              <w:bottom w:val="single" w:sz="4" w:space="0" w:color="9C9D9F"/>
            </w:tcBorders>
            <w:shd w:val="clear" w:color="auto" w:fill="auto"/>
            <w:vAlign w:val="center"/>
          </w:tcPr>
          <w:p w14:paraId="0140D789" w14:textId="3B4F9348" w:rsidR="00424B97" w:rsidRPr="00AC713D" w:rsidRDefault="00424B97" w:rsidP="00424B97">
            <w:pPr>
              <w:spacing w:before="0" w:beforeAutospacing="0" w:after="0" w:afterAutospacing="0"/>
              <w:ind w:right="96"/>
              <w:jc w:val="right"/>
              <w:rPr>
                <w:rFonts w:cs="Arial"/>
                <w:iCs/>
                <w:color w:val="000000"/>
                <w:sz w:val="20"/>
                <w:szCs w:val="20"/>
              </w:rPr>
            </w:pPr>
            <w:r w:rsidRPr="00AC713D">
              <w:rPr>
                <w:rFonts w:cs="Arial"/>
                <w:iCs/>
                <w:color w:val="000000"/>
                <w:sz w:val="20"/>
                <w:szCs w:val="20"/>
              </w:rPr>
              <w:t>--</w:t>
            </w:r>
          </w:p>
        </w:tc>
        <w:tc>
          <w:tcPr>
            <w:tcW w:w="656" w:type="pct"/>
            <w:tcBorders>
              <w:top w:val="single" w:sz="4" w:space="0" w:color="9C9D9F"/>
              <w:bottom w:val="single" w:sz="4" w:space="0" w:color="9C9D9F"/>
            </w:tcBorders>
            <w:vAlign w:val="center"/>
          </w:tcPr>
          <w:p w14:paraId="26133D25" w14:textId="2435B8A9" w:rsidR="00424B97" w:rsidRPr="00AC713D" w:rsidRDefault="00200BC7" w:rsidP="00424B97">
            <w:pPr>
              <w:spacing w:before="0" w:beforeAutospacing="0" w:after="0" w:afterAutospacing="0"/>
              <w:ind w:right="96"/>
              <w:jc w:val="right"/>
              <w:rPr>
                <w:rFonts w:cs="Arial"/>
                <w:b/>
                <w:iCs/>
                <w:color w:val="000000"/>
                <w:sz w:val="20"/>
                <w:szCs w:val="20"/>
              </w:rPr>
            </w:pPr>
            <w:r w:rsidRPr="00AC713D">
              <w:rPr>
                <w:rFonts w:cs="Arial"/>
                <w:iCs/>
                <w:color w:val="000000"/>
                <w:sz w:val="20"/>
                <w:szCs w:val="20"/>
              </w:rPr>
              <w:t>--</w:t>
            </w:r>
          </w:p>
        </w:tc>
        <w:tc>
          <w:tcPr>
            <w:tcW w:w="656" w:type="pct"/>
            <w:tcBorders>
              <w:top w:val="single" w:sz="4" w:space="0" w:color="9C9D9F"/>
              <w:bottom w:val="single" w:sz="4" w:space="0" w:color="9C9D9F"/>
            </w:tcBorders>
            <w:shd w:val="clear" w:color="auto" w:fill="auto"/>
            <w:vAlign w:val="center"/>
          </w:tcPr>
          <w:p w14:paraId="4B1D6901" w14:textId="0C505464" w:rsidR="00424B97" w:rsidRPr="00AC713D" w:rsidRDefault="00200BC7" w:rsidP="00424B97">
            <w:pPr>
              <w:spacing w:before="0" w:beforeAutospacing="0" w:after="0" w:afterAutospacing="0"/>
              <w:ind w:right="96"/>
              <w:jc w:val="right"/>
              <w:rPr>
                <w:rFonts w:cs="Arial"/>
                <w:b/>
                <w:iCs/>
                <w:color w:val="000000"/>
                <w:sz w:val="20"/>
                <w:szCs w:val="20"/>
              </w:rPr>
            </w:pPr>
            <w:r w:rsidRPr="00AC713D">
              <w:rPr>
                <w:rFonts w:cs="Arial"/>
                <w:iCs/>
                <w:color w:val="000000"/>
                <w:sz w:val="20"/>
                <w:szCs w:val="20"/>
              </w:rPr>
              <w:t>--</w:t>
            </w:r>
          </w:p>
        </w:tc>
        <w:tc>
          <w:tcPr>
            <w:tcW w:w="656" w:type="pct"/>
            <w:tcBorders>
              <w:top w:val="single" w:sz="4" w:space="0" w:color="9C9D9F"/>
              <w:bottom w:val="single" w:sz="4" w:space="0" w:color="9C9D9F"/>
            </w:tcBorders>
            <w:shd w:val="clear" w:color="auto" w:fill="auto"/>
            <w:noWrap/>
            <w:vAlign w:val="center"/>
          </w:tcPr>
          <w:p w14:paraId="4252222B" w14:textId="453432A9" w:rsidR="00424B97" w:rsidRPr="00AC713D" w:rsidRDefault="00200BC7" w:rsidP="00424B97">
            <w:pPr>
              <w:spacing w:before="0" w:beforeAutospacing="0" w:after="0" w:afterAutospacing="0"/>
              <w:ind w:right="96"/>
              <w:jc w:val="right"/>
              <w:rPr>
                <w:rFonts w:cs="Arial"/>
                <w:iCs/>
                <w:color w:val="000000"/>
                <w:sz w:val="20"/>
                <w:szCs w:val="20"/>
              </w:rPr>
            </w:pPr>
            <w:r>
              <w:rPr>
                <w:rFonts w:cs="Arial"/>
                <w:iCs/>
                <w:color w:val="000000"/>
                <w:sz w:val="20"/>
                <w:szCs w:val="20"/>
              </w:rPr>
              <w:t>9 315</w:t>
            </w:r>
          </w:p>
        </w:tc>
        <w:tc>
          <w:tcPr>
            <w:tcW w:w="685" w:type="pct"/>
            <w:tcBorders>
              <w:top w:val="single" w:sz="4" w:space="0" w:color="9C9D9F"/>
              <w:bottom w:val="single" w:sz="4" w:space="0" w:color="9C9D9F"/>
            </w:tcBorders>
            <w:shd w:val="clear" w:color="auto" w:fill="auto"/>
            <w:vAlign w:val="center"/>
          </w:tcPr>
          <w:p w14:paraId="63F5A2D6" w14:textId="35DBF915" w:rsidR="00424B97" w:rsidRPr="00AC713D" w:rsidRDefault="00200BC7" w:rsidP="00424B97">
            <w:pPr>
              <w:spacing w:before="0" w:beforeAutospacing="0" w:after="0" w:afterAutospacing="0"/>
              <w:ind w:right="94"/>
              <w:jc w:val="right"/>
              <w:rPr>
                <w:rFonts w:cs="Arial"/>
                <w:b/>
                <w:bCs/>
                <w:color w:val="000000"/>
                <w:sz w:val="20"/>
                <w:szCs w:val="20"/>
              </w:rPr>
            </w:pPr>
            <w:r>
              <w:rPr>
                <w:rFonts w:cs="Arial"/>
                <w:b/>
                <w:bCs/>
                <w:color w:val="000000"/>
                <w:sz w:val="20"/>
                <w:szCs w:val="20"/>
              </w:rPr>
              <w:t>9 315</w:t>
            </w:r>
          </w:p>
        </w:tc>
      </w:tr>
      <w:tr w:rsidR="00424B97" w:rsidRPr="00AC713D" w14:paraId="4F93A063" w14:textId="77777777" w:rsidTr="00424B97">
        <w:trPr>
          <w:trHeight w:val="20"/>
        </w:trPr>
        <w:tc>
          <w:tcPr>
            <w:tcW w:w="934" w:type="pct"/>
            <w:tcBorders>
              <w:top w:val="single" w:sz="4" w:space="0" w:color="9C9D9F"/>
            </w:tcBorders>
            <w:shd w:val="clear" w:color="auto" w:fill="auto"/>
            <w:noWrap/>
            <w:vAlign w:val="center"/>
          </w:tcPr>
          <w:p w14:paraId="19860D6A" w14:textId="77777777" w:rsidR="00424B97" w:rsidRPr="00AC713D" w:rsidRDefault="00424B97" w:rsidP="00424B97">
            <w:pPr>
              <w:spacing w:before="0" w:beforeAutospacing="0" w:after="0" w:afterAutospacing="0"/>
              <w:jc w:val="right"/>
              <w:rPr>
                <w:rFonts w:cs="Arial"/>
                <w:b/>
                <w:bCs/>
                <w:color w:val="000000"/>
                <w:sz w:val="20"/>
                <w:szCs w:val="20"/>
              </w:rPr>
            </w:pPr>
          </w:p>
        </w:tc>
        <w:tc>
          <w:tcPr>
            <w:tcW w:w="656" w:type="pct"/>
            <w:tcBorders>
              <w:top w:val="single" w:sz="4" w:space="0" w:color="9C9D9F"/>
            </w:tcBorders>
            <w:shd w:val="clear" w:color="auto" w:fill="auto"/>
            <w:noWrap/>
            <w:vAlign w:val="center"/>
          </w:tcPr>
          <w:p w14:paraId="46BD538E" w14:textId="77777777" w:rsidR="00424B97" w:rsidRPr="00AC713D" w:rsidRDefault="00424B97" w:rsidP="00424B97">
            <w:pPr>
              <w:spacing w:before="0" w:beforeAutospacing="0" w:after="0" w:afterAutospacing="0"/>
              <w:ind w:right="96"/>
              <w:jc w:val="right"/>
              <w:rPr>
                <w:rFonts w:cs="Arial"/>
                <w:b/>
                <w:bCs/>
                <w:color w:val="000000"/>
                <w:sz w:val="20"/>
                <w:szCs w:val="20"/>
              </w:rPr>
            </w:pPr>
          </w:p>
        </w:tc>
        <w:tc>
          <w:tcPr>
            <w:tcW w:w="758" w:type="pct"/>
            <w:tcBorders>
              <w:top w:val="single" w:sz="4" w:space="0" w:color="9C9D9F"/>
            </w:tcBorders>
            <w:shd w:val="clear" w:color="auto" w:fill="auto"/>
            <w:vAlign w:val="center"/>
          </w:tcPr>
          <w:p w14:paraId="683B4354" w14:textId="77777777" w:rsidR="00424B97" w:rsidRPr="00AC713D" w:rsidRDefault="00424B97" w:rsidP="00424B97">
            <w:pPr>
              <w:spacing w:before="0" w:beforeAutospacing="0" w:after="0" w:afterAutospacing="0"/>
              <w:ind w:right="96"/>
              <w:jc w:val="right"/>
              <w:rPr>
                <w:rFonts w:cs="Arial"/>
                <w:b/>
                <w:bCs/>
                <w:color w:val="000000"/>
                <w:sz w:val="20"/>
                <w:szCs w:val="20"/>
              </w:rPr>
            </w:pPr>
          </w:p>
        </w:tc>
        <w:tc>
          <w:tcPr>
            <w:tcW w:w="656" w:type="pct"/>
            <w:tcBorders>
              <w:top w:val="single" w:sz="4" w:space="0" w:color="9C9D9F"/>
            </w:tcBorders>
            <w:vAlign w:val="center"/>
          </w:tcPr>
          <w:p w14:paraId="5077C2E4" w14:textId="77777777" w:rsidR="00424B97" w:rsidRPr="00AC713D" w:rsidRDefault="00424B97" w:rsidP="00424B97">
            <w:pPr>
              <w:spacing w:before="0" w:beforeAutospacing="0" w:after="0" w:afterAutospacing="0"/>
              <w:ind w:right="96"/>
              <w:jc w:val="right"/>
              <w:rPr>
                <w:rFonts w:cs="Arial"/>
                <w:b/>
                <w:bCs/>
                <w:color w:val="000000"/>
                <w:sz w:val="20"/>
                <w:szCs w:val="20"/>
              </w:rPr>
            </w:pPr>
          </w:p>
        </w:tc>
        <w:tc>
          <w:tcPr>
            <w:tcW w:w="656" w:type="pct"/>
            <w:tcBorders>
              <w:top w:val="single" w:sz="4" w:space="0" w:color="9C9D9F"/>
            </w:tcBorders>
            <w:shd w:val="clear" w:color="auto" w:fill="auto"/>
            <w:vAlign w:val="center"/>
          </w:tcPr>
          <w:p w14:paraId="1D7C7FF2" w14:textId="77777777" w:rsidR="00424B97" w:rsidRPr="00AC713D" w:rsidRDefault="00424B97" w:rsidP="00424B97">
            <w:pPr>
              <w:spacing w:before="0" w:beforeAutospacing="0" w:after="0" w:afterAutospacing="0"/>
              <w:ind w:right="96"/>
              <w:jc w:val="right"/>
              <w:rPr>
                <w:rFonts w:cs="Arial"/>
                <w:b/>
                <w:bCs/>
                <w:color w:val="000000"/>
                <w:sz w:val="20"/>
                <w:szCs w:val="20"/>
              </w:rPr>
            </w:pPr>
          </w:p>
        </w:tc>
        <w:tc>
          <w:tcPr>
            <w:tcW w:w="656" w:type="pct"/>
            <w:tcBorders>
              <w:top w:val="single" w:sz="4" w:space="0" w:color="9C9D9F"/>
            </w:tcBorders>
            <w:shd w:val="clear" w:color="auto" w:fill="auto"/>
            <w:noWrap/>
            <w:vAlign w:val="center"/>
          </w:tcPr>
          <w:p w14:paraId="4C451598" w14:textId="77777777" w:rsidR="00424B97" w:rsidRPr="00AC713D" w:rsidRDefault="00424B97" w:rsidP="00424B97">
            <w:pPr>
              <w:spacing w:before="0" w:beforeAutospacing="0" w:after="0" w:afterAutospacing="0"/>
              <w:ind w:right="96"/>
              <w:jc w:val="right"/>
              <w:rPr>
                <w:rFonts w:cs="Arial"/>
                <w:b/>
                <w:bCs/>
                <w:color w:val="000000"/>
                <w:sz w:val="20"/>
                <w:szCs w:val="20"/>
              </w:rPr>
            </w:pPr>
          </w:p>
        </w:tc>
        <w:tc>
          <w:tcPr>
            <w:tcW w:w="685" w:type="pct"/>
            <w:tcBorders>
              <w:top w:val="single" w:sz="4" w:space="0" w:color="9C9D9F"/>
            </w:tcBorders>
            <w:shd w:val="clear" w:color="auto" w:fill="auto"/>
            <w:vAlign w:val="center"/>
          </w:tcPr>
          <w:p w14:paraId="115A4848" w14:textId="77777777" w:rsidR="00424B97" w:rsidRPr="00AC713D" w:rsidRDefault="00424B97" w:rsidP="00424B97">
            <w:pPr>
              <w:spacing w:before="0" w:beforeAutospacing="0" w:after="0" w:afterAutospacing="0"/>
              <w:ind w:right="94"/>
              <w:jc w:val="right"/>
              <w:rPr>
                <w:rFonts w:cs="Arial"/>
                <w:b/>
                <w:bCs/>
                <w:color w:val="000000"/>
                <w:sz w:val="20"/>
                <w:szCs w:val="20"/>
              </w:rPr>
            </w:pPr>
          </w:p>
        </w:tc>
      </w:tr>
      <w:tr w:rsidR="00424B97" w:rsidRPr="00AC713D" w14:paraId="5740EA64" w14:textId="77777777" w:rsidTr="00424B97">
        <w:trPr>
          <w:trHeight w:val="20"/>
        </w:trPr>
        <w:tc>
          <w:tcPr>
            <w:tcW w:w="934" w:type="pct"/>
            <w:shd w:val="clear" w:color="auto" w:fill="9C9D9F"/>
            <w:noWrap/>
            <w:vAlign w:val="center"/>
          </w:tcPr>
          <w:p w14:paraId="6D7CD293" w14:textId="3398775D" w:rsidR="00424B97" w:rsidRPr="00AC713D" w:rsidRDefault="00424B97" w:rsidP="00424B97">
            <w:pPr>
              <w:spacing w:before="0" w:beforeAutospacing="0" w:after="0" w:afterAutospacing="0"/>
              <w:jc w:val="right"/>
              <w:rPr>
                <w:rFonts w:cs="Arial"/>
                <w:b/>
                <w:bCs/>
                <w:color w:val="000000"/>
                <w:sz w:val="20"/>
                <w:szCs w:val="20"/>
              </w:rPr>
            </w:pPr>
            <w:r w:rsidRPr="00AC713D">
              <w:rPr>
                <w:rFonts w:cs="Arial"/>
                <w:b/>
                <w:bCs/>
                <w:color w:val="000000"/>
                <w:sz w:val="20"/>
                <w:szCs w:val="20"/>
              </w:rPr>
              <w:t>k 30. červnu 2020</w:t>
            </w:r>
          </w:p>
        </w:tc>
        <w:tc>
          <w:tcPr>
            <w:tcW w:w="656" w:type="pct"/>
            <w:shd w:val="clear" w:color="auto" w:fill="9C9D9F"/>
            <w:noWrap/>
            <w:vAlign w:val="center"/>
          </w:tcPr>
          <w:p w14:paraId="68A73EB8" w14:textId="64A7C08C" w:rsidR="00424B97" w:rsidRPr="00AC713D" w:rsidRDefault="00424B97" w:rsidP="00424B97">
            <w:pPr>
              <w:spacing w:before="0" w:beforeAutospacing="0" w:after="0" w:afterAutospacing="0"/>
              <w:ind w:right="96"/>
              <w:jc w:val="right"/>
              <w:rPr>
                <w:rFonts w:cs="Arial"/>
                <w:b/>
                <w:iCs/>
                <w:color w:val="000000"/>
                <w:sz w:val="20"/>
                <w:szCs w:val="20"/>
              </w:rPr>
            </w:pPr>
            <w:r w:rsidRPr="00AC713D">
              <w:rPr>
                <w:rFonts w:cs="Arial"/>
                <w:b/>
                <w:iCs/>
                <w:color w:val="000000"/>
                <w:sz w:val="20"/>
                <w:szCs w:val="20"/>
              </w:rPr>
              <w:t>299 857</w:t>
            </w:r>
          </w:p>
        </w:tc>
        <w:tc>
          <w:tcPr>
            <w:tcW w:w="758" w:type="pct"/>
            <w:shd w:val="clear" w:color="auto" w:fill="9C9D9F"/>
            <w:vAlign w:val="center"/>
          </w:tcPr>
          <w:p w14:paraId="731E19A5" w14:textId="1292B5AC" w:rsidR="00424B97" w:rsidRPr="00AC713D" w:rsidRDefault="00424B97" w:rsidP="00424B97">
            <w:pPr>
              <w:spacing w:before="0" w:beforeAutospacing="0" w:after="0" w:afterAutospacing="0"/>
              <w:ind w:right="96"/>
              <w:jc w:val="right"/>
              <w:rPr>
                <w:rFonts w:cs="Arial"/>
                <w:b/>
                <w:iCs/>
                <w:color w:val="000000"/>
                <w:sz w:val="20"/>
                <w:szCs w:val="20"/>
              </w:rPr>
            </w:pPr>
            <w:r w:rsidRPr="00AC713D">
              <w:rPr>
                <w:rFonts w:cs="Arial"/>
                <w:b/>
                <w:iCs/>
                <w:color w:val="000000"/>
                <w:sz w:val="20"/>
                <w:szCs w:val="20"/>
              </w:rPr>
              <w:t>86 701</w:t>
            </w:r>
          </w:p>
        </w:tc>
        <w:tc>
          <w:tcPr>
            <w:tcW w:w="656" w:type="pct"/>
            <w:shd w:val="clear" w:color="auto" w:fill="9C9D9F"/>
            <w:vAlign w:val="center"/>
          </w:tcPr>
          <w:p w14:paraId="4F1B6292" w14:textId="0581F11F" w:rsidR="00424B97" w:rsidRPr="00AC713D" w:rsidRDefault="00200BC7" w:rsidP="00424B97">
            <w:pPr>
              <w:spacing w:before="0" w:beforeAutospacing="0" w:after="0" w:afterAutospacing="0"/>
              <w:ind w:right="96"/>
              <w:jc w:val="right"/>
              <w:rPr>
                <w:rFonts w:cs="Arial"/>
                <w:b/>
                <w:bCs/>
                <w:color w:val="000000"/>
                <w:sz w:val="20"/>
                <w:szCs w:val="20"/>
              </w:rPr>
            </w:pPr>
            <w:r>
              <w:rPr>
                <w:rFonts w:cs="Arial"/>
                <w:b/>
                <w:bCs/>
                <w:color w:val="000000"/>
                <w:sz w:val="20"/>
                <w:szCs w:val="20"/>
              </w:rPr>
              <w:t>137 537</w:t>
            </w:r>
          </w:p>
        </w:tc>
        <w:tc>
          <w:tcPr>
            <w:tcW w:w="656" w:type="pct"/>
            <w:shd w:val="clear" w:color="auto" w:fill="9C9D9F"/>
            <w:vAlign w:val="center"/>
          </w:tcPr>
          <w:p w14:paraId="68A15A32" w14:textId="02410934" w:rsidR="00424B97" w:rsidRPr="00AC713D" w:rsidDel="002D1E65" w:rsidRDefault="00200BC7" w:rsidP="00424B97">
            <w:pPr>
              <w:spacing w:before="0" w:beforeAutospacing="0" w:after="0" w:afterAutospacing="0"/>
              <w:ind w:right="96"/>
              <w:jc w:val="right"/>
              <w:rPr>
                <w:rFonts w:cs="Arial"/>
                <w:b/>
                <w:bCs/>
                <w:color w:val="000000"/>
                <w:sz w:val="20"/>
                <w:szCs w:val="20"/>
              </w:rPr>
            </w:pPr>
            <w:r>
              <w:rPr>
                <w:rFonts w:cs="Arial"/>
                <w:b/>
                <w:bCs/>
                <w:color w:val="000000"/>
                <w:sz w:val="20"/>
                <w:szCs w:val="20"/>
              </w:rPr>
              <w:t>-36 777</w:t>
            </w:r>
          </w:p>
        </w:tc>
        <w:tc>
          <w:tcPr>
            <w:tcW w:w="656" w:type="pct"/>
            <w:shd w:val="clear" w:color="auto" w:fill="9C9D9F"/>
            <w:noWrap/>
            <w:vAlign w:val="center"/>
          </w:tcPr>
          <w:p w14:paraId="110E243B" w14:textId="0DFAB729" w:rsidR="00424B97" w:rsidRPr="00AC713D" w:rsidRDefault="00200BC7" w:rsidP="00424B97">
            <w:pPr>
              <w:spacing w:before="0" w:beforeAutospacing="0" w:after="0" w:afterAutospacing="0"/>
              <w:ind w:right="96"/>
              <w:jc w:val="right"/>
              <w:rPr>
                <w:rFonts w:cs="Arial"/>
                <w:b/>
                <w:bCs/>
                <w:color w:val="000000"/>
                <w:sz w:val="20"/>
                <w:szCs w:val="20"/>
              </w:rPr>
            </w:pPr>
            <w:r>
              <w:rPr>
                <w:rFonts w:cs="Arial"/>
                <w:b/>
                <w:bCs/>
                <w:color w:val="000000"/>
                <w:sz w:val="20"/>
                <w:szCs w:val="20"/>
              </w:rPr>
              <w:t>5 004 254</w:t>
            </w:r>
          </w:p>
        </w:tc>
        <w:tc>
          <w:tcPr>
            <w:tcW w:w="685" w:type="pct"/>
            <w:shd w:val="clear" w:color="auto" w:fill="9C9D9F"/>
            <w:vAlign w:val="center"/>
          </w:tcPr>
          <w:p w14:paraId="6690ACC5" w14:textId="6D3437B8" w:rsidR="00424B97" w:rsidRPr="00AC713D" w:rsidRDefault="00200BC7" w:rsidP="00424B97">
            <w:pPr>
              <w:spacing w:before="0" w:beforeAutospacing="0" w:after="0" w:afterAutospacing="0"/>
              <w:ind w:right="94"/>
              <w:jc w:val="right"/>
              <w:rPr>
                <w:rFonts w:cs="Arial"/>
                <w:b/>
                <w:bCs/>
                <w:color w:val="000000"/>
                <w:sz w:val="20"/>
                <w:szCs w:val="20"/>
              </w:rPr>
            </w:pPr>
            <w:r>
              <w:rPr>
                <w:rFonts w:cs="Arial"/>
                <w:b/>
                <w:bCs/>
                <w:color w:val="000000"/>
                <w:sz w:val="20"/>
                <w:szCs w:val="20"/>
              </w:rPr>
              <w:t>5 491 572</w:t>
            </w:r>
          </w:p>
        </w:tc>
      </w:tr>
    </w:tbl>
    <w:p w14:paraId="706CDC96" w14:textId="77777777" w:rsidR="000C292F" w:rsidRPr="00AC713D" w:rsidRDefault="000C292F" w:rsidP="000C292F">
      <w:pPr>
        <w:spacing w:before="0" w:beforeAutospacing="0" w:after="0" w:afterAutospacing="0"/>
        <w:jc w:val="left"/>
        <w:rPr>
          <w:rFonts w:cs="Arial"/>
        </w:rPr>
      </w:pPr>
    </w:p>
    <w:p w14:paraId="1B5753AA" w14:textId="77777777" w:rsidR="000C292F" w:rsidRPr="00AC713D" w:rsidRDefault="000C292F" w:rsidP="000C292F">
      <w:pPr>
        <w:spacing w:before="0" w:beforeAutospacing="0" w:after="0" w:afterAutospacing="0"/>
        <w:jc w:val="left"/>
        <w:rPr>
          <w:rFonts w:cs="Arial"/>
        </w:rPr>
      </w:pPr>
      <w:r w:rsidRPr="00AC713D">
        <w:rPr>
          <w:rFonts w:cs="Arial"/>
        </w:rPr>
        <w:br w:type="page"/>
      </w:r>
    </w:p>
    <w:p w14:paraId="00316D44" w14:textId="77777777" w:rsidR="000C292F" w:rsidRPr="00AC713D" w:rsidRDefault="000C292F" w:rsidP="000C292F">
      <w:pPr>
        <w:pStyle w:val="Nadpis2"/>
        <w:rPr>
          <w:rFonts w:cs="Arial"/>
        </w:rPr>
      </w:pPr>
      <w:bookmarkStart w:id="102" w:name="_Toc47644473"/>
      <w:r w:rsidRPr="00AC713D">
        <w:rPr>
          <w:rFonts w:cs="Arial"/>
        </w:rPr>
        <w:lastRenderedPageBreak/>
        <w:t>Vybrané vysvětlující poznámky k mezitímní konsolidované účetní závěrce</w:t>
      </w:r>
      <w:bookmarkEnd w:id="102"/>
      <w:r w:rsidRPr="00AC713D">
        <w:rPr>
          <w:rFonts w:cs="Arial"/>
        </w:rPr>
        <w:t xml:space="preserve"> </w:t>
      </w:r>
    </w:p>
    <w:p w14:paraId="03396847" w14:textId="77777777" w:rsidR="000C292F" w:rsidRPr="00AC713D" w:rsidRDefault="000C292F" w:rsidP="000546B5">
      <w:pPr>
        <w:pStyle w:val="Nadpis4"/>
        <w:rPr>
          <w:rFonts w:cs="Arial"/>
        </w:rPr>
      </w:pPr>
      <w:r w:rsidRPr="00AC713D">
        <w:rPr>
          <w:rFonts w:cs="Arial"/>
        </w:rPr>
        <w:t>Zaokrouhlování a prezentace</w:t>
      </w:r>
    </w:p>
    <w:p w14:paraId="4C622377" w14:textId="3066F458" w:rsidR="000C292F" w:rsidRPr="00AC713D" w:rsidRDefault="00424B97" w:rsidP="000C292F">
      <w:pPr>
        <w:rPr>
          <w:rFonts w:cs="Arial"/>
          <w:color w:val="000000"/>
        </w:rPr>
      </w:pPr>
      <w:r w:rsidRPr="00AC713D">
        <w:rPr>
          <w:rFonts w:cs="Arial"/>
        </w:rPr>
        <w:t>Při přípravě mezitímní účetní závěrky Skupiny používá jako minimální jednotku vykazovaných údajů 1 000 Kč. Všechny uváděné údaje byly zaokrouhleny a z tohoto důvodu nemusí některé součty odpovídat jednotlivým položkám</w:t>
      </w:r>
      <w:r w:rsidR="000C292F" w:rsidRPr="00AC713D">
        <w:rPr>
          <w:rFonts w:cs="Arial"/>
          <w:color w:val="000000"/>
        </w:rPr>
        <w:t>.</w:t>
      </w:r>
    </w:p>
    <w:p w14:paraId="6BF772DE" w14:textId="77777777" w:rsidR="000C292F" w:rsidRPr="00AC713D" w:rsidRDefault="000C292F" w:rsidP="000C292F">
      <w:pPr>
        <w:pStyle w:val="Nadpis4"/>
        <w:rPr>
          <w:rFonts w:cs="Arial"/>
        </w:rPr>
      </w:pPr>
      <w:r w:rsidRPr="00AC713D">
        <w:rPr>
          <w:rFonts w:cs="Arial"/>
        </w:rPr>
        <w:t>Základní předpoklady přípravy účetních výkazů</w:t>
      </w:r>
    </w:p>
    <w:p w14:paraId="0EFEA916" w14:textId="77777777" w:rsidR="000C292F" w:rsidRPr="00AC713D" w:rsidRDefault="000C292F" w:rsidP="000C292F">
      <w:pPr>
        <w:rPr>
          <w:rFonts w:cs="Arial"/>
        </w:rPr>
      </w:pPr>
      <w:r w:rsidRPr="00AC713D">
        <w:rPr>
          <w:rFonts w:cs="Arial"/>
        </w:rPr>
        <w:t xml:space="preserve">Tyto účetní výkazy byly připraveny v souladu s Mezinárodními standardy účetního výkaznictví (IFRS) a Mezinárodními účetními standardy IAS 34 pro Mezitímní účetní výkaznictví ve znění přijatém Evropskou unií. Mezitímní účetní výkazy ve zkrácené podobě neobsahují veškeré informace a sdělení požadované v celoročních účetních výkazech. Tato mezitímní zpráva nebyla auditována externími auditory Společnosti. </w:t>
      </w:r>
    </w:p>
    <w:p w14:paraId="2E60AE33" w14:textId="77777777" w:rsidR="000C292F" w:rsidRPr="00AC713D" w:rsidRDefault="000C292F" w:rsidP="000C292F">
      <w:pPr>
        <w:pStyle w:val="Nadpis4"/>
        <w:rPr>
          <w:rFonts w:cs="Arial"/>
        </w:rPr>
      </w:pPr>
      <w:r w:rsidRPr="00AC713D">
        <w:rPr>
          <w:rFonts w:cs="Arial"/>
        </w:rPr>
        <w:t xml:space="preserve">Zásadní účetní postupy používané Společností </w:t>
      </w:r>
    </w:p>
    <w:p w14:paraId="4E07AA07" w14:textId="78B8A244" w:rsidR="000C292F" w:rsidRPr="00AC713D" w:rsidRDefault="000C292F" w:rsidP="000C292F">
      <w:pPr>
        <w:rPr>
          <w:rFonts w:cs="Arial"/>
        </w:rPr>
      </w:pPr>
      <w:r w:rsidRPr="00AC713D">
        <w:rPr>
          <w:rFonts w:cs="Arial"/>
        </w:rPr>
        <w:t>Základní předpoklady přípravy účetních výkazů, zásadní účetní postupy, prezentace a metody výpočtu byly v těchto finančních výkazech ve zkrácené podobě aplikovány shodně s finančními výkazy společností skupiny za účetní rok končící 31. prosincem 201</w:t>
      </w:r>
      <w:r w:rsidR="00424B97" w:rsidRPr="00AC713D">
        <w:rPr>
          <w:rFonts w:cs="Arial"/>
        </w:rPr>
        <w:t>9</w:t>
      </w:r>
      <w:r w:rsidRPr="00AC713D">
        <w:rPr>
          <w:rFonts w:cs="Arial"/>
        </w:rPr>
        <w:t xml:space="preserve">. </w:t>
      </w:r>
    </w:p>
    <w:p w14:paraId="17129DAC" w14:textId="77777777" w:rsidR="000C292F" w:rsidRPr="00AC713D" w:rsidRDefault="000C292F" w:rsidP="000546B5">
      <w:pPr>
        <w:pStyle w:val="Nadpis4"/>
        <w:rPr>
          <w:rFonts w:cs="Arial"/>
        </w:rPr>
      </w:pPr>
      <w:bookmarkStart w:id="103" w:name="_Toc519774602"/>
      <w:r w:rsidRPr="00AC713D">
        <w:rPr>
          <w:rFonts w:cs="Arial"/>
        </w:rPr>
        <w:t>Zavedení nových a revidovaných standardů</w:t>
      </w:r>
      <w:bookmarkEnd w:id="103"/>
    </w:p>
    <w:p w14:paraId="40377BC4" w14:textId="5E3603C9" w:rsidR="000C292F" w:rsidRPr="00AC713D" w:rsidRDefault="000C292F" w:rsidP="000C292F">
      <w:pPr>
        <w:spacing w:after="240"/>
        <w:rPr>
          <w:rFonts w:cs="Arial"/>
          <w:color w:val="000000"/>
        </w:rPr>
      </w:pPr>
      <w:r w:rsidRPr="00AC713D">
        <w:rPr>
          <w:rFonts w:cs="Arial"/>
          <w:color w:val="000000"/>
        </w:rPr>
        <w:t>Očekávaný dopad nových standardů, jejich změn a interpretací na budoucí konsolidované účetní závěrky Skupiny byl popsán v konsolidované účetní závěrce Společnosti za rok končící 31. prosince 201</w:t>
      </w:r>
      <w:r w:rsidR="00424B97" w:rsidRPr="00AC713D">
        <w:rPr>
          <w:rFonts w:cs="Arial"/>
          <w:color w:val="000000"/>
        </w:rPr>
        <w:t>9</w:t>
      </w:r>
      <w:r w:rsidRPr="00AC713D">
        <w:rPr>
          <w:rFonts w:cs="Arial"/>
          <w:color w:val="000000"/>
        </w:rPr>
        <w:t>.</w:t>
      </w:r>
    </w:p>
    <w:p w14:paraId="558A458F" w14:textId="510D855E" w:rsidR="000C292F" w:rsidRPr="00AC713D" w:rsidRDefault="000C292F" w:rsidP="000C292F">
      <w:pPr>
        <w:pStyle w:val="Nadpis4"/>
        <w:rPr>
          <w:rFonts w:cs="Arial"/>
        </w:rPr>
      </w:pPr>
      <w:r w:rsidRPr="00AC713D">
        <w:rPr>
          <w:rFonts w:cs="Arial"/>
        </w:rPr>
        <w:t>Sezónní a ekonomické vlivy</w:t>
      </w:r>
    </w:p>
    <w:p w14:paraId="349B6B26" w14:textId="77777777" w:rsidR="000C292F" w:rsidRPr="00AC713D" w:rsidRDefault="000C292F" w:rsidP="000C292F">
      <w:pPr>
        <w:rPr>
          <w:rFonts w:cs="Arial"/>
        </w:rPr>
      </w:pPr>
      <w:r w:rsidRPr="00AC713D">
        <w:rPr>
          <w:rFonts w:cs="Arial"/>
        </w:rPr>
        <w:t xml:space="preserve">Podnikání Společnosti není v podstatě ovlivňováno sezónními a ekonomickými faktory mimo běžného ekonomického cyklu, ačkoliv trh s hygienickými potřebami je do značné míry necyklický.  </w:t>
      </w:r>
    </w:p>
    <w:p w14:paraId="496A4F5F" w14:textId="77777777" w:rsidR="000C292F" w:rsidRPr="00AC713D" w:rsidRDefault="000C292F" w:rsidP="000C292F">
      <w:pPr>
        <w:pStyle w:val="Nadpis4"/>
        <w:rPr>
          <w:rFonts w:cs="Arial"/>
        </w:rPr>
      </w:pPr>
      <w:r w:rsidRPr="00AC713D">
        <w:rPr>
          <w:rFonts w:cs="Arial"/>
        </w:rPr>
        <w:t>Použití odhadů a úsudků</w:t>
      </w:r>
    </w:p>
    <w:p w14:paraId="0E73BCB1" w14:textId="7347196A" w:rsidR="000C292F" w:rsidRPr="00AC713D" w:rsidRDefault="000C292F" w:rsidP="000C292F">
      <w:pPr>
        <w:rPr>
          <w:rFonts w:cs="Arial"/>
        </w:rPr>
      </w:pPr>
      <w:r w:rsidRPr="00AC713D">
        <w:rPr>
          <w:rFonts w:cs="Arial"/>
        </w:rPr>
        <w:t>Pro přípravu mezitímních účetních výkazů v souladu s IFRS je nutné, aby vedení Společnosti učinilo některé úsudky, odhady a předpoklady, které ovlivňují aplikaci účetních postupů a výši vykazovaných aktiv a pasiv, výnosů a nákladů. Odhady a</w:t>
      </w:r>
      <w:r w:rsidR="007F2D23">
        <w:rPr>
          <w:rFonts w:cs="Arial"/>
        </w:rPr>
        <w:t> </w:t>
      </w:r>
      <w:r w:rsidRPr="00AC713D">
        <w:rPr>
          <w:rFonts w:cs="Arial"/>
        </w:rPr>
        <w:t>jejich předpoklady jsou aplikovány na základě historických zkušeností a jiných relevantních faktorů. Stanovení odhadů má za cíl poskytnout věrný a poctivý obraz o</w:t>
      </w:r>
      <w:r w:rsidR="007F2D23">
        <w:rPr>
          <w:rFonts w:cs="Arial"/>
        </w:rPr>
        <w:t> </w:t>
      </w:r>
      <w:r w:rsidRPr="00AC713D">
        <w:rPr>
          <w:rFonts w:cs="Arial"/>
        </w:rPr>
        <w:t xml:space="preserve">finanční situaci Společnosti, zejména při určení hodnoty aktiv a pasiv, u kterých tato hodnota nemůže být spolehlivě zjištěna z jiných zdrojů. Skutečné výsledky se mohou od těchto odhadů lišit. </w:t>
      </w:r>
    </w:p>
    <w:p w14:paraId="091A893A" w14:textId="269E7996" w:rsidR="000C292F" w:rsidRDefault="000C292F" w:rsidP="000C292F">
      <w:pPr>
        <w:rPr>
          <w:rFonts w:cs="Arial"/>
        </w:rPr>
      </w:pPr>
      <w:r w:rsidRPr="00AC713D">
        <w:rPr>
          <w:rFonts w:cs="Arial"/>
        </w:rPr>
        <w:t xml:space="preserve">Od vydání předchozích účetních výkazů nedošlo k žádným změnám v povaze nebo výši použitých odhadů. </w:t>
      </w:r>
    </w:p>
    <w:p w14:paraId="28AB2C09" w14:textId="37375ACA" w:rsidR="007F2D23" w:rsidRPr="00AC713D" w:rsidRDefault="007F2D23" w:rsidP="000C292F">
      <w:pPr>
        <w:rPr>
          <w:rFonts w:cs="Arial"/>
        </w:rPr>
      </w:pPr>
      <w:r>
        <w:rPr>
          <w:rFonts w:cs="Arial"/>
        </w:rPr>
        <w:lastRenderedPageBreak/>
        <w:t>V souvislosti pandemií COVID-19 vedení Skupiny nepoužilo žádné odhady, úsudky a předpoklady,</w:t>
      </w:r>
      <w:r w:rsidRPr="007F2D23">
        <w:rPr>
          <w:rFonts w:cs="Arial"/>
        </w:rPr>
        <w:t xml:space="preserve"> </w:t>
      </w:r>
      <w:r w:rsidRPr="00AC713D">
        <w:rPr>
          <w:rFonts w:cs="Arial"/>
        </w:rPr>
        <w:t xml:space="preserve">které </w:t>
      </w:r>
      <w:r>
        <w:rPr>
          <w:rFonts w:cs="Arial"/>
        </w:rPr>
        <w:t>by měly vliv na</w:t>
      </w:r>
      <w:r w:rsidRPr="00AC713D">
        <w:rPr>
          <w:rFonts w:cs="Arial"/>
        </w:rPr>
        <w:t xml:space="preserve"> aplikaci účetních postupů a výši vykazovaných </w:t>
      </w:r>
      <w:r>
        <w:rPr>
          <w:rFonts w:cs="Arial"/>
        </w:rPr>
        <w:t>aktiv a pasiv, výnosů a nákladů</w:t>
      </w:r>
      <w:r w:rsidRPr="00AC713D">
        <w:rPr>
          <w:rFonts w:cs="Arial"/>
        </w:rPr>
        <w:t xml:space="preserve"> </w:t>
      </w:r>
      <w:r>
        <w:rPr>
          <w:rFonts w:cs="Arial"/>
        </w:rPr>
        <w:t>z důvodu, že Společnost nebyla pandemií významněji ovlivněna.</w:t>
      </w:r>
    </w:p>
    <w:p w14:paraId="5A0F2F04" w14:textId="77777777" w:rsidR="000C292F" w:rsidRPr="00AC713D" w:rsidRDefault="000C292F" w:rsidP="000C292F">
      <w:pPr>
        <w:pStyle w:val="Nadpis4"/>
        <w:rPr>
          <w:rFonts w:cs="Arial"/>
        </w:rPr>
      </w:pPr>
      <w:r w:rsidRPr="00AC713D">
        <w:rPr>
          <w:rFonts w:cs="Arial"/>
        </w:rPr>
        <w:t>Vykazování dle segmentů</w:t>
      </w:r>
    </w:p>
    <w:p w14:paraId="138B8818" w14:textId="77777777" w:rsidR="000C292F" w:rsidRPr="00AC713D" w:rsidRDefault="000C292F" w:rsidP="000C292F">
      <w:pPr>
        <w:rPr>
          <w:rFonts w:cs="Arial"/>
        </w:rPr>
      </w:pPr>
      <w:r w:rsidRPr="00AC713D">
        <w:rPr>
          <w:rFonts w:cs="Arial"/>
        </w:rPr>
        <w:t>Standard IFRS 8 vyžaduje identifikaci provozních segmentů na základě rozdělení interních výkazů, které jsou pravidelně vyhodnocovány subjektem s rozhodovací pravomocí za účelem alokace zdrojů a posouzení jejich výkonu.</w:t>
      </w:r>
      <w:r w:rsidRPr="00AC713D" w:rsidDel="00A842D8">
        <w:rPr>
          <w:rFonts w:cs="Arial"/>
        </w:rPr>
        <w:t xml:space="preserve"> </w:t>
      </w:r>
      <w:r w:rsidRPr="00AC713D">
        <w:rPr>
          <w:rFonts w:cs="Arial"/>
        </w:rPr>
        <w:t xml:space="preserve">V souladu s IFRS 8 Skupina identifikovala jediný provozní segment, a to výrobu netkaných textilií. </w:t>
      </w:r>
    </w:p>
    <w:p w14:paraId="6AF0B9D0" w14:textId="77777777" w:rsidR="000C292F" w:rsidRPr="00AC713D" w:rsidRDefault="000C292F" w:rsidP="000546B5">
      <w:pPr>
        <w:pStyle w:val="Nadpis4"/>
        <w:rPr>
          <w:rFonts w:cs="Arial"/>
        </w:rPr>
      </w:pPr>
      <w:r w:rsidRPr="00AC713D">
        <w:rPr>
          <w:rFonts w:cs="Arial"/>
        </w:rPr>
        <w:t xml:space="preserve">Změny ve složení entity a konsolidačním celku </w:t>
      </w:r>
    </w:p>
    <w:p w14:paraId="30154A23" w14:textId="6426A21F" w:rsidR="000C292F" w:rsidRPr="00AC713D" w:rsidRDefault="000C292F" w:rsidP="000C292F">
      <w:pPr>
        <w:rPr>
          <w:rFonts w:cs="Arial"/>
        </w:rPr>
      </w:pPr>
      <w:r w:rsidRPr="00AC713D">
        <w:rPr>
          <w:rFonts w:cs="Arial"/>
        </w:rPr>
        <w:t>V průběhu vykazovaného období došlo ke změnám v konsolidačním celku oproti stavu k 31. prosinci 201</w:t>
      </w:r>
      <w:r w:rsidR="00424B97" w:rsidRPr="00AC713D">
        <w:rPr>
          <w:rFonts w:cs="Arial"/>
        </w:rPr>
        <w:t>9</w:t>
      </w:r>
      <w:r w:rsidRPr="00AC713D">
        <w:rPr>
          <w:rFonts w:cs="Arial"/>
        </w:rPr>
        <w:t xml:space="preserve">. </w:t>
      </w:r>
      <w:r w:rsidR="00424B97" w:rsidRPr="00AC713D">
        <w:rPr>
          <w:rFonts w:cs="Arial"/>
        </w:rPr>
        <w:t>K 30. červnu 2020 zanikla společnost PFNonwovens International s.r.o. formou fúze se sesterskou společností PFNonwovens Czech s.r.o.</w:t>
      </w:r>
    </w:p>
    <w:p w14:paraId="3BC9F802" w14:textId="77777777" w:rsidR="000C292F" w:rsidRPr="00AC713D" w:rsidRDefault="000C292F" w:rsidP="000C292F">
      <w:pPr>
        <w:pStyle w:val="Nadpis4"/>
        <w:rPr>
          <w:rFonts w:cs="Arial"/>
        </w:rPr>
      </w:pPr>
      <w:r w:rsidRPr="00AC713D">
        <w:rPr>
          <w:rFonts w:cs="Arial"/>
        </w:rPr>
        <w:t xml:space="preserve">Vydání, odkupy a splátky dluhu a majetkových cenných papírů </w:t>
      </w:r>
    </w:p>
    <w:p w14:paraId="4E3C2FA8" w14:textId="0DEEB491" w:rsidR="000C292F" w:rsidRPr="00AC713D" w:rsidRDefault="000C292F" w:rsidP="000C292F">
      <w:pPr>
        <w:rPr>
          <w:rFonts w:cs="Arial"/>
        </w:rPr>
      </w:pPr>
      <w:r w:rsidRPr="00AC713D">
        <w:rPr>
          <w:rFonts w:cs="Arial"/>
        </w:rPr>
        <w:t xml:space="preserve">V průběhu prvního pololetí </w:t>
      </w:r>
      <w:r w:rsidR="00C90993" w:rsidRPr="00AC713D">
        <w:rPr>
          <w:rFonts w:cs="Arial"/>
        </w:rPr>
        <w:t xml:space="preserve">2020 </w:t>
      </w:r>
      <w:r w:rsidRPr="00AC713D">
        <w:rPr>
          <w:rFonts w:cs="Arial"/>
        </w:rPr>
        <w:t>Společnost čerpala kontokorentní bankovní úvěr</w:t>
      </w:r>
      <w:r w:rsidR="00703AEB" w:rsidRPr="00AC713D">
        <w:rPr>
          <w:rFonts w:cs="Arial"/>
        </w:rPr>
        <w:t>y</w:t>
      </w:r>
      <w:r w:rsidRPr="00AC713D">
        <w:rPr>
          <w:rFonts w:cs="Arial"/>
        </w:rPr>
        <w:t xml:space="preserve">. Společnost neuzavřela v prvním pololetí roku </w:t>
      </w:r>
      <w:r w:rsidR="00C90993" w:rsidRPr="00AC713D">
        <w:rPr>
          <w:rFonts w:cs="Arial"/>
        </w:rPr>
        <w:t xml:space="preserve">2020 </w:t>
      </w:r>
      <w:r w:rsidRPr="00AC713D">
        <w:rPr>
          <w:rFonts w:cs="Arial"/>
        </w:rPr>
        <w:t>žádné nové smlouvy na bankovní úvěry.</w:t>
      </w:r>
    </w:p>
    <w:p w14:paraId="07C5697C" w14:textId="77777777" w:rsidR="000C292F" w:rsidRPr="00AC713D" w:rsidRDefault="000C292F" w:rsidP="000C292F">
      <w:pPr>
        <w:pStyle w:val="Nadpis4"/>
        <w:rPr>
          <w:rFonts w:cs="Arial"/>
        </w:rPr>
      </w:pPr>
      <w:r w:rsidRPr="00AC713D">
        <w:rPr>
          <w:rFonts w:cs="Arial"/>
        </w:rPr>
        <w:t>Významné události a transakce</w:t>
      </w:r>
    </w:p>
    <w:p w14:paraId="75B12EA4" w14:textId="6E43C34D" w:rsidR="000C292F" w:rsidRPr="00AC713D" w:rsidRDefault="000C292F" w:rsidP="000C292F">
      <w:pPr>
        <w:rPr>
          <w:rFonts w:cs="Arial"/>
          <w:b/>
        </w:rPr>
      </w:pPr>
      <w:r w:rsidRPr="00AC713D">
        <w:rPr>
          <w:rFonts w:cs="Arial"/>
          <w:b/>
        </w:rPr>
        <w:t>Významné události po skončení mezitímního období</w:t>
      </w:r>
    </w:p>
    <w:p w14:paraId="0798118B" w14:textId="47D59C60" w:rsidR="009C76C5" w:rsidRDefault="009C76C5" w:rsidP="009C76C5">
      <w:pPr>
        <w:rPr>
          <w:rFonts w:cs="Arial"/>
        </w:rPr>
      </w:pPr>
      <w:r>
        <w:rPr>
          <w:rFonts w:cs="Arial"/>
        </w:rPr>
        <w:t xml:space="preserve">Dne </w:t>
      </w:r>
      <w:r w:rsidR="00D43D2A">
        <w:rPr>
          <w:rFonts w:cs="Arial"/>
        </w:rPr>
        <w:t>8</w:t>
      </w:r>
      <w:r>
        <w:rPr>
          <w:rFonts w:cs="Arial"/>
        </w:rPr>
        <w:t xml:space="preserve">. července 2020, </w:t>
      </w:r>
      <w:r w:rsidR="0058244A">
        <w:rPr>
          <w:rFonts w:cs="Arial"/>
        </w:rPr>
        <w:t>dozorčí rada Společnosti</w:t>
      </w:r>
      <w:r w:rsidR="00D43D2A">
        <w:rPr>
          <w:rFonts w:cs="Arial"/>
        </w:rPr>
        <w:t xml:space="preserve"> schválila</w:t>
      </w:r>
      <w:r w:rsidR="0058244A">
        <w:rPr>
          <w:rFonts w:cs="Arial"/>
        </w:rPr>
        <w:t xml:space="preserve"> odvolání dosavadního předsedy představenstva pana Carla Allena Bodforda</w:t>
      </w:r>
      <w:r w:rsidR="00D43D2A">
        <w:rPr>
          <w:rFonts w:cs="Arial"/>
        </w:rPr>
        <w:t xml:space="preserve"> s okamžitou platností</w:t>
      </w:r>
      <w:r w:rsidR="0058244A">
        <w:rPr>
          <w:rFonts w:cs="Arial"/>
        </w:rPr>
        <w:t xml:space="preserve">. </w:t>
      </w:r>
    </w:p>
    <w:p w14:paraId="29573613" w14:textId="4EE6C285" w:rsidR="000C292F" w:rsidRPr="00AC713D" w:rsidRDefault="000C292F" w:rsidP="000C292F">
      <w:pPr>
        <w:rPr>
          <w:rFonts w:cs="Arial"/>
          <w:b/>
          <w:color w:val="E2001C"/>
        </w:rPr>
      </w:pPr>
      <w:r w:rsidRPr="00AC713D">
        <w:rPr>
          <w:rFonts w:cs="Arial"/>
        </w:rPr>
        <w:t>Vedení Společnosti si není vědomo jakýchkoli dalších skutečností, které se staly po</w:t>
      </w:r>
      <w:r w:rsidR="00603330">
        <w:rPr>
          <w:rFonts w:cs="Arial"/>
        </w:rPr>
        <w:t> </w:t>
      </w:r>
      <w:r w:rsidRPr="00AC713D">
        <w:rPr>
          <w:rFonts w:cs="Arial"/>
        </w:rPr>
        <w:t>datu účetní závěrky a které by měly významný vliv na konsolidované účetní výkazy k</w:t>
      </w:r>
      <w:r w:rsidR="00C90993" w:rsidRPr="00AC713D">
        <w:rPr>
          <w:rFonts w:cs="Arial"/>
        </w:rPr>
        <w:t> </w:t>
      </w:r>
      <w:r w:rsidRPr="00AC713D">
        <w:rPr>
          <w:rFonts w:cs="Arial"/>
        </w:rPr>
        <w:t xml:space="preserve">30. červnu </w:t>
      </w:r>
      <w:r w:rsidR="00C90993" w:rsidRPr="00AC713D">
        <w:rPr>
          <w:rFonts w:cs="Arial"/>
        </w:rPr>
        <w:t>2020</w:t>
      </w:r>
      <w:r w:rsidRPr="00AC713D">
        <w:rPr>
          <w:rFonts w:cs="Arial"/>
        </w:rPr>
        <w:t>.</w:t>
      </w:r>
    </w:p>
    <w:p w14:paraId="11C25158" w14:textId="77777777" w:rsidR="000C292F" w:rsidRPr="00AC713D" w:rsidRDefault="000C292F" w:rsidP="000C292F">
      <w:pPr>
        <w:pStyle w:val="Nadpis4"/>
        <w:rPr>
          <w:rFonts w:cs="Arial"/>
        </w:rPr>
      </w:pPr>
      <w:r w:rsidRPr="00AC713D">
        <w:rPr>
          <w:rFonts w:cs="Arial"/>
        </w:rPr>
        <w:t>Informace o reálné hodnotě finančních instrumentů</w:t>
      </w:r>
    </w:p>
    <w:p w14:paraId="66B759A9" w14:textId="77777777" w:rsidR="000C292F" w:rsidRPr="00AC713D" w:rsidRDefault="000C292F" w:rsidP="000C292F">
      <w:pPr>
        <w:rPr>
          <w:rFonts w:cs="Arial"/>
        </w:rPr>
      </w:pPr>
      <w:r w:rsidRPr="00AC713D">
        <w:rPr>
          <w:rFonts w:cs="Arial"/>
        </w:rPr>
        <w:t>Za období prvních šesti měsíců tohoto roku nedošlo k žádné změně ve způsobu ocenění finančních instrumentů.</w:t>
      </w:r>
    </w:p>
    <w:p w14:paraId="22F7872E" w14:textId="77777777" w:rsidR="000C292F" w:rsidRPr="00AC713D" w:rsidRDefault="000C292F" w:rsidP="000C292F">
      <w:pPr>
        <w:rPr>
          <w:rFonts w:cs="Arial"/>
          <w:b/>
        </w:rPr>
      </w:pPr>
      <w:r w:rsidRPr="00AC713D">
        <w:rPr>
          <w:rFonts w:cs="Arial"/>
          <w:b/>
        </w:rPr>
        <w:t xml:space="preserve">Úrokové swapy </w:t>
      </w:r>
    </w:p>
    <w:p w14:paraId="0D09C0F0" w14:textId="17E7CCA3" w:rsidR="000C292F" w:rsidRPr="00AC713D" w:rsidRDefault="00E37CA8" w:rsidP="000C292F">
      <w:pPr>
        <w:rPr>
          <w:rFonts w:cs="Arial"/>
        </w:rPr>
      </w:pPr>
      <w:r w:rsidRPr="00AC713D">
        <w:rPr>
          <w:rFonts w:cs="Arial"/>
        </w:rPr>
        <w:t xml:space="preserve">Skupina </w:t>
      </w:r>
      <w:r w:rsidR="000C292F" w:rsidRPr="00AC713D">
        <w:rPr>
          <w:rFonts w:cs="Arial"/>
        </w:rPr>
        <w:t xml:space="preserve">neměla k 30. červnu </w:t>
      </w:r>
      <w:r w:rsidR="00C90993" w:rsidRPr="00AC713D">
        <w:rPr>
          <w:rFonts w:cs="Arial"/>
        </w:rPr>
        <w:t xml:space="preserve">2020 </w:t>
      </w:r>
      <w:r w:rsidR="000C292F" w:rsidRPr="00AC713D">
        <w:rPr>
          <w:rFonts w:cs="Arial"/>
        </w:rPr>
        <w:t>otevřeny žádné úrokové swapy.</w:t>
      </w:r>
    </w:p>
    <w:p w14:paraId="180CC185" w14:textId="77777777" w:rsidR="0058244A" w:rsidRDefault="0058244A">
      <w:pPr>
        <w:spacing w:before="0" w:beforeAutospacing="0" w:after="160" w:afterAutospacing="0" w:line="259" w:lineRule="auto"/>
        <w:jc w:val="left"/>
        <w:rPr>
          <w:rFonts w:cs="Arial"/>
          <w:b/>
        </w:rPr>
      </w:pPr>
      <w:r>
        <w:rPr>
          <w:rFonts w:cs="Arial"/>
          <w:b/>
        </w:rPr>
        <w:br w:type="page"/>
      </w:r>
    </w:p>
    <w:p w14:paraId="4A3B66C4" w14:textId="09302BCB" w:rsidR="000C292F" w:rsidRPr="00AC713D" w:rsidRDefault="000C292F" w:rsidP="000C292F">
      <w:pPr>
        <w:rPr>
          <w:rFonts w:cs="Arial"/>
          <w:b/>
        </w:rPr>
      </w:pPr>
      <w:r w:rsidRPr="00AC713D">
        <w:rPr>
          <w:rFonts w:cs="Arial"/>
          <w:b/>
        </w:rPr>
        <w:lastRenderedPageBreak/>
        <w:t>Měnové forwardy</w:t>
      </w:r>
    </w:p>
    <w:p w14:paraId="63E25427" w14:textId="2E18C97D" w:rsidR="000C292F" w:rsidRPr="00AC713D" w:rsidRDefault="00E37CA8" w:rsidP="000C292F">
      <w:pPr>
        <w:rPr>
          <w:rFonts w:cs="Arial"/>
        </w:rPr>
      </w:pPr>
      <w:r w:rsidRPr="00AC713D">
        <w:rPr>
          <w:rFonts w:cs="Arial"/>
        </w:rPr>
        <w:t>Skupina</w:t>
      </w:r>
      <w:r w:rsidR="007267FB" w:rsidRPr="00AC713D">
        <w:rPr>
          <w:rFonts w:cs="Arial"/>
        </w:rPr>
        <w:t xml:space="preserve"> </w:t>
      </w:r>
      <w:r w:rsidR="000C292F" w:rsidRPr="00AC713D">
        <w:rPr>
          <w:rFonts w:cs="Arial"/>
        </w:rPr>
        <w:t xml:space="preserve">neměla k 30. červnu </w:t>
      </w:r>
      <w:r w:rsidR="00C90993" w:rsidRPr="00AC713D">
        <w:rPr>
          <w:rFonts w:cs="Arial"/>
        </w:rPr>
        <w:t xml:space="preserve">2020 </w:t>
      </w:r>
      <w:r w:rsidR="000C292F" w:rsidRPr="00AC713D">
        <w:rPr>
          <w:rFonts w:cs="Arial"/>
        </w:rPr>
        <w:t>otevřeny žádné měnové forwardy.</w:t>
      </w:r>
    </w:p>
    <w:p w14:paraId="7CC34C08" w14:textId="6A0517C5" w:rsidR="000C292F" w:rsidRPr="00AC713D" w:rsidRDefault="000C292F" w:rsidP="000C67C3">
      <w:pPr>
        <w:spacing w:before="0" w:beforeAutospacing="0" w:after="160" w:afterAutospacing="0" w:line="259" w:lineRule="auto"/>
        <w:jc w:val="left"/>
        <w:rPr>
          <w:rFonts w:cs="Arial"/>
          <w:b/>
        </w:rPr>
      </w:pPr>
      <w:r w:rsidRPr="00AC713D">
        <w:rPr>
          <w:rFonts w:cs="Arial"/>
          <w:b/>
        </w:rPr>
        <w:t>Křížové měnové swapy</w:t>
      </w:r>
    </w:p>
    <w:p w14:paraId="6B48D660" w14:textId="74746EF5" w:rsidR="000C292F" w:rsidRPr="00AC713D" w:rsidRDefault="00E37CA8" w:rsidP="000C292F">
      <w:pPr>
        <w:rPr>
          <w:rFonts w:cs="Arial"/>
          <w:color w:val="000000"/>
        </w:rPr>
      </w:pPr>
      <w:r w:rsidRPr="00AC713D">
        <w:rPr>
          <w:rFonts w:cs="Arial"/>
          <w:color w:val="000000"/>
        </w:rPr>
        <w:t xml:space="preserve">Skupina </w:t>
      </w:r>
      <w:r w:rsidR="000C292F" w:rsidRPr="00AC713D">
        <w:rPr>
          <w:rFonts w:cs="Arial"/>
          <w:color w:val="000000"/>
        </w:rPr>
        <w:t xml:space="preserve">měla k </w:t>
      </w:r>
      <w:r w:rsidR="00D46494" w:rsidRPr="00AC713D">
        <w:rPr>
          <w:rFonts w:cs="Arial"/>
          <w:color w:val="000000"/>
        </w:rPr>
        <w:t>30. červnu 201</w:t>
      </w:r>
      <w:r w:rsidR="00C90993" w:rsidRPr="00AC713D">
        <w:rPr>
          <w:rFonts w:cs="Arial"/>
          <w:color w:val="000000"/>
        </w:rPr>
        <w:t>9 a</w:t>
      </w:r>
      <w:r w:rsidR="007F2D23">
        <w:rPr>
          <w:rFonts w:cs="Arial"/>
          <w:color w:val="000000"/>
        </w:rPr>
        <w:t xml:space="preserve"> </w:t>
      </w:r>
      <w:r w:rsidR="00D46494" w:rsidRPr="00AC713D">
        <w:rPr>
          <w:rFonts w:cs="Arial"/>
          <w:color w:val="000000"/>
        </w:rPr>
        <w:t xml:space="preserve">k </w:t>
      </w:r>
      <w:r w:rsidR="000C292F" w:rsidRPr="00AC713D">
        <w:rPr>
          <w:rFonts w:cs="Arial"/>
          <w:color w:val="000000"/>
        </w:rPr>
        <w:t xml:space="preserve">30. červnu </w:t>
      </w:r>
      <w:r w:rsidR="00C90993" w:rsidRPr="00AC713D">
        <w:rPr>
          <w:rFonts w:cs="Arial"/>
          <w:color w:val="000000"/>
        </w:rPr>
        <w:t xml:space="preserve">2020 </w:t>
      </w:r>
      <w:r w:rsidR="000C292F" w:rsidRPr="00AC713D">
        <w:rPr>
          <w:rFonts w:cs="Arial"/>
          <w:color w:val="000000"/>
        </w:rPr>
        <w:t xml:space="preserve">otevřeny </w:t>
      </w:r>
      <w:r w:rsidR="00343592" w:rsidRPr="00AC713D">
        <w:rPr>
          <w:rFonts w:cs="Arial"/>
          <w:color w:val="000000"/>
        </w:rPr>
        <w:t xml:space="preserve">dva </w:t>
      </w:r>
      <w:r w:rsidR="000C292F" w:rsidRPr="00AC713D">
        <w:rPr>
          <w:rFonts w:cs="Arial"/>
          <w:color w:val="000000"/>
        </w:rPr>
        <w:t xml:space="preserve">křížové měnové swapy. </w:t>
      </w:r>
    </w:p>
    <w:p w14:paraId="2D78F554" w14:textId="14564F8E" w:rsidR="000C292F" w:rsidRPr="00AC713D" w:rsidRDefault="00C90993" w:rsidP="00343592">
      <w:pPr>
        <w:rPr>
          <w:rFonts w:cs="Arial"/>
          <w:color w:val="000000"/>
        </w:rPr>
      </w:pPr>
      <w:r w:rsidRPr="00AC713D">
        <w:rPr>
          <w:rFonts w:cs="Arial"/>
          <w:color w:val="000000"/>
        </w:rPr>
        <w:t>První</w:t>
      </w:r>
      <w:r w:rsidR="000C292F" w:rsidRPr="00AC713D">
        <w:rPr>
          <w:rFonts w:cs="Arial"/>
          <w:color w:val="000000"/>
        </w:rPr>
        <w:t xml:space="preserve"> swap byl uzavřen v červenci 2015 v celkové nominální hodnotě 678 000 tis. Kč (příjmová strana) proti 25 000 tis. EUR (platební strana) za účelem zajištění cizoměnového rizika v</w:t>
      </w:r>
      <w:r w:rsidR="00190491" w:rsidRPr="00AC713D">
        <w:rPr>
          <w:rFonts w:cs="Arial"/>
          <w:color w:val="000000"/>
        </w:rPr>
        <w:t> </w:t>
      </w:r>
      <w:r w:rsidR="000C292F" w:rsidRPr="00AC713D">
        <w:rPr>
          <w:rFonts w:cs="Arial"/>
          <w:color w:val="000000"/>
        </w:rPr>
        <w:t xml:space="preserve">souvislosti s emisí privátních dluhopisů, které vydala dceřiná společnost </w:t>
      </w:r>
      <w:r w:rsidR="00343592" w:rsidRPr="00AC713D">
        <w:rPr>
          <w:rFonts w:cs="Arial"/>
          <w:color w:val="000000"/>
        </w:rPr>
        <w:t>PFNonwovens</w:t>
      </w:r>
      <w:r w:rsidR="000C292F" w:rsidRPr="00AC713D">
        <w:rPr>
          <w:rFonts w:cs="Arial"/>
          <w:color w:val="000000"/>
        </w:rPr>
        <w:t xml:space="preserve"> Czech s.r.o., denominovaných v Kč se splatností 14.</w:t>
      </w:r>
      <w:r w:rsidR="00603330">
        <w:rPr>
          <w:rFonts w:cs="Arial"/>
          <w:color w:val="000000"/>
        </w:rPr>
        <w:t> </w:t>
      </w:r>
      <w:r w:rsidR="000C292F" w:rsidRPr="00AC713D">
        <w:rPr>
          <w:rFonts w:cs="Arial"/>
          <w:color w:val="000000"/>
        </w:rPr>
        <w:t>července 2025, které nesou plovoucí úrokovou sazbu 6M PRIBOR + 2 % p.a. Swap nese pevnou úrokovou sazbu 3,39 % p.a.</w:t>
      </w:r>
      <w:r w:rsidR="00343592" w:rsidRPr="00AC713D">
        <w:rPr>
          <w:rFonts w:cs="Arial"/>
          <w:color w:val="000000"/>
        </w:rPr>
        <w:t xml:space="preserve"> Zároveň tento swap zajišťuje cizoměnové riziko u peněžních toků, tržeb, které Skupina realizuje v EUR. Ekonomický vztah je definován jako očekávání, že hodnota zajišťovacího nástroje a</w:t>
      </w:r>
      <w:r w:rsidR="00603330">
        <w:rPr>
          <w:rFonts w:cs="Arial"/>
          <w:color w:val="000000"/>
        </w:rPr>
        <w:t> </w:t>
      </w:r>
      <w:r w:rsidR="00343592" w:rsidRPr="00AC713D">
        <w:rPr>
          <w:rFonts w:cs="Arial"/>
          <w:color w:val="000000"/>
        </w:rPr>
        <w:t>hodnota zajištěné položky se bude ve vztahu k zajištěnému riziku pohybovat opačně. Tzn. v případě růstu úrokových sazeb se bude zvyšovat hodnota zajišťovacího nástroje, aktiva, a stejně tak se bude zvyšovat hodnota zajištěné položky vydaných dluhopisů, resp. závazku a naopak. V případě posilování Kč vůči EUR se bude zvyšovat hodnota zajišťovacího nástroje a zároveň se bude snižovat hodnota zajišťované položky EURových tržeb vyjádřených v Kč. Skupina považuje zajišťovací vztah za efektivní vzhledem ke skutečnosti, že parametry zajišťovacího nástroje a zajištěné položky jsou identické (nominál, data splatnosti úrokových plateb, stálost tržeb inkasovaných v EUR). Z tohoto důvodu byla celá část reálné hodnoty zajišťovacího derivátu vykázána ve vlastním kapitálu, resp. přes ostatní úplný výsledek.</w:t>
      </w:r>
    </w:p>
    <w:p w14:paraId="14686AB0" w14:textId="4E36B567" w:rsidR="000C292F" w:rsidRPr="00AC713D" w:rsidRDefault="00C90993" w:rsidP="000C292F">
      <w:pPr>
        <w:rPr>
          <w:rFonts w:cs="Arial"/>
          <w:color w:val="000000"/>
        </w:rPr>
      </w:pPr>
      <w:r w:rsidRPr="00AC713D">
        <w:rPr>
          <w:rFonts w:cs="Arial"/>
          <w:color w:val="000000"/>
        </w:rPr>
        <w:t xml:space="preserve">Druhý </w:t>
      </w:r>
      <w:r w:rsidR="000C292F" w:rsidRPr="00AC713D">
        <w:rPr>
          <w:rFonts w:cs="Arial"/>
          <w:color w:val="000000"/>
        </w:rPr>
        <w:t>swap byl uzavřen v červenci 2015 v celkové nominální hodnotě 1 080 000 tis. Kč (příjmová strana) proti 39 852 tis. EUR (platební strana) za účelem zajištění cizoměnového rizika v</w:t>
      </w:r>
      <w:r w:rsidR="00190491" w:rsidRPr="00AC713D">
        <w:rPr>
          <w:rFonts w:cs="Arial"/>
          <w:color w:val="000000"/>
        </w:rPr>
        <w:t> </w:t>
      </w:r>
      <w:r w:rsidR="000C292F" w:rsidRPr="00AC713D">
        <w:rPr>
          <w:rFonts w:cs="Arial"/>
          <w:color w:val="000000"/>
        </w:rPr>
        <w:t xml:space="preserve">souvislosti s emisí privátních dluhopisů, které vydala </w:t>
      </w:r>
      <w:r w:rsidR="00E37CA8" w:rsidRPr="00AC713D">
        <w:rPr>
          <w:rFonts w:cs="Arial"/>
          <w:color w:val="000000"/>
        </w:rPr>
        <w:t>holdingová společnost PFNonwovens a.s</w:t>
      </w:r>
      <w:r w:rsidR="000C292F" w:rsidRPr="00AC713D">
        <w:rPr>
          <w:rFonts w:cs="Arial"/>
          <w:color w:val="000000"/>
        </w:rPr>
        <w:t>, denominovaných v Kč se splatností 14.</w:t>
      </w:r>
      <w:r w:rsidR="00603330">
        <w:rPr>
          <w:rFonts w:cs="Arial"/>
          <w:color w:val="000000"/>
        </w:rPr>
        <w:t> </w:t>
      </w:r>
      <w:r w:rsidR="000C292F" w:rsidRPr="00AC713D">
        <w:rPr>
          <w:rFonts w:cs="Arial"/>
          <w:color w:val="000000"/>
        </w:rPr>
        <w:t>července 2022, které nesou pevnou úrokovou sazbu 2,646 % p.a. Swap nese pevnou úrokovou sazbu 3,15 % p.a.</w:t>
      </w:r>
    </w:p>
    <w:p w14:paraId="6C1592F2" w14:textId="728C20D4" w:rsidR="0040773E" w:rsidRPr="00AC713D" w:rsidRDefault="000C292F" w:rsidP="002C4FFF">
      <w:pPr>
        <w:rPr>
          <w:rFonts w:cs="Arial"/>
          <w:color w:val="000000"/>
        </w:rPr>
      </w:pPr>
      <w:r w:rsidRPr="00AC713D">
        <w:rPr>
          <w:rFonts w:cs="Arial"/>
          <w:color w:val="000000"/>
        </w:rPr>
        <w:t xml:space="preserve">Reálná hodnota těchto swapů k 30. červnu </w:t>
      </w:r>
      <w:r w:rsidR="00C90993" w:rsidRPr="00AC713D">
        <w:rPr>
          <w:rFonts w:cs="Arial"/>
          <w:color w:val="000000"/>
        </w:rPr>
        <w:t xml:space="preserve">2020 </w:t>
      </w:r>
      <w:r w:rsidRPr="00AC713D">
        <w:rPr>
          <w:rFonts w:cs="Arial"/>
          <w:color w:val="000000"/>
        </w:rPr>
        <w:t xml:space="preserve">je uvedena v následující tabulce. Kladná hodnota představuje pohledávku </w:t>
      </w:r>
      <w:r w:rsidR="00E37CA8" w:rsidRPr="00AC713D">
        <w:rPr>
          <w:rFonts w:cs="Arial"/>
          <w:color w:val="000000"/>
        </w:rPr>
        <w:t>Skupiny</w:t>
      </w:r>
      <w:r w:rsidRPr="00AC713D">
        <w:rPr>
          <w:rFonts w:cs="Arial"/>
          <w:color w:val="000000"/>
        </w:rPr>
        <w:t xml:space="preserve">, záporná hodnota závazek </w:t>
      </w:r>
      <w:r w:rsidR="00E37CA8" w:rsidRPr="00AC713D">
        <w:rPr>
          <w:rFonts w:cs="Arial"/>
          <w:color w:val="000000"/>
        </w:rPr>
        <w:t>Skupiny</w:t>
      </w:r>
      <w:r w:rsidRPr="00AC713D">
        <w:rPr>
          <w:rFonts w:cs="Arial"/>
          <w:color w:val="000000"/>
        </w:rPr>
        <w:t>.</w:t>
      </w:r>
    </w:p>
    <w:tbl>
      <w:tblPr>
        <w:tblW w:w="4999" w:type="pct"/>
        <w:tblCellMar>
          <w:left w:w="70" w:type="dxa"/>
          <w:right w:w="70" w:type="dxa"/>
        </w:tblCellMar>
        <w:tblLook w:val="0000" w:firstRow="0" w:lastRow="0" w:firstColumn="0" w:lastColumn="0" w:noHBand="0" w:noVBand="0"/>
      </w:tblPr>
      <w:tblGrid>
        <w:gridCol w:w="4868"/>
        <w:gridCol w:w="2101"/>
        <w:gridCol w:w="2101"/>
      </w:tblGrid>
      <w:tr w:rsidR="00343592" w:rsidRPr="00AC713D" w14:paraId="6CD5C0FD" w14:textId="77777777" w:rsidTr="00343592">
        <w:trPr>
          <w:trHeight w:val="20"/>
        </w:trPr>
        <w:tc>
          <w:tcPr>
            <w:tcW w:w="2684" w:type="pct"/>
            <w:shd w:val="clear" w:color="auto" w:fill="2A7FC6"/>
            <w:noWrap/>
            <w:vAlign w:val="center"/>
          </w:tcPr>
          <w:p w14:paraId="613FA854" w14:textId="77777777" w:rsidR="00343592" w:rsidRPr="00AC713D" w:rsidRDefault="00343592" w:rsidP="00E431E6">
            <w:pPr>
              <w:jc w:val="center"/>
              <w:rPr>
                <w:rFonts w:cs="Arial"/>
                <w:b/>
                <w:color w:val="FFFFFF" w:themeColor="background1"/>
                <w:sz w:val="20"/>
                <w:szCs w:val="20"/>
              </w:rPr>
            </w:pPr>
            <w:r w:rsidRPr="00AC713D">
              <w:rPr>
                <w:rFonts w:cs="Arial"/>
                <w:b/>
                <w:color w:val="FFFFFF" w:themeColor="background1"/>
                <w:sz w:val="20"/>
                <w:szCs w:val="20"/>
              </w:rPr>
              <w:t>Protistrana</w:t>
            </w:r>
          </w:p>
        </w:tc>
        <w:tc>
          <w:tcPr>
            <w:tcW w:w="1158" w:type="pct"/>
            <w:shd w:val="clear" w:color="auto" w:fill="2A7FC6"/>
            <w:vAlign w:val="center"/>
          </w:tcPr>
          <w:p w14:paraId="04B58F21" w14:textId="2D1B63B3" w:rsidR="00343592" w:rsidRPr="00AC713D" w:rsidRDefault="00C90993" w:rsidP="00E431E6">
            <w:pPr>
              <w:jc w:val="center"/>
              <w:rPr>
                <w:rFonts w:cs="Arial"/>
                <w:b/>
                <w:bCs/>
                <w:color w:val="FFFFFF" w:themeColor="background1"/>
                <w:sz w:val="20"/>
                <w:szCs w:val="20"/>
              </w:rPr>
            </w:pPr>
            <w:r w:rsidRPr="00AC713D">
              <w:rPr>
                <w:rFonts w:cs="Arial"/>
                <w:b/>
                <w:bCs/>
                <w:color w:val="FFFFFF" w:themeColor="background1"/>
                <w:sz w:val="20"/>
                <w:szCs w:val="20"/>
              </w:rPr>
              <w:t>k 30. červnu 2019</w:t>
            </w:r>
          </w:p>
        </w:tc>
        <w:tc>
          <w:tcPr>
            <w:tcW w:w="1158" w:type="pct"/>
            <w:shd w:val="clear" w:color="auto" w:fill="2A7FC6"/>
            <w:vAlign w:val="center"/>
          </w:tcPr>
          <w:p w14:paraId="709B5772" w14:textId="6869B5C0" w:rsidR="00343592" w:rsidRPr="00AC713D" w:rsidRDefault="00343592" w:rsidP="00C90993">
            <w:pPr>
              <w:jc w:val="center"/>
              <w:rPr>
                <w:rFonts w:cs="Arial"/>
                <w:b/>
                <w:bCs/>
                <w:color w:val="FFFFFF" w:themeColor="background1"/>
                <w:sz w:val="20"/>
                <w:szCs w:val="20"/>
              </w:rPr>
            </w:pPr>
            <w:r w:rsidRPr="00AC713D">
              <w:rPr>
                <w:rFonts w:cs="Arial"/>
                <w:b/>
                <w:bCs/>
                <w:color w:val="FFFFFF" w:themeColor="background1"/>
                <w:sz w:val="20"/>
                <w:szCs w:val="20"/>
              </w:rPr>
              <w:t>k 30. červnu 20</w:t>
            </w:r>
            <w:r w:rsidR="00C90993" w:rsidRPr="00AC713D">
              <w:rPr>
                <w:rFonts w:cs="Arial"/>
                <w:b/>
                <w:bCs/>
                <w:color w:val="FFFFFF" w:themeColor="background1"/>
                <w:sz w:val="20"/>
                <w:szCs w:val="20"/>
              </w:rPr>
              <w:t>20</w:t>
            </w:r>
          </w:p>
        </w:tc>
      </w:tr>
      <w:tr w:rsidR="00C90993" w:rsidRPr="00AC713D" w14:paraId="26C433D8" w14:textId="77777777" w:rsidTr="00343592">
        <w:trPr>
          <w:trHeight w:val="20"/>
        </w:trPr>
        <w:tc>
          <w:tcPr>
            <w:tcW w:w="2684" w:type="pct"/>
            <w:tcBorders>
              <w:top w:val="single" w:sz="4" w:space="0" w:color="9C9D9F"/>
              <w:bottom w:val="single" w:sz="4" w:space="0" w:color="9C9D9F"/>
            </w:tcBorders>
            <w:noWrap/>
            <w:vAlign w:val="bottom"/>
          </w:tcPr>
          <w:p w14:paraId="1FCEF523" w14:textId="77777777" w:rsidR="00C90993" w:rsidRPr="00AC713D" w:rsidRDefault="00C90993" w:rsidP="00C90993">
            <w:pPr>
              <w:rPr>
                <w:rFonts w:cs="Arial"/>
                <w:sz w:val="20"/>
                <w:szCs w:val="20"/>
              </w:rPr>
            </w:pPr>
            <w:r w:rsidRPr="00AC713D">
              <w:rPr>
                <w:rFonts w:cs="Arial"/>
                <w:sz w:val="20"/>
                <w:szCs w:val="20"/>
              </w:rPr>
              <w:t>ČSOB – 25 mil. EUR</w:t>
            </w:r>
          </w:p>
        </w:tc>
        <w:tc>
          <w:tcPr>
            <w:tcW w:w="1158" w:type="pct"/>
            <w:tcBorders>
              <w:top w:val="single" w:sz="4" w:space="0" w:color="9C9D9F"/>
              <w:bottom w:val="single" w:sz="4" w:space="0" w:color="9C9D9F"/>
            </w:tcBorders>
            <w:vAlign w:val="bottom"/>
          </w:tcPr>
          <w:p w14:paraId="6BF2C702" w14:textId="46DE2356" w:rsidR="00C90993" w:rsidRPr="00AC713D" w:rsidRDefault="00C90993" w:rsidP="00C90993">
            <w:pPr>
              <w:jc w:val="right"/>
              <w:rPr>
                <w:rFonts w:cs="Arial"/>
                <w:sz w:val="20"/>
                <w:szCs w:val="20"/>
              </w:rPr>
            </w:pPr>
            <w:r w:rsidRPr="00AC713D">
              <w:rPr>
                <w:rFonts w:cs="Arial"/>
                <w:sz w:val="20"/>
                <w:szCs w:val="20"/>
              </w:rPr>
              <w:t>-9 046</w:t>
            </w:r>
          </w:p>
        </w:tc>
        <w:tc>
          <w:tcPr>
            <w:tcW w:w="1158" w:type="pct"/>
            <w:tcBorders>
              <w:top w:val="single" w:sz="4" w:space="0" w:color="9C9D9F"/>
              <w:bottom w:val="single" w:sz="4" w:space="0" w:color="9C9D9F"/>
            </w:tcBorders>
            <w:shd w:val="clear" w:color="auto" w:fill="FFFFFF"/>
            <w:vAlign w:val="bottom"/>
          </w:tcPr>
          <w:p w14:paraId="2A1B2505" w14:textId="3A3CB15D" w:rsidR="00C90993" w:rsidRPr="00AC713D" w:rsidRDefault="00C90993" w:rsidP="00C90993">
            <w:pPr>
              <w:jc w:val="right"/>
              <w:rPr>
                <w:rFonts w:cs="Arial"/>
                <w:sz w:val="20"/>
                <w:szCs w:val="20"/>
              </w:rPr>
            </w:pPr>
            <w:r w:rsidRPr="00AC713D">
              <w:rPr>
                <w:rFonts w:cs="Arial"/>
                <w:sz w:val="20"/>
                <w:szCs w:val="20"/>
              </w:rPr>
              <w:t>-44 744</w:t>
            </w:r>
          </w:p>
        </w:tc>
      </w:tr>
      <w:tr w:rsidR="00C90993" w:rsidRPr="00AC713D" w14:paraId="4B2F2A88" w14:textId="77777777" w:rsidTr="00343592">
        <w:trPr>
          <w:trHeight w:val="20"/>
        </w:trPr>
        <w:tc>
          <w:tcPr>
            <w:tcW w:w="2684" w:type="pct"/>
            <w:tcBorders>
              <w:top w:val="single" w:sz="4" w:space="0" w:color="9C9D9F"/>
              <w:bottom w:val="single" w:sz="4" w:space="0" w:color="9C9D9F"/>
            </w:tcBorders>
            <w:noWrap/>
            <w:vAlign w:val="bottom"/>
          </w:tcPr>
          <w:p w14:paraId="5005BB1C" w14:textId="77777777" w:rsidR="00C90993" w:rsidRPr="00AC713D" w:rsidRDefault="00C90993" w:rsidP="00C90993">
            <w:pPr>
              <w:rPr>
                <w:rFonts w:cs="Arial"/>
                <w:sz w:val="20"/>
                <w:szCs w:val="20"/>
              </w:rPr>
            </w:pPr>
            <w:r w:rsidRPr="00AC713D">
              <w:rPr>
                <w:rFonts w:cs="Arial"/>
                <w:sz w:val="20"/>
                <w:szCs w:val="20"/>
              </w:rPr>
              <w:t>Česká spořitelna – 39,852 mil. EUR</w:t>
            </w:r>
          </w:p>
        </w:tc>
        <w:tc>
          <w:tcPr>
            <w:tcW w:w="1158" w:type="pct"/>
            <w:tcBorders>
              <w:top w:val="single" w:sz="4" w:space="0" w:color="9C9D9F"/>
              <w:bottom w:val="single" w:sz="4" w:space="0" w:color="9C9D9F"/>
            </w:tcBorders>
            <w:vAlign w:val="bottom"/>
          </w:tcPr>
          <w:p w14:paraId="5FDEF6BE" w14:textId="04EC2FFF" w:rsidR="00C90993" w:rsidRPr="00AC713D" w:rsidRDefault="00C90993" w:rsidP="00C90993">
            <w:pPr>
              <w:jc w:val="right"/>
              <w:rPr>
                <w:rFonts w:cs="Arial"/>
                <w:sz w:val="20"/>
                <w:szCs w:val="20"/>
              </w:rPr>
            </w:pPr>
            <w:r w:rsidRPr="00AC713D">
              <w:rPr>
                <w:rFonts w:cs="Arial"/>
                <w:sz w:val="20"/>
                <w:szCs w:val="20"/>
              </w:rPr>
              <w:t>-6 422</w:t>
            </w:r>
          </w:p>
        </w:tc>
        <w:tc>
          <w:tcPr>
            <w:tcW w:w="1158" w:type="pct"/>
            <w:tcBorders>
              <w:top w:val="single" w:sz="4" w:space="0" w:color="9C9D9F"/>
              <w:bottom w:val="single" w:sz="4" w:space="0" w:color="9C9D9F"/>
            </w:tcBorders>
            <w:shd w:val="clear" w:color="auto" w:fill="FFFFFF"/>
            <w:vAlign w:val="bottom"/>
          </w:tcPr>
          <w:p w14:paraId="101EEB07" w14:textId="57639C8B" w:rsidR="00C90993" w:rsidRPr="00AC713D" w:rsidRDefault="00C90993" w:rsidP="00C90993">
            <w:pPr>
              <w:jc w:val="right"/>
              <w:rPr>
                <w:rFonts w:cs="Arial"/>
                <w:sz w:val="20"/>
                <w:szCs w:val="20"/>
              </w:rPr>
            </w:pPr>
            <w:r w:rsidRPr="00AC713D">
              <w:rPr>
                <w:rFonts w:cs="Arial"/>
                <w:sz w:val="20"/>
                <w:szCs w:val="20"/>
              </w:rPr>
              <w:t>- 9 341</w:t>
            </w:r>
          </w:p>
        </w:tc>
      </w:tr>
      <w:tr w:rsidR="00C90993" w:rsidRPr="00AC713D" w14:paraId="0B5A5585" w14:textId="77777777" w:rsidTr="00343592">
        <w:trPr>
          <w:trHeight w:val="20"/>
        </w:trPr>
        <w:tc>
          <w:tcPr>
            <w:tcW w:w="2684" w:type="pct"/>
            <w:tcBorders>
              <w:top w:val="single" w:sz="4" w:space="0" w:color="9C9D9F"/>
              <w:bottom w:val="single" w:sz="4" w:space="0" w:color="9C9D9F"/>
            </w:tcBorders>
            <w:noWrap/>
            <w:vAlign w:val="bottom"/>
          </w:tcPr>
          <w:p w14:paraId="6B7F7261" w14:textId="77777777" w:rsidR="00C90993" w:rsidRPr="00AC713D" w:rsidRDefault="00C90993" w:rsidP="00C90993">
            <w:pPr>
              <w:rPr>
                <w:rFonts w:cs="Arial"/>
                <w:b/>
                <w:bCs/>
                <w:sz w:val="20"/>
                <w:szCs w:val="20"/>
              </w:rPr>
            </w:pPr>
            <w:r w:rsidRPr="00AC713D">
              <w:rPr>
                <w:rFonts w:cs="Arial"/>
                <w:b/>
                <w:bCs/>
                <w:sz w:val="20"/>
                <w:szCs w:val="20"/>
              </w:rPr>
              <w:t>Celkem</w:t>
            </w:r>
          </w:p>
        </w:tc>
        <w:tc>
          <w:tcPr>
            <w:tcW w:w="1158" w:type="pct"/>
            <w:tcBorders>
              <w:top w:val="single" w:sz="4" w:space="0" w:color="9C9D9F"/>
              <w:bottom w:val="single" w:sz="4" w:space="0" w:color="9C9D9F"/>
            </w:tcBorders>
            <w:vAlign w:val="bottom"/>
          </w:tcPr>
          <w:p w14:paraId="0ADE13DC" w14:textId="5972C791" w:rsidR="00C90993" w:rsidRPr="00AC713D" w:rsidRDefault="00C90993" w:rsidP="00C90993">
            <w:pPr>
              <w:jc w:val="right"/>
              <w:rPr>
                <w:rFonts w:cs="Arial"/>
                <w:b/>
                <w:sz w:val="20"/>
                <w:szCs w:val="20"/>
              </w:rPr>
            </w:pPr>
            <w:r w:rsidRPr="00AC713D">
              <w:rPr>
                <w:rFonts w:cs="Arial"/>
                <w:b/>
                <w:sz w:val="20"/>
                <w:szCs w:val="20"/>
              </w:rPr>
              <w:t>-15 468</w:t>
            </w:r>
          </w:p>
        </w:tc>
        <w:tc>
          <w:tcPr>
            <w:tcW w:w="1158" w:type="pct"/>
            <w:tcBorders>
              <w:top w:val="single" w:sz="4" w:space="0" w:color="9C9D9F"/>
              <w:bottom w:val="single" w:sz="4" w:space="0" w:color="9C9D9F"/>
            </w:tcBorders>
            <w:shd w:val="clear" w:color="auto" w:fill="FFFFFF"/>
            <w:vAlign w:val="bottom"/>
          </w:tcPr>
          <w:p w14:paraId="13846C45" w14:textId="283CC487" w:rsidR="00C90993" w:rsidRPr="00AC713D" w:rsidRDefault="00C90993" w:rsidP="00C90993">
            <w:pPr>
              <w:jc w:val="right"/>
              <w:rPr>
                <w:rFonts w:cs="Arial"/>
                <w:b/>
                <w:sz w:val="20"/>
                <w:szCs w:val="20"/>
              </w:rPr>
            </w:pPr>
            <w:r w:rsidRPr="00AC713D">
              <w:rPr>
                <w:rFonts w:cs="Arial"/>
                <w:b/>
                <w:sz w:val="20"/>
                <w:szCs w:val="20"/>
              </w:rPr>
              <w:t>-54 085</w:t>
            </w:r>
          </w:p>
        </w:tc>
      </w:tr>
    </w:tbl>
    <w:p w14:paraId="238F971A" w14:textId="77777777" w:rsidR="000C292F" w:rsidRPr="00AC713D" w:rsidRDefault="000C292F" w:rsidP="000C292F">
      <w:pPr>
        <w:spacing w:before="0" w:beforeAutospacing="0" w:after="0" w:afterAutospacing="0"/>
        <w:rPr>
          <w:rFonts w:cs="Arial"/>
          <w:color w:val="000000"/>
          <w:sz w:val="20"/>
          <w:szCs w:val="20"/>
        </w:rPr>
      </w:pPr>
      <w:r w:rsidRPr="00AC713D">
        <w:rPr>
          <w:rFonts w:cs="Arial"/>
          <w:color w:val="000000"/>
          <w:sz w:val="20"/>
          <w:szCs w:val="20"/>
        </w:rPr>
        <w:t>v tis. Kč</w:t>
      </w:r>
    </w:p>
    <w:p w14:paraId="56A4745F" w14:textId="329E0F1D" w:rsidR="000C292F" w:rsidRPr="00AC713D" w:rsidRDefault="00343592" w:rsidP="00343592">
      <w:pPr>
        <w:rPr>
          <w:rFonts w:cs="Arial"/>
          <w:color w:val="000000"/>
        </w:rPr>
      </w:pPr>
      <w:r w:rsidRPr="00AC713D">
        <w:rPr>
          <w:rFonts w:cs="Arial"/>
          <w:color w:val="000000"/>
        </w:rPr>
        <w:t>Reálná hodnota swap</w:t>
      </w:r>
      <w:r w:rsidR="00D46494" w:rsidRPr="00AC713D">
        <w:rPr>
          <w:rFonts w:cs="Arial"/>
          <w:color w:val="000000"/>
        </w:rPr>
        <w:t>ů</w:t>
      </w:r>
      <w:r w:rsidRPr="00AC713D">
        <w:rPr>
          <w:rFonts w:cs="Arial"/>
          <w:color w:val="000000"/>
        </w:rPr>
        <w:t xml:space="preserve"> je dána eurovou a korunovou výnosovou křivkou platnou v rozvahový den a je vypočtena metodou diskontovaných peněžních toků. Vstupy použité pro výpočet reálné hodnoty jsou dle IFRS 7 zařazeny do druhé úrovně hierarchie reálných hodnot</w:t>
      </w:r>
      <w:r w:rsidR="000C292F" w:rsidRPr="00AC713D">
        <w:rPr>
          <w:rFonts w:cs="Arial"/>
          <w:color w:val="000000"/>
        </w:rPr>
        <w:t>.</w:t>
      </w:r>
    </w:p>
    <w:p w14:paraId="7E1135A0" w14:textId="0699F456" w:rsidR="000C292F" w:rsidRPr="00AC713D" w:rsidRDefault="000C292F" w:rsidP="000C67C3">
      <w:pPr>
        <w:spacing w:before="0" w:beforeAutospacing="0" w:after="160" w:afterAutospacing="0" w:line="259" w:lineRule="auto"/>
        <w:jc w:val="left"/>
        <w:rPr>
          <w:rFonts w:cs="Arial"/>
          <w:i/>
        </w:rPr>
      </w:pPr>
      <w:r w:rsidRPr="00AC713D">
        <w:rPr>
          <w:rFonts w:cs="Arial"/>
          <w:i/>
        </w:rPr>
        <w:t>Senzitivita reálné hodnoty křížových měnových swapů</w:t>
      </w:r>
    </w:p>
    <w:p w14:paraId="191274B7" w14:textId="369E3876" w:rsidR="006476F6" w:rsidRPr="00AC713D" w:rsidRDefault="000C292F">
      <w:pPr>
        <w:rPr>
          <w:rFonts w:cs="Arial"/>
        </w:rPr>
      </w:pPr>
      <w:r w:rsidRPr="00AC713D">
        <w:rPr>
          <w:rFonts w:cs="Arial"/>
        </w:rPr>
        <w:lastRenderedPageBreak/>
        <w:t>Posílení</w:t>
      </w:r>
      <w:r w:rsidR="006476F6" w:rsidRPr="00AC713D">
        <w:rPr>
          <w:rFonts w:cs="Arial"/>
        </w:rPr>
        <w:t>, resp. oslabení</w:t>
      </w:r>
      <w:r w:rsidRPr="00AC713D">
        <w:rPr>
          <w:rFonts w:cs="Arial"/>
        </w:rPr>
        <w:t xml:space="preserve"> kurzu Kč vůči EUR o 1 % by zvýšilo</w:t>
      </w:r>
      <w:r w:rsidR="006476F6" w:rsidRPr="00AC713D">
        <w:rPr>
          <w:rFonts w:cs="Arial"/>
        </w:rPr>
        <w:t>, resp. snížilo</w:t>
      </w:r>
      <w:r w:rsidRPr="00AC713D">
        <w:rPr>
          <w:rFonts w:cs="Arial"/>
        </w:rPr>
        <w:t xml:space="preserve"> reálnou hodnotu křížových měnových swapů k 30. červnu </w:t>
      </w:r>
      <w:r w:rsidR="00C90993" w:rsidRPr="00AC713D">
        <w:rPr>
          <w:rFonts w:cs="Arial"/>
        </w:rPr>
        <w:t xml:space="preserve">2020 </w:t>
      </w:r>
      <w:r w:rsidRPr="00AC713D">
        <w:rPr>
          <w:rFonts w:cs="Arial"/>
        </w:rPr>
        <w:t xml:space="preserve">o zhruba </w:t>
      </w:r>
      <w:r w:rsidR="00C96343" w:rsidRPr="00AC713D">
        <w:rPr>
          <w:rFonts w:cs="Arial"/>
        </w:rPr>
        <w:t>17,3</w:t>
      </w:r>
      <w:r w:rsidR="00E37CA8" w:rsidRPr="00AC713D">
        <w:rPr>
          <w:rFonts w:cs="Arial"/>
        </w:rPr>
        <w:t xml:space="preserve"> </w:t>
      </w:r>
      <w:r w:rsidRPr="00AC713D">
        <w:rPr>
          <w:rFonts w:cs="Arial"/>
        </w:rPr>
        <w:t>mil. Kč.</w:t>
      </w:r>
    </w:p>
    <w:p w14:paraId="4282D288" w14:textId="119BF56A" w:rsidR="000C292F" w:rsidRPr="00AC713D" w:rsidRDefault="000C292F" w:rsidP="000C292F">
      <w:pPr>
        <w:rPr>
          <w:rFonts w:cs="Arial"/>
          <w:b/>
        </w:rPr>
      </w:pPr>
      <w:r w:rsidRPr="00AC713D">
        <w:rPr>
          <w:rFonts w:cs="Arial"/>
          <w:b/>
        </w:rPr>
        <w:t>Cizoměnové op</w:t>
      </w:r>
      <w:r w:rsidR="00BE7891" w:rsidRPr="00AC713D">
        <w:rPr>
          <w:rFonts w:cs="Arial"/>
          <w:b/>
        </w:rPr>
        <w:t>ční struktury</w:t>
      </w:r>
    </w:p>
    <w:p w14:paraId="2FD371B1" w14:textId="77777777" w:rsidR="000C292F" w:rsidRPr="00AC713D" w:rsidRDefault="000C292F" w:rsidP="000C292F">
      <w:pPr>
        <w:rPr>
          <w:rFonts w:cs="Arial"/>
          <w:i/>
        </w:rPr>
      </w:pPr>
      <w:r w:rsidRPr="00AC713D">
        <w:rPr>
          <w:rFonts w:cs="Arial"/>
          <w:i/>
        </w:rPr>
        <w:t>Cizoměnová opční struktura I.</w:t>
      </w:r>
    </w:p>
    <w:p w14:paraId="6F8748E8" w14:textId="5A11E411" w:rsidR="000C292F" w:rsidRPr="00AC713D" w:rsidRDefault="00C96343" w:rsidP="000C292F">
      <w:pPr>
        <w:rPr>
          <w:rFonts w:cs="Arial"/>
        </w:rPr>
      </w:pPr>
      <w:r w:rsidRPr="00AC713D">
        <w:rPr>
          <w:rFonts w:cs="Arial"/>
        </w:rPr>
        <w:t>V červenci 2019 expirovala cizoměnová opční struktura, kterou Skupina uzavřela v březnu 2016. Cílem této cizoměnové opční struktury bylo zajištění měnového rizika spojeného s tržbami v EUR a jejich konverzí do Kč v přibližném objemu, který Skupina měsíčně vynakládá na výplatu mezd</w:t>
      </w:r>
      <w:r w:rsidR="000C292F" w:rsidRPr="00AC713D">
        <w:rPr>
          <w:rFonts w:cs="Arial"/>
        </w:rPr>
        <w:t>.</w:t>
      </w:r>
    </w:p>
    <w:p w14:paraId="3404DCD3" w14:textId="77777777" w:rsidR="000C292F" w:rsidRPr="00AC713D" w:rsidRDefault="000C292F" w:rsidP="000C292F">
      <w:pPr>
        <w:rPr>
          <w:rFonts w:cs="Arial"/>
          <w:i/>
        </w:rPr>
      </w:pPr>
      <w:r w:rsidRPr="00AC713D">
        <w:rPr>
          <w:rFonts w:cs="Arial"/>
          <w:i/>
        </w:rPr>
        <w:t>Cizoměnová opční struktura II.</w:t>
      </w:r>
    </w:p>
    <w:p w14:paraId="34E5127B" w14:textId="77777777" w:rsidR="00C96343" w:rsidRPr="00AC713D" w:rsidRDefault="00C96343" w:rsidP="00C96343">
      <w:pPr>
        <w:rPr>
          <w:rFonts w:cs="Arial"/>
        </w:rPr>
      </w:pPr>
      <w:r w:rsidRPr="00AC713D">
        <w:rPr>
          <w:rFonts w:cs="Arial"/>
        </w:rPr>
        <w:t>V dubnu 2018 Skupina uzavřela cizoměnou opční strukturu. Cílem této cizoměnové opční struktury je zajištění měnového rizika spojeného s tržbami v EUR a jejich konverzí do Kč v přibližném objemu, který Skupina měsíčně vynakládá na výplatu mezd, po expiraci výše uvedené opční struktury z roku 2016. Cizoměnová opční struktura se skládá ze dvou samostatných transakcí, série syntetických forwardů a vypsaných (prodaných) opcí s měsíční expirací od srpna 2019 až do července 2021.</w:t>
      </w:r>
    </w:p>
    <w:p w14:paraId="5302CBA1" w14:textId="76A88E13" w:rsidR="00C96343" w:rsidRPr="00AC713D" w:rsidRDefault="00C96343" w:rsidP="00C96343">
      <w:pPr>
        <w:rPr>
          <w:rFonts w:cs="Arial"/>
        </w:rPr>
      </w:pPr>
      <w:r w:rsidRPr="00AC713D">
        <w:rPr>
          <w:rFonts w:cs="Arial"/>
        </w:rPr>
        <w:t>Skupina vede zajišťovací účetnictví na část cizoměnové opční struktury, sérii měsíčních syntetických forwardů. Ekonomický vztah je definován jako očekávání, že hodnota zajišťovacího nástroje a hodnota zajišt</w:t>
      </w:r>
      <w:r w:rsidR="007F2D23">
        <w:rPr>
          <w:rFonts w:cs="Arial"/>
        </w:rPr>
        <w:t>ěné položky se bude ve vztahu k </w:t>
      </w:r>
      <w:r w:rsidRPr="00AC713D">
        <w:rPr>
          <w:rFonts w:cs="Arial"/>
        </w:rPr>
        <w:t xml:space="preserve">zajištěnému riziku pohybovat opačně. Tzn. v případě posilování Kč vůči EUR se bude zvyšovat hodnota zajišťovacího nástroje a zároveň se bude snižovat hodnota zajišťované položky, EURových tržeb vyjádřených v Kč. Skupina považuje zajišťovací vztah za efektivní vzhledem ke skutečnosti, že parametry zajišťovacího nástroje a zajištěné položky jsou identické (nominál, data splatnosti, stálost tržeb inkasovaných v EUR). Z tohoto důvodu byla celá část reálné hodnoty zajišťovacího derivátu (vnitřní i časová hodnota opční struktury) vykázána ve vlastním kapitálu, resp. přes ostatní úplný výsledek. </w:t>
      </w:r>
    </w:p>
    <w:p w14:paraId="187A136E" w14:textId="637DA9CC" w:rsidR="000C292F" w:rsidRPr="00AC713D" w:rsidRDefault="00C96343" w:rsidP="000C292F">
      <w:pPr>
        <w:rPr>
          <w:rFonts w:cs="Arial"/>
        </w:rPr>
      </w:pPr>
      <w:r w:rsidRPr="00AC713D">
        <w:rPr>
          <w:rFonts w:cs="Arial"/>
        </w:rPr>
        <w:t>Druhou část opční struktury, sérii měsíčních vypsaných opcí, Skupina vede mimo zajišťovací účetnictví a změnu v její reálné hodnotě účtuje ve výkazu zisků a ztrát</w:t>
      </w:r>
      <w:r w:rsidR="000C292F" w:rsidRPr="00AC713D">
        <w:rPr>
          <w:rFonts w:cs="Arial"/>
        </w:rPr>
        <w:t>.</w:t>
      </w:r>
    </w:p>
    <w:p w14:paraId="68154056" w14:textId="77777777" w:rsidR="00AD4BE9" w:rsidRPr="00AC713D" w:rsidRDefault="00AD4BE9" w:rsidP="00AD4BE9">
      <w:pPr>
        <w:rPr>
          <w:rFonts w:cs="Arial"/>
          <w:i/>
          <w:color w:val="000000"/>
        </w:rPr>
      </w:pPr>
      <w:r w:rsidRPr="00AC713D">
        <w:rPr>
          <w:rFonts w:cs="Arial"/>
          <w:i/>
          <w:color w:val="000000"/>
        </w:rPr>
        <w:t>Cizoměnová opční struktura III.</w:t>
      </w:r>
    </w:p>
    <w:p w14:paraId="147FA877" w14:textId="77777777" w:rsidR="00C96343" w:rsidRPr="00AC713D" w:rsidRDefault="00C96343" w:rsidP="00C96343">
      <w:pPr>
        <w:rPr>
          <w:rFonts w:cs="Arial"/>
        </w:rPr>
      </w:pPr>
      <w:r w:rsidRPr="00AC713D">
        <w:rPr>
          <w:rFonts w:cs="Arial"/>
        </w:rPr>
        <w:t>V březnu 2019 Skupina uzavřela cizoměnou opční strukturu. Cílem této cizoměnové opční struktury je zajištění měnového rizika spojeného s tržbami v EUR a jejich konverzí do Kč v přibližném objemu, který Skupina měsíčně vynakládá na výplatu mezd, po expiraci opční struktury II. z roku 2018. Cizoměnová opční struktura se skládá ze dvou samostatných transakcí, série syntetických forwardů a vypsaných (prodaných) opcí s měsíční expirací od srpna 2021 až do března 2022.</w:t>
      </w:r>
    </w:p>
    <w:p w14:paraId="006EA637" w14:textId="4589D768" w:rsidR="00C96343" w:rsidRPr="00AC713D" w:rsidRDefault="00C96343" w:rsidP="00C96343">
      <w:pPr>
        <w:rPr>
          <w:rFonts w:cs="Arial"/>
        </w:rPr>
      </w:pPr>
      <w:r w:rsidRPr="00AC713D">
        <w:rPr>
          <w:rFonts w:cs="Arial"/>
        </w:rPr>
        <w:t>Skupina vede zajišťovací účetnictví na část cizoměnové opční struktury, sérii měsíčních syntetických forwardů. Ekonomický vztah je definován jako očekávání, že hodnota zajišťovacího nástroje a hodnota zajišt</w:t>
      </w:r>
      <w:r w:rsidR="007F2D23">
        <w:rPr>
          <w:rFonts w:cs="Arial"/>
        </w:rPr>
        <w:t>ěné položky se bude ve vztahu k </w:t>
      </w:r>
      <w:r w:rsidRPr="00AC713D">
        <w:rPr>
          <w:rFonts w:cs="Arial"/>
        </w:rPr>
        <w:t xml:space="preserve">zajištěnému riziku pohybovat opačně. Tzn. v případě posilování Kč vůči EUR se bude zvyšovat hodnota zajišťovacího nástroje a zároveň se bude snižovat hodnota </w:t>
      </w:r>
      <w:r w:rsidRPr="00AC713D">
        <w:rPr>
          <w:rFonts w:cs="Arial"/>
        </w:rPr>
        <w:lastRenderedPageBreak/>
        <w:t xml:space="preserve">zajišťované položky, EURových tržeb vyjádřených v Kč. Skupina považuje zajišťovací vztah za efektivní vzhledem ke skutečnosti, že parametry zajišťovacího nástroje a zajištěné položky jsou identické (nominál, data splatnosti, stálost tržeb inkasovaných v EUR). Z tohoto důvodu byla celá část reálné hodnoty zajišťovacího derivátu (vnitřní i časová hodnota opční struktury) vykázána ve vlastním kapitálu, resp. přes ostatní úplný výsledek. </w:t>
      </w:r>
    </w:p>
    <w:p w14:paraId="2FEB3C4F" w14:textId="77777777" w:rsidR="00C96343" w:rsidRPr="00AC713D" w:rsidRDefault="00C96343" w:rsidP="00C96343">
      <w:pPr>
        <w:rPr>
          <w:rFonts w:cs="Arial"/>
        </w:rPr>
      </w:pPr>
      <w:r w:rsidRPr="00AC713D">
        <w:rPr>
          <w:rFonts w:cs="Arial"/>
        </w:rPr>
        <w:t>Druhou část opční struktury, sérii měsíčních vypsaných opcí, Skupina vede mimo zajišťovací účetnictví a změnu v její reálné hodnotě účtuje ve výkazu zisků a ztrát.</w:t>
      </w:r>
    </w:p>
    <w:p w14:paraId="1E481038" w14:textId="38C7DCA2" w:rsidR="00B05CBE" w:rsidRPr="00AC713D" w:rsidRDefault="000C292F" w:rsidP="000C292F">
      <w:pPr>
        <w:rPr>
          <w:rFonts w:cs="Arial"/>
        </w:rPr>
      </w:pPr>
      <w:r w:rsidRPr="00AC713D">
        <w:rPr>
          <w:rFonts w:cs="Arial"/>
        </w:rPr>
        <w:t>Reálná hodnota těchto cizoměnových opčních struktur k 30. červnu 20</w:t>
      </w:r>
      <w:r w:rsidR="00C96343" w:rsidRPr="00AC713D">
        <w:rPr>
          <w:rFonts w:cs="Arial"/>
        </w:rPr>
        <w:t>20</w:t>
      </w:r>
      <w:r w:rsidRPr="00AC713D">
        <w:rPr>
          <w:rFonts w:cs="Arial"/>
        </w:rPr>
        <w:t xml:space="preserve"> je uvedena v</w:t>
      </w:r>
      <w:r w:rsidR="00CE23ED" w:rsidRPr="00AC713D">
        <w:rPr>
          <w:rFonts w:cs="Arial"/>
        </w:rPr>
        <w:t> </w:t>
      </w:r>
      <w:r w:rsidRPr="00AC713D">
        <w:rPr>
          <w:rFonts w:cs="Arial"/>
        </w:rPr>
        <w:t xml:space="preserve">následující tabulce. Kladná hodnota představuje pohledávku </w:t>
      </w:r>
      <w:r w:rsidR="00AD4BE9" w:rsidRPr="00AC713D">
        <w:rPr>
          <w:rFonts w:cs="Arial"/>
        </w:rPr>
        <w:t>Skupiny</w:t>
      </w:r>
      <w:r w:rsidRPr="00AC713D">
        <w:rPr>
          <w:rFonts w:cs="Arial"/>
        </w:rPr>
        <w:t xml:space="preserve">, záporná hodnota závazek </w:t>
      </w:r>
      <w:r w:rsidR="00AD4BE9" w:rsidRPr="00AC713D">
        <w:rPr>
          <w:rFonts w:cs="Arial"/>
        </w:rPr>
        <w:t>Skupiny</w:t>
      </w:r>
      <w:r w:rsidRPr="00AC713D">
        <w:rPr>
          <w:rFonts w:cs="Arial"/>
        </w:rPr>
        <w:t>.</w:t>
      </w:r>
    </w:p>
    <w:tbl>
      <w:tblPr>
        <w:tblW w:w="5001" w:type="pct"/>
        <w:tblCellMar>
          <w:left w:w="70" w:type="dxa"/>
          <w:right w:w="70" w:type="dxa"/>
        </w:tblCellMar>
        <w:tblLook w:val="0000" w:firstRow="0" w:lastRow="0" w:firstColumn="0" w:lastColumn="0" w:noHBand="0" w:noVBand="0"/>
      </w:tblPr>
      <w:tblGrid>
        <w:gridCol w:w="5543"/>
        <w:gridCol w:w="1762"/>
        <w:gridCol w:w="1769"/>
      </w:tblGrid>
      <w:tr w:rsidR="00AD4BE9" w:rsidRPr="00AC713D" w14:paraId="3A0FDC83" w14:textId="77777777" w:rsidTr="00C96343">
        <w:trPr>
          <w:trHeight w:val="20"/>
        </w:trPr>
        <w:tc>
          <w:tcPr>
            <w:tcW w:w="3008" w:type="pct"/>
            <w:shd w:val="clear" w:color="auto" w:fill="2A7FC6"/>
            <w:noWrap/>
            <w:vAlign w:val="center"/>
          </w:tcPr>
          <w:p w14:paraId="4DA30318" w14:textId="77777777" w:rsidR="00AD4BE9" w:rsidRPr="00AC713D" w:rsidRDefault="00AD4BE9" w:rsidP="00E431E6">
            <w:pPr>
              <w:jc w:val="center"/>
              <w:rPr>
                <w:rFonts w:cs="Arial"/>
                <w:b/>
                <w:color w:val="FFFFFF" w:themeColor="background1"/>
                <w:sz w:val="20"/>
                <w:szCs w:val="20"/>
              </w:rPr>
            </w:pPr>
            <w:r w:rsidRPr="00AC713D">
              <w:rPr>
                <w:rFonts w:cs="Arial"/>
                <w:b/>
                <w:color w:val="FFFFFF" w:themeColor="background1"/>
                <w:sz w:val="20"/>
                <w:szCs w:val="20"/>
              </w:rPr>
              <w:t>Protistrana</w:t>
            </w:r>
          </w:p>
        </w:tc>
        <w:tc>
          <w:tcPr>
            <w:tcW w:w="994" w:type="pct"/>
            <w:shd w:val="clear" w:color="auto" w:fill="2A7FC6"/>
            <w:vAlign w:val="center"/>
          </w:tcPr>
          <w:p w14:paraId="6C410734" w14:textId="55C0958D" w:rsidR="00AD4BE9" w:rsidRPr="00AC713D" w:rsidRDefault="00AD4BE9" w:rsidP="00C96343">
            <w:pPr>
              <w:jc w:val="center"/>
              <w:rPr>
                <w:rFonts w:cs="Arial"/>
                <w:b/>
                <w:bCs/>
                <w:color w:val="FFFFFF" w:themeColor="background1"/>
                <w:sz w:val="20"/>
                <w:szCs w:val="20"/>
              </w:rPr>
            </w:pPr>
            <w:r w:rsidRPr="00AC713D">
              <w:rPr>
                <w:rFonts w:cs="Arial"/>
                <w:b/>
                <w:bCs/>
                <w:color w:val="FFFFFF" w:themeColor="background1"/>
                <w:sz w:val="20"/>
                <w:szCs w:val="20"/>
              </w:rPr>
              <w:t>k 30. červnu 201</w:t>
            </w:r>
            <w:r w:rsidR="00C96343" w:rsidRPr="00AC713D">
              <w:rPr>
                <w:rFonts w:cs="Arial"/>
                <w:b/>
                <w:bCs/>
                <w:color w:val="FFFFFF" w:themeColor="background1"/>
                <w:sz w:val="20"/>
                <w:szCs w:val="20"/>
              </w:rPr>
              <w:t>9</w:t>
            </w:r>
          </w:p>
        </w:tc>
        <w:tc>
          <w:tcPr>
            <w:tcW w:w="998" w:type="pct"/>
            <w:shd w:val="clear" w:color="auto" w:fill="2A7FC6"/>
            <w:vAlign w:val="center"/>
          </w:tcPr>
          <w:p w14:paraId="6BAF2AF5" w14:textId="17A306DF" w:rsidR="00AD4BE9" w:rsidRPr="00AC713D" w:rsidRDefault="00AD4BE9" w:rsidP="00C96343">
            <w:pPr>
              <w:jc w:val="center"/>
              <w:rPr>
                <w:rFonts w:cs="Arial"/>
                <w:b/>
                <w:bCs/>
                <w:color w:val="FFFFFF" w:themeColor="background1"/>
                <w:sz w:val="20"/>
                <w:szCs w:val="20"/>
              </w:rPr>
            </w:pPr>
            <w:r w:rsidRPr="00AC713D">
              <w:rPr>
                <w:rFonts w:cs="Arial"/>
                <w:b/>
                <w:bCs/>
                <w:color w:val="FFFFFF" w:themeColor="background1"/>
                <w:sz w:val="20"/>
                <w:szCs w:val="20"/>
              </w:rPr>
              <w:t>k 30. červnu 20</w:t>
            </w:r>
            <w:r w:rsidR="00C96343" w:rsidRPr="00AC713D">
              <w:rPr>
                <w:rFonts w:cs="Arial"/>
                <w:b/>
                <w:bCs/>
                <w:color w:val="FFFFFF" w:themeColor="background1"/>
                <w:sz w:val="20"/>
                <w:szCs w:val="20"/>
              </w:rPr>
              <w:t>20</w:t>
            </w:r>
          </w:p>
        </w:tc>
      </w:tr>
      <w:tr w:rsidR="00C96343" w:rsidRPr="00AC713D" w14:paraId="3AF15E18" w14:textId="77777777" w:rsidTr="00C96343">
        <w:trPr>
          <w:trHeight w:val="20"/>
        </w:trPr>
        <w:tc>
          <w:tcPr>
            <w:tcW w:w="3008" w:type="pct"/>
            <w:tcBorders>
              <w:bottom w:val="single" w:sz="4" w:space="0" w:color="9C9D9F"/>
            </w:tcBorders>
            <w:noWrap/>
            <w:vAlign w:val="bottom"/>
          </w:tcPr>
          <w:p w14:paraId="0D8B608A" w14:textId="224C6C6D" w:rsidR="00C96343" w:rsidRPr="00AC713D" w:rsidRDefault="00C96343" w:rsidP="00C96343">
            <w:pPr>
              <w:rPr>
                <w:rFonts w:cs="Arial"/>
                <w:sz w:val="20"/>
                <w:szCs w:val="20"/>
              </w:rPr>
            </w:pPr>
            <w:r w:rsidRPr="00AC713D">
              <w:rPr>
                <w:rFonts w:cs="Arial"/>
                <w:sz w:val="20"/>
                <w:szCs w:val="20"/>
              </w:rPr>
              <w:t>Cizoměnová opční struktura I. - série syntetických forwardů</w:t>
            </w:r>
          </w:p>
        </w:tc>
        <w:tc>
          <w:tcPr>
            <w:tcW w:w="994" w:type="pct"/>
            <w:tcBorders>
              <w:bottom w:val="single" w:sz="4" w:space="0" w:color="9C9D9F"/>
            </w:tcBorders>
            <w:vAlign w:val="bottom"/>
          </w:tcPr>
          <w:p w14:paraId="3DC0D918" w14:textId="64D23BAB" w:rsidR="00C96343" w:rsidRPr="00AC713D" w:rsidRDefault="00C96343" w:rsidP="00C96343">
            <w:pPr>
              <w:jc w:val="right"/>
              <w:rPr>
                <w:rFonts w:cs="Arial"/>
                <w:sz w:val="20"/>
                <w:szCs w:val="20"/>
              </w:rPr>
            </w:pPr>
            <w:r w:rsidRPr="00AC713D">
              <w:rPr>
                <w:rFonts w:cs="Arial"/>
                <w:sz w:val="20"/>
                <w:szCs w:val="20"/>
              </w:rPr>
              <w:t>1 346</w:t>
            </w:r>
          </w:p>
        </w:tc>
        <w:tc>
          <w:tcPr>
            <w:tcW w:w="998" w:type="pct"/>
            <w:tcBorders>
              <w:bottom w:val="single" w:sz="4" w:space="0" w:color="9C9D9F"/>
            </w:tcBorders>
            <w:shd w:val="clear" w:color="auto" w:fill="FFFFFF"/>
            <w:vAlign w:val="bottom"/>
          </w:tcPr>
          <w:p w14:paraId="1368EA4E" w14:textId="42664368" w:rsidR="00C96343" w:rsidRPr="00AC713D" w:rsidRDefault="007F2D23" w:rsidP="00C96343">
            <w:pPr>
              <w:jc w:val="right"/>
              <w:rPr>
                <w:rFonts w:cs="Arial"/>
                <w:sz w:val="20"/>
                <w:szCs w:val="20"/>
              </w:rPr>
            </w:pPr>
            <w:r>
              <w:rPr>
                <w:rFonts w:cs="Arial"/>
                <w:sz w:val="20"/>
                <w:szCs w:val="20"/>
              </w:rPr>
              <w:t>--</w:t>
            </w:r>
          </w:p>
        </w:tc>
      </w:tr>
      <w:tr w:rsidR="00C96343" w:rsidRPr="00AC713D" w14:paraId="56A87694" w14:textId="77777777" w:rsidTr="00C96343">
        <w:trPr>
          <w:trHeight w:val="20"/>
        </w:trPr>
        <w:tc>
          <w:tcPr>
            <w:tcW w:w="3008" w:type="pct"/>
            <w:tcBorders>
              <w:top w:val="single" w:sz="4" w:space="0" w:color="9C9D9F"/>
              <w:bottom w:val="single" w:sz="4" w:space="0" w:color="9C9D9F"/>
            </w:tcBorders>
            <w:noWrap/>
            <w:vAlign w:val="bottom"/>
          </w:tcPr>
          <w:p w14:paraId="58B39B8E" w14:textId="77777777" w:rsidR="00C96343" w:rsidRPr="00AC713D" w:rsidRDefault="00C96343" w:rsidP="00C96343">
            <w:pPr>
              <w:rPr>
                <w:rFonts w:cs="Arial"/>
                <w:b/>
                <w:bCs/>
                <w:sz w:val="20"/>
                <w:szCs w:val="20"/>
              </w:rPr>
            </w:pPr>
            <w:r w:rsidRPr="00AC713D">
              <w:rPr>
                <w:rFonts w:cs="Arial"/>
                <w:sz w:val="20"/>
                <w:szCs w:val="20"/>
              </w:rPr>
              <w:t>Cizoměnová opční struktura I. - série bariérových opcí</w:t>
            </w:r>
          </w:p>
        </w:tc>
        <w:tc>
          <w:tcPr>
            <w:tcW w:w="994" w:type="pct"/>
            <w:tcBorders>
              <w:top w:val="single" w:sz="4" w:space="0" w:color="9C9D9F"/>
              <w:bottom w:val="single" w:sz="4" w:space="0" w:color="9C9D9F"/>
            </w:tcBorders>
            <w:vAlign w:val="bottom"/>
          </w:tcPr>
          <w:p w14:paraId="222047B9" w14:textId="14B4F508" w:rsidR="00C96343" w:rsidRPr="00AC713D" w:rsidRDefault="00C96343" w:rsidP="00C96343">
            <w:pPr>
              <w:jc w:val="right"/>
              <w:rPr>
                <w:rFonts w:cs="Arial"/>
                <w:sz w:val="20"/>
                <w:szCs w:val="20"/>
              </w:rPr>
            </w:pPr>
            <w:r w:rsidRPr="00AC713D">
              <w:rPr>
                <w:rFonts w:cs="Arial"/>
                <w:sz w:val="20"/>
                <w:szCs w:val="20"/>
              </w:rPr>
              <w:t>0</w:t>
            </w:r>
          </w:p>
        </w:tc>
        <w:tc>
          <w:tcPr>
            <w:tcW w:w="998" w:type="pct"/>
            <w:tcBorders>
              <w:top w:val="single" w:sz="4" w:space="0" w:color="9C9D9F"/>
              <w:bottom w:val="single" w:sz="4" w:space="0" w:color="9C9D9F"/>
            </w:tcBorders>
            <w:shd w:val="clear" w:color="auto" w:fill="FFFFFF"/>
            <w:vAlign w:val="bottom"/>
          </w:tcPr>
          <w:p w14:paraId="6B2A73C7" w14:textId="2F3B7F29" w:rsidR="00C96343" w:rsidRPr="00AC713D" w:rsidDel="004B0397" w:rsidRDefault="007F2D23" w:rsidP="00C96343">
            <w:pPr>
              <w:jc w:val="right"/>
              <w:rPr>
                <w:rFonts w:cs="Arial"/>
                <w:sz w:val="20"/>
                <w:szCs w:val="20"/>
              </w:rPr>
            </w:pPr>
            <w:r>
              <w:rPr>
                <w:rFonts w:cs="Arial"/>
                <w:sz w:val="20"/>
                <w:szCs w:val="20"/>
              </w:rPr>
              <w:t>--</w:t>
            </w:r>
          </w:p>
        </w:tc>
      </w:tr>
      <w:tr w:rsidR="00C96343" w:rsidRPr="00AC713D" w14:paraId="7F9FFEA1" w14:textId="77777777" w:rsidTr="00C96343">
        <w:trPr>
          <w:trHeight w:val="20"/>
        </w:trPr>
        <w:tc>
          <w:tcPr>
            <w:tcW w:w="3008" w:type="pct"/>
            <w:tcBorders>
              <w:top w:val="single" w:sz="4" w:space="0" w:color="9C9D9F"/>
              <w:bottom w:val="single" w:sz="4" w:space="0" w:color="9C9D9F"/>
            </w:tcBorders>
            <w:noWrap/>
            <w:vAlign w:val="bottom"/>
          </w:tcPr>
          <w:p w14:paraId="17D9EB27" w14:textId="77777777" w:rsidR="00C96343" w:rsidRPr="00AC713D" w:rsidRDefault="00C96343" w:rsidP="00C96343">
            <w:pPr>
              <w:rPr>
                <w:rFonts w:cs="Arial"/>
                <w:bCs/>
                <w:sz w:val="20"/>
                <w:szCs w:val="20"/>
              </w:rPr>
            </w:pPr>
            <w:r w:rsidRPr="00AC713D">
              <w:rPr>
                <w:rFonts w:cs="Arial"/>
                <w:bCs/>
                <w:sz w:val="20"/>
                <w:szCs w:val="20"/>
              </w:rPr>
              <w:t>Cizoměnová opční struktura II. – série syntetických forwardů</w:t>
            </w:r>
          </w:p>
        </w:tc>
        <w:tc>
          <w:tcPr>
            <w:tcW w:w="994" w:type="pct"/>
            <w:tcBorders>
              <w:top w:val="single" w:sz="4" w:space="0" w:color="9C9D9F"/>
              <w:bottom w:val="single" w:sz="4" w:space="0" w:color="9C9D9F"/>
            </w:tcBorders>
            <w:vAlign w:val="bottom"/>
          </w:tcPr>
          <w:p w14:paraId="1289DBC6" w14:textId="23C03D9B" w:rsidR="00C96343" w:rsidRPr="00AC713D" w:rsidRDefault="00C96343" w:rsidP="00C96343">
            <w:pPr>
              <w:jc w:val="right"/>
              <w:rPr>
                <w:rFonts w:cs="Arial"/>
                <w:sz w:val="20"/>
                <w:szCs w:val="20"/>
              </w:rPr>
            </w:pPr>
            <w:r w:rsidRPr="00AC713D">
              <w:rPr>
                <w:rFonts w:cs="Arial"/>
                <w:sz w:val="20"/>
                <w:szCs w:val="20"/>
              </w:rPr>
              <w:t>4 453</w:t>
            </w:r>
          </w:p>
        </w:tc>
        <w:tc>
          <w:tcPr>
            <w:tcW w:w="998" w:type="pct"/>
            <w:tcBorders>
              <w:top w:val="single" w:sz="4" w:space="0" w:color="9C9D9F"/>
              <w:bottom w:val="single" w:sz="4" w:space="0" w:color="9C9D9F"/>
            </w:tcBorders>
            <w:shd w:val="clear" w:color="auto" w:fill="FFFFFF"/>
            <w:vAlign w:val="bottom"/>
          </w:tcPr>
          <w:p w14:paraId="246CDE7C" w14:textId="04D00953" w:rsidR="00C96343" w:rsidRPr="00AC713D" w:rsidRDefault="00C96343" w:rsidP="00C96343">
            <w:pPr>
              <w:jc w:val="right"/>
              <w:rPr>
                <w:rFonts w:cs="Arial"/>
                <w:sz w:val="20"/>
                <w:szCs w:val="20"/>
              </w:rPr>
            </w:pPr>
            <w:r w:rsidRPr="00AC713D">
              <w:rPr>
                <w:rFonts w:cs="Arial"/>
                <w:sz w:val="20"/>
                <w:szCs w:val="20"/>
              </w:rPr>
              <w:t>-9 790</w:t>
            </w:r>
          </w:p>
        </w:tc>
      </w:tr>
      <w:tr w:rsidR="00C96343" w:rsidRPr="00AC713D" w14:paraId="4DF93E52" w14:textId="77777777" w:rsidTr="00C96343">
        <w:trPr>
          <w:trHeight w:val="20"/>
        </w:trPr>
        <w:tc>
          <w:tcPr>
            <w:tcW w:w="3008" w:type="pct"/>
            <w:tcBorders>
              <w:top w:val="single" w:sz="4" w:space="0" w:color="9C9D9F"/>
              <w:bottom w:val="single" w:sz="4" w:space="0" w:color="9C9D9F"/>
            </w:tcBorders>
            <w:noWrap/>
            <w:vAlign w:val="bottom"/>
          </w:tcPr>
          <w:p w14:paraId="37F8608C" w14:textId="77777777" w:rsidR="00C96343" w:rsidRPr="00AC713D" w:rsidRDefault="00C96343" w:rsidP="00C96343">
            <w:pPr>
              <w:rPr>
                <w:rFonts w:cs="Arial"/>
                <w:bCs/>
                <w:sz w:val="20"/>
                <w:szCs w:val="20"/>
              </w:rPr>
            </w:pPr>
            <w:r w:rsidRPr="00AC713D">
              <w:rPr>
                <w:rFonts w:cs="Arial"/>
                <w:bCs/>
                <w:sz w:val="20"/>
                <w:szCs w:val="20"/>
              </w:rPr>
              <w:t>Cizoměnová opční struktura II. – série vypsaných opcí</w:t>
            </w:r>
          </w:p>
        </w:tc>
        <w:tc>
          <w:tcPr>
            <w:tcW w:w="994" w:type="pct"/>
            <w:tcBorders>
              <w:top w:val="single" w:sz="4" w:space="0" w:color="9C9D9F"/>
              <w:bottom w:val="single" w:sz="4" w:space="0" w:color="9C9D9F"/>
            </w:tcBorders>
            <w:vAlign w:val="bottom"/>
          </w:tcPr>
          <w:p w14:paraId="7F2D6A70" w14:textId="50925558" w:rsidR="00C96343" w:rsidRPr="00AC713D" w:rsidRDefault="00C96343" w:rsidP="00C96343">
            <w:pPr>
              <w:jc w:val="right"/>
              <w:rPr>
                <w:rFonts w:cs="Arial"/>
                <w:sz w:val="20"/>
                <w:szCs w:val="20"/>
              </w:rPr>
            </w:pPr>
            <w:r w:rsidRPr="00AC713D">
              <w:rPr>
                <w:rFonts w:cs="Arial"/>
                <w:sz w:val="20"/>
                <w:szCs w:val="20"/>
              </w:rPr>
              <w:t>-2 573</w:t>
            </w:r>
          </w:p>
        </w:tc>
        <w:tc>
          <w:tcPr>
            <w:tcW w:w="998" w:type="pct"/>
            <w:tcBorders>
              <w:top w:val="single" w:sz="4" w:space="0" w:color="9C9D9F"/>
              <w:bottom w:val="single" w:sz="4" w:space="0" w:color="9C9D9F"/>
            </w:tcBorders>
            <w:shd w:val="clear" w:color="auto" w:fill="FFFFFF"/>
            <w:vAlign w:val="bottom"/>
          </w:tcPr>
          <w:p w14:paraId="6C31CFAE" w14:textId="69DEF3FC" w:rsidR="00C96343" w:rsidRPr="00AC713D" w:rsidRDefault="00C96343" w:rsidP="00C96343">
            <w:pPr>
              <w:jc w:val="right"/>
              <w:rPr>
                <w:rFonts w:cs="Arial"/>
                <w:sz w:val="20"/>
                <w:szCs w:val="20"/>
              </w:rPr>
            </w:pPr>
            <w:r w:rsidRPr="00AC713D">
              <w:rPr>
                <w:rFonts w:cs="Arial"/>
                <w:sz w:val="20"/>
                <w:szCs w:val="20"/>
              </w:rPr>
              <w:t>-3 295</w:t>
            </w:r>
          </w:p>
        </w:tc>
      </w:tr>
      <w:tr w:rsidR="00C96343" w:rsidRPr="00AC713D" w14:paraId="1A8A950E" w14:textId="77777777" w:rsidTr="00C96343">
        <w:trPr>
          <w:trHeight w:val="20"/>
        </w:trPr>
        <w:tc>
          <w:tcPr>
            <w:tcW w:w="3008" w:type="pct"/>
            <w:tcBorders>
              <w:top w:val="single" w:sz="4" w:space="0" w:color="9C9D9F"/>
              <w:bottom w:val="single" w:sz="4" w:space="0" w:color="9C9D9F"/>
            </w:tcBorders>
            <w:noWrap/>
            <w:vAlign w:val="bottom"/>
          </w:tcPr>
          <w:p w14:paraId="31F677C6" w14:textId="2A03A1F3" w:rsidR="00C96343" w:rsidRPr="00AC713D" w:rsidRDefault="00C96343" w:rsidP="00C96343">
            <w:pPr>
              <w:rPr>
                <w:rFonts w:cs="Arial"/>
                <w:bCs/>
                <w:sz w:val="20"/>
                <w:szCs w:val="20"/>
              </w:rPr>
            </w:pPr>
            <w:r w:rsidRPr="00AC713D">
              <w:rPr>
                <w:rFonts w:cs="Arial"/>
                <w:bCs/>
                <w:sz w:val="20"/>
                <w:szCs w:val="20"/>
              </w:rPr>
              <w:t>Cizoměnová opční struktura III. – série syntetických forwardů</w:t>
            </w:r>
          </w:p>
        </w:tc>
        <w:tc>
          <w:tcPr>
            <w:tcW w:w="994" w:type="pct"/>
            <w:tcBorders>
              <w:top w:val="single" w:sz="4" w:space="0" w:color="9C9D9F"/>
              <w:bottom w:val="single" w:sz="4" w:space="0" w:color="9C9D9F"/>
            </w:tcBorders>
            <w:vAlign w:val="bottom"/>
          </w:tcPr>
          <w:p w14:paraId="59BD3170" w14:textId="073B1D46" w:rsidR="00C96343" w:rsidRPr="00AC713D" w:rsidRDefault="00C96343" w:rsidP="00C96343">
            <w:pPr>
              <w:jc w:val="right"/>
              <w:rPr>
                <w:rFonts w:cs="Arial"/>
                <w:sz w:val="20"/>
                <w:szCs w:val="20"/>
              </w:rPr>
            </w:pPr>
            <w:r w:rsidRPr="00AC713D">
              <w:rPr>
                <w:rFonts w:cs="Arial"/>
                <w:sz w:val="20"/>
                <w:szCs w:val="20"/>
              </w:rPr>
              <w:t>2 255</w:t>
            </w:r>
          </w:p>
        </w:tc>
        <w:tc>
          <w:tcPr>
            <w:tcW w:w="998" w:type="pct"/>
            <w:tcBorders>
              <w:top w:val="single" w:sz="4" w:space="0" w:color="9C9D9F"/>
              <w:bottom w:val="single" w:sz="4" w:space="0" w:color="9C9D9F"/>
            </w:tcBorders>
            <w:shd w:val="clear" w:color="auto" w:fill="FFFFFF"/>
            <w:vAlign w:val="bottom"/>
          </w:tcPr>
          <w:p w14:paraId="4315131A" w14:textId="146D7508" w:rsidR="00C96343" w:rsidRPr="00AC713D" w:rsidRDefault="00C96343" w:rsidP="00C96343">
            <w:pPr>
              <w:jc w:val="right"/>
              <w:rPr>
                <w:rFonts w:cs="Arial"/>
                <w:sz w:val="20"/>
                <w:szCs w:val="20"/>
              </w:rPr>
            </w:pPr>
            <w:r w:rsidRPr="00AC713D">
              <w:rPr>
                <w:rFonts w:cs="Arial"/>
                <w:sz w:val="20"/>
                <w:szCs w:val="20"/>
              </w:rPr>
              <w:t>-91</w:t>
            </w:r>
          </w:p>
        </w:tc>
      </w:tr>
      <w:tr w:rsidR="00C96343" w:rsidRPr="00AC713D" w14:paraId="360AFC15" w14:textId="77777777" w:rsidTr="00C96343">
        <w:trPr>
          <w:trHeight w:val="20"/>
        </w:trPr>
        <w:tc>
          <w:tcPr>
            <w:tcW w:w="3008" w:type="pct"/>
            <w:tcBorders>
              <w:top w:val="single" w:sz="4" w:space="0" w:color="9C9D9F"/>
              <w:bottom w:val="single" w:sz="4" w:space="0" w:color="9C9D9F"/>
            </w:tcBorders>
            <w:noWrap/>
            <w:vAlign w:val="bottom"/>
          </w:tcPr>
          <w:p w14:paraId="658BF06D" w14:textId="68689F66" w:rsidR="00C96343" w:rsidRPr="00AC713D" w:rsidRDefault="00C96343" w:rsidP="00C96343">
            <w:pPr>
              <w:rPr>
                <w:rFonts w:cs="Arial"/>
                <w:bCs/>
                <w:sz w:val="20"/>
                <w:szCs w:val="20"/>
              </w:rPr>
            </w:pPr>
            <w:r w:rsidRPr="00AC713D">
              <w:rPr>
                <w:rFonts w:cs="Arial"/>
                <w:bCs/>
                <w:sz w:val="20"/>
                <w:szCs w:val="20"/>
              </w:rPr>
              <w:t>Cizoměnová opční struktura III. – série vypsaných opcí</w:t>
            </w:r>
          </w:p>
        </w:tc>
        <w:tc>
          <w:tcPr>
            <w:tcW w:w="994" w:type="pct"/>
            <w:tcBorders>
              <w:top w:val="single" w:sz="4" w:space="0" w:color="9C9D9F"/>
              <w:bottom w:val="single" w:sz="4" w:space="0" w:color="9C9D9F"/>
            </w:tcBorders>
            <w:vAlign w:val="bottom"/>
          </w:tcPr>
          <w:p w14:paraId="0D757689" w14:textId="567DE2BF" w:rsidR="00C96343" w:rsidRPr="00AC713D" w:rsidRDefault="00C96343" w:rsidP="00C96343">
            <w:pPr>
              <w:jc w:val="right"/>
              <w:rPr>
                <w:rFonts w:cs="Arial"/>
                <w:sz w:val="20"/>
                <w:szCs w:val="20"/>
              </w:rPr>
            </w:pPr>
            <w:r w:rsidRPr="00AC713D">
              <w:rPr>
                <w:rFonts w:cs="Arial"/>
                <w:sz w:val="20"/>
                <w:szCs w:val="20"/>
              </w:rPr>
              <w:t>-1 179</w:t>
            </w:r>
          </w:p>
        </w:tc>
        <w:tc>
          <w:tcPr>
            <w:tcW w:w="998" w:type="pct"/>
            <w:tcBorders>
              <w:top w:val="single" w:sz="4" w:space="0" w:color="9C9D9F"/>
              <w:bottom w:val="single" w:sz="4" w:space="0" w:color="9C9D9F"/>
            </w:tcBorders>
            <w:shd w:val="clear" w:color="auto" w:fill="FFFFFF"/>
            <w:vAlign w:val="bottom"/>
          </w:tcPr>
          <w:p w14:paraId="65C0F1D9" w14:textId="1D04BEE9" w:rsidR="00C96343" w:rsidRPr="00AC713D" w:rsidRDefault="00C96343" w:rsidP="00C96343">
            <w:pPr>
              <w:jc w:val="right"/>
              <w:rPr>
                <w:rFonts w:cs="Arial"/>
                <w:sz w:val="20"/>
                <w:szCs w:val="20"/>
              </w:rPr>
            </w:pPr>
            <w:r w:rsidRPr="00AC713D">
              <w:rPr>
                <w:rFonts w:cs="Arial"/>
                <w:sz w:val="20"/>
                <w:szCs w:val="20"/>
              </w:rPr>
              <w:t>-1 648</w:t>
            </w:r>
          </w:p>
        </w:tc>
      </w:tr>
      <w:tr w:rsidR="00C96343" w:rsidRPr="00AC713D" w14:paraId="3DE2A554" w14:textId="77777777" w:rsidTr="00C96343">
        <w:trPr>
          <w:trHeight w:val="20"/>
        </w:trPr>
        <w:tc>
          <w:tcPr>
            <w:tcW w:w="3008" w:type="pct"/>
            <w:tcBorders>
              <w:top w:val="single" w:sz="4" w:space="0" w:color="9C9D9F"/>
              <w:bottom w:val="single" w:sz="4" w:space="0" w:color="9C9D9F"/>
            </w:tcBorders>
            <w:noWrap/>
            <w:vAlign w:val="bottom"/>
          </w:tcPr>
          <w:p w14:paraId="6DD8B038" w14:textId="77777777" w:rsidR="00C96343" w:rsidRPr="00AC713D" w:rsidRDefault="00C96343" w:rsidP="00C96343">
            <w:pPr>
              <w:rPr>
                <w:rFonts w:cs="Arial"/>
                <w:b/>
                <w:bCs/>
                <w:sz w:val="20"/>
                <w:szCs w:val="20"/>
              </w:rPr>
            </w:pPr>
            <w:r w:rsidRPr="00AC713D">
              <w:rPr>
                <w:rFonts w:cs="Arial"/>
                <w:b/>
                <w:bCs/>
                <w:sz w:val="20"/>
                <w:szCs w:val="20"/>
              </w:rPr>
              <w:t>Celkem</w:t>
            </w:r>
          </w:p>
        </w:tc>
        <w:tc>
          <w:tcPr>
            <w:tcW w:w="994" w:type="pct"/>
            <w:tcBorders>
              <w:top w:val="single" w:sz="4" w:space="0" w:color="9C9D9F"/>
              <w:bottom w:val="single" w:sz="4" w:space="0" w:color="9C9D9F"/>
            </w:tcBorders>
            <w:vAlign w:val="bottom"/>
          </w:tcPr>
          <w:p w14:paraId="3A561FA2" w14:textId="1C228ED4" w:rsidR="00C96343" w:rsidRPr="00AC713D" w:rsidRDefault="00C96343" w:rsidP="00C96343">
            <w:pPr>
              <w:jc w:val="right"/>
              <w:rPr>
                <w:rFonts w:cs="Arial"/>
                <w:b/>
                <w:sz w:val="20"/>
                <w:szCs w:val="20"/>
              </w:rPr>
            </w:pPr>
            <w:r w:rsidRPr="00AC713D">
              <w:rPr>
                <w:rFonts w:cs="Arial"/>
                <w:b/>
                <w:sz w:val="20"/>
                <w:szCs w:val="20"/>
              </w:rPr>
              <w:t>4 302</w:t>
            </w:r>
          </w:p>
        </w:tc>
        <w:tc>
          <w:tcPr>
            <w:tcW w:w="998" w:type="pct"/>
            <w:tcBorders>
              <w:top w:val="single" w:sz="4" w:space="0" w:color="9C9D9F"/>
              <w:bottom w:val="single" w:sz="4" w:space="0" w:color="9C9D9F"/>
            </w:tcBorders>
            <w:shd w:val="clear" w:color="auto" w:fill="FFFFFF"/>
            <w:vAlign w:val="bottom"/>
          </w:tcPr>
          <w:p w14:paraId="2680FFD0" w14:textId="2D60DB68" w:rsidR="00C96343" w:rsidRPr="00AC713D" w:rsidRDefault="00C96343" w:rsidP="00C96343">
            <w:pPr>
              <w:jc w:val="right"/>
              <w:rPr>
                <w:rFonts w:cs="Arial"/>
                <w:b/>
                <w:sz w:val="20"/>
                <w:szCs w:val="20"/>
              </w:rPr>
            </w:pPr>
            <w:r w:rsidRPr="00AC713D">
              <w:rPr>
                <w:rFonts w:cs="Arial"/>
                <w:b/>
                <w:sz w:val="20"/>
                <w:szCs w:val="20"/>
              </w:rPr>
              <w:t>-14 824</w:t>
            </w:r>
          </w:p>
        </w:tc>
      </w:tr>
    </w:tbl>
    <w:p w14:paraId="3AED6E65" w14:textId="77777777" w:rsidR="000C292F" w:rsidRPr="00AC713D" w:rsidRDefault="000C292F" w:rsidP="000C292F">
      <w:pPr>
        <w:spacing w:before="0" w:beforeAutospacing="0" w:after="0" w:afterAutospacing="0"/>
        <w:rPr>
          <w:rFonts w:cs="Arial"/>
          <w:color w:val="000000"/>
          <w:sz w:val="20"/>
          <w:szCs w:val="20"/>
        </w:rPr>
      </w:pPr>
      <w:r w:rsidRPr="00AC713D">
        <w:rPr>
          <w:rFonts w:cs="Arial"/>
          <w:color w:val="000000"/>
          <w:sz w:val="20"/>
          <w:szCs w:val="20"/>
        </w:rPr>
        <w:t>v tis. Kč</w:t>
      </w:r>
    </w:p>
    <w:p w14:paraId="0F478A9D" w14:textId="70F94C3B" w:rsidR="004150DD" w:rsidRPr="00AC713D" w:rsidRDefault="004150DD" w:rsidP="004150DD">
      <w:pPr>
        <w:rPr>
          <w:rFonts w:cs="Arial"/>
          <w:i/>
        </w:rPr>
      </w:pPr>
      <w:r w:rsidRPr="00AC713D">
        <w:rPr>
          <w:rFonts w:cs="Arial"/>
          <w:i/>
        </w:rPr>
        <w:t>Senzitivita reálné hodnoty cizoměnové opční struktury II.</w:t>
      </w:r>
    </w:p>
    <w:p w14:paraId="469D5731" w14:textId="7E2157FB" w:rsidR="004150DD" w:rsidRPr="00AC713D" w:rsidRDefault="004150DD" w:rsidP="004150DD">
      <w:pPr>
        <w:rPr>
          <w:rFonts w:cs="Arial"/>
        </w:rPr>
      </w:pPr>
      <w:r w:rsidRPr="00AC713D">
        <w:rPr>
          <w:rFonts w:cs="Arial"/>
        </w:rPr>
        <w:t>Posílení</w:t>
      </w:r>
      <w:r w:rsidR="006476F6" w:rsidRPr="00AC713D">
        <w:rPr>
          <w:rFonts w:cs="Arial"/>
        </w:rPr>
        <w:t>, resp. oslabení</w:t>
      </w:r>
      <w:r w:rsidRPr="00AC713D">
        <w:rPr>
          <w:rFonts w:cs="Arial"/>
        </w:rPr>
        <w:t xml:space="preserve"> kurzu Kč vůči EUR o 5 % by zvýšilo</w:t>
      </w:r>
      <w:r w:rsidR="006476F6" w:rsidRPr="00AC713D">
        <w:rPr>
          <w:rFonts w:cs="Arial"/>
        </w:rPr>
        <w:t>, resp. snížilo</w:t>
      </w:r>
      <w:r w:rsidRPr="00AC713D">
        <w:rPr>
          <w:rFonts w:cs="Arial"/>
        </w:rPr>
        <w:t xml:space="preserve"> reálnou hodnotu cizoměnov</w:t>
      </w:r>
      <w:r w:rsidR="006476F6" w:rsidRPr="00AC713D">
        <w:rPr>
          <w:rFonts w:cs="Arial"/>
        </w:rPr>
        <w:t>é</w:t>
      </w:r>
      <w:r w:rsidRPr="00AC713D">
        <w:rPr>
          <w:rFonts w:cs="Arial"/>
        </w:rPr>
        <w:t xml:space="preserve"> opční struktur</w:t>
      </w:r>
      <w:r w:rsidR="006476F6" w:rsidRPr="00AC713D">
        <w:rPr>
          <w:rFonts w:cs="Arial"/>
        </w:rPr>
        <w:t>y</w:t>
      </w:r>
      <w:r w:rsidRPr="00AC713D">
        <w:rPr>
          <w:rFonts w:cs="Arial"/>
        </w:rPr>
        <w:t xml:space="preserve"> k 30. červnu </w:t>
      </w:r>
      <w:r w:rsidR="00C96343" w:rsidRPr="00AC713D">
        <w:rPr>
          <w:rFonts w:cs="Arial"/>
        </w:rPr>
        <w:t xml:space="preserve">2020 </w:t>
      </w:r>
      <w:r w:rsidRPr="00AC713D">
        <w:rPr>
          <w:rFonts w:cs="Arial"/>
        </w:rPr>
        <w:t xml:space="preserve">o zhruba </w:t>
      </w:r>
      <w:r w:rsidR="00C96343" w:rsidRPr="00AC713D">
        <w:rPr>
          <w:rFonts w:cs="Arial"/>
        </w:rPr>
        <w:t>20,9</w:t>
      </w:r>
      <w:r w:rsidRPr="00AC713D">
        <w:rPr>
          <w:rFonts w:cs="Arial"/>
        </w:rPr>
        <w:t xml:space="preserve"> mil. Kč.</w:t>
      </w:r>
    </w:p>
    <w:p w14:paraId="3C70698B" w14:textId="3EE5DC6F" w:rsidR="005450AB" w:rsidRPr="00AC713D" w:rsidRDefault="005450AB" w:rsidP="005450AB">
      <w:pPr>
        <w:rPr>
          <w:rFonts w:cs="Arial"/>
          <w:i/>
        </w:rPr>
      </w:pPr>
      <w:r w:rsidRPr="00AC713D">
        <w:rPr>
          <w:rFonts w:cs="Arial"/>
          <w:i/>
        </w:rPr>
        <w:t>Senzitivita reálné hodnoty cizoměnové opční struktury III.</w:t>
      </w:r>
    </w:p>
    <w:p w14:paraId="3F8DD309" w14:textId="0E1E00C0" w:rsidR="005450AB" w:rsidRPr="00AC713D" w:rsidRDefault="005450AB" w:rsidP="005450AB">
      <w:pPr>
        <w:rPr>
          <w:rFonts w:cs="Arial"/>
        </w:rPr>
      </w:pPr>
      <w:r w:rsidRPr="00AC713D">
        <w:rPr>
          <w:rFonts w:cs="Arial"/>
        </w:rPr>
        <w:t xml:space="preserve">Posílení, resp. oslabení kurzu Kč vůči EUR o 5 % by zvýšilo, resp. snížilo reálnou hodnotu cizoměnové opční struktury k 30. červnu </w:t>
      </w:r>
      <w:r w:rsidR="00C96343" w:rsidRPr="00AC713D">
        <w:rPr>
          <w:rFonts w:cs="Arial"/>
        </w:rPr>
        <w:t xml:space="preserve">2020 </w:t>
      </w:r>
      <w:r w:rsidRPr="00AC713D">
        <w:rPr>
          <w:rFonts w:cs="Arial"/>
        </w:rPr>
        <w:t xml:space="preserve">o zhruba </w:t>
      </w:r>
      <w:r w:rsidR="00C96343" w:rsidRPr="00AC713D">
        <w:rPr>
          <w:rFonts w:cs="Arial"/>
        </w:rPr>
        <w:t>14,7</w:t>
      </w:r>
      <w:r w:rsidRPr="00AC713D">
        <w:rPr>
          <w:rFonts w:cs="Arial"/>
        </w:rPr>
        <w:t xml:space="preserve"> mil. Kč.</w:t>
      </w:r>
    </w:p>
    <w:p w14:paraId="3AF963F9" w14:textId="77777777" w:rsidR="000C292F" w:rsidRPr="00AC713D" w:rsidRDefault="000C292F" w:rsidP="000C292F">
      <w:pPr>
        <w:pStyle w:val="Nadpis4"/>
        <w:rPr>
          <w:rFonts w:cs="Arial"/>
        </w:rPr>
      </w:pPr>
      <w:r w:rsidRPr="00AC713D">
        <w:rPr>
          <w:rFonts w:cs="Arial"/>
        </w:rPr>
        <w:t>Zisk na akcii</w:t>
      </w:r>
    </w:p>
    <w:p w14:paraId="15E42577" w14:textId="5AA32CDF" w:rsidR="00BE1408" w:rsidRPr="00AC713D" w:rsidRDefault="00BE1408" w:rsidP="00BE1408">
      <w:pPr>
        <w:spacing w:before="120"/>
        <w:rPr>
          <w:rFonts w:cs="Arial"/>
        </w:rPr>
      </w:pPr>
      <w:r w:rsidRPr="00AC713D">
        <w:rPr>
          <w:rFonts w:cs="Arial"/>
        </w:rPr>
        <w:t>Výpočet základního ukazatele zisku na akcii k 30. červnu 2020 vychází z čistého zisku připadajícího na kmenové akcionáře a váženého průměru počtu kmenových akcií v prvním pololetí 2020.</w:t>
      </w:r>
    </w:p>
    <w:p w14:paraId="359BC77E" w14:textId="022990BA" w:rsidR="000C292F" w:rsidRPr="00AC713D" w:rsidRDefault="00BE1408" w:rsidP="000C292F">
      <w:pPr>
        <w:rPr>
          <w:rFonts w:cs="Arial"/>
        </w:rPr>
      </w:pPr>
      <w:r w:rsidRPr="00AC713D">
        <w:rPr>
          <w:rFonts w:cs="Arial"/>
        </w:rPr>
        <w:t>Plně zředěný zisk na akcii k 30. červnu 2020 a 30. červnu 2019 je shodný se</w:t>
      </w:r>
      <w:r w:rsidR="00603330">
        <w:rPr>
          <w:rFonts w:cs="Arial"/>
        </w:rPr>
        <w:t> </w:t>
      </w:r>
      <w:r w:rsidRPr="00AC713D">
        <w:rPr>
          <w:rFonts w:cs="Arial"/>
        </w:rPr>
        <w:t>základním ukazatelem zisku na akcii, jelikož Společnost nemá vydané žádné instrumenty, kter</w:t>
      </w:r>
      <w:r w:rsidR="00AC713D">
        <w:rPr>
          <w:rFonts w:cs="Arial"/>
        </w:rPr>
        <w:t>é</w:t>
      </w:r>
      <w:r w:rsidRPr="00AC713D">
        <w:rPr>
          <w:rFonts w:cs="Arial"/>
        </w:rPr>
        <w:t xml:space="preserve"> by měli na zisk potenciálně ředicí efekt.</w:t>
      </w:r>
    </w:p>
    <w:p w14:paraId="3440F77A" w14:textId="592E413A" w:rsidR="000C292F" w:rsidRPr="00AC713D" w:rsidRDefault="000C292F" w:rsidP="000C292F">
      <w:pPr>
        <w:rPr>
          <w:rFonts w:cs="Arial"/>
        </w:rPr>
      </w:pPr>
      <w:r w:rsidRPr="00AC713D">
        <w:rPr>
          <w:rFonts w:cs="Arial"/>
        </w:rPr>
        <w:t xml:space="preserve">V prvních šesti měsících roku </w:t>
      </w:r>
      <w:r w:rsidR="00BE1408" w:rsidRPr="00AC713D">
        <w:rPr>
          <w:rFonts w:cs="Arial"/>
        </w:rPr>
        <w:t xml:space="preserve">2020 </w:t>
      </w:r>
      <w:r w:rsidRPr="00AC713D">
        <w:rPr>
          <w:rFonts w:cs="Arial"/>
        </w:rPr>
        <w:t>nedošlo ke změně v počtu akcií vydaných Společností.</w:t>
      </w:r>
    </w:p>
    <w:p w14:paraId="082844FF" w14:textId="77777777" w:rsidR="00603330" w:rsidRDefault="00603330">
      <w:pPr>
        <w:spacing w:before="0" w:beforeAutospacing="0" w:after="160" w:afterAutospacing="0" w:line="259" w:lineRule="auto"/>
        <w:jc w:val="left"/>
        <w:rPr>
          <w:rFonts w:cs="Arial"/>
          <w:b/>
        </w:rPr>
      </w:pPr>
      <w:r>
        <w:rPr>
          <w:rFonts w:cs="Arial"/>
          <w:b/>
        </w:rPr>
        <w:br w:type="page"/>
      </w:r>
    </w:p>
    <w:p w14:paraId="5B58193A" w14:textId="2253E942" w:rsidR="000C292F" w:rsidRPr="00AC713D" w:rsidRDefault="000C292F" w:rsidP="000C292F">
      <w:pPr>
        <w:rPr>
          <w:rFonts w:cs="Arial"/>
          <w:b/>
        </w:rPr>
      </w:pPr>
      <w:r w:rsidRPr="00AC713D">
        <w:rPr>
          <w:rFonts w:cs="Arial"/>
          <w:b/>
        </w:rPr>
        <w:lastRenderedPageBreak/>
        <w:t>Základní ukazatel zisku na akcii</w:t>
      </w:r>
    </w:p>
    <w:tbl>
      <w:tblPr>
        <w:tblW w:w="5000" w:type="pct"/>
        <w:jc w:val="center"/>
        <w:tblLook w:val="01E0" w:firstRow="1" w:lastRow="1" w:firstColumn="1" w:lastColumn="1" w:noHBand="0" w:noVBand="0"/>
      </w:tblPr>
      <w:tblGrid>
        <w:gridCol w:w="3796"/>
        <w:gridCol w:w="1150"/>
        <w:gridCol w:w="2063"/>
        <w:gridCol w:w="2063"/>
      </w:tblGrid>
      <w:tr w:rsidR="00BE1408" w:rsidRPr="00AC713D" w14:paraId="6C62CB11" w14:textId="77777777" w:rsidTr="00BE1408">
        <w:trPr>
          <w:jc w:val="center"/>
        </w:trPr>
        <w:tc>
          <w:tcPr>
            <w:tcW w:w="2092" w:type="pct"/>
            <w:shd w:val="clear" w:color="auto" w:fill="0075BF"/>
            <w:vAlign w:val="center"/>
          </w:tcPr>
          <w:p w14:paraId="0DC1487E" w14:textId="77777777" w:rsidR="00BE1408" w:rsidRPr="00AC713D" w:rsidRDefault="00BE1408" w:rsidP="00BE1408">
            <w:pPr>
              <w:keepNext/>
              <w:rPr>
                <w:rFonts w:cs="Arial"/>
                <w:color w:val="FFFFFF" w:themeColor="background1"/>
                <w:sz w:val="20"/>
                <w:szCs w:val="20"/>
              </w:rPr>
            </w:pPr>
          </w:p>
        </w:tc>
        <w:tc>
          <w:tcPr>
            <w:tcW w:w="634" w:type="pct"/>
            <w:shd w:val="clear" w:color="auto" w:fill="0075BF"/>
            <w:vAlign w:val="center"/>
          </w:tcPr>
          <w:p w14:paraId="4B06CDF5" w14:textId="77777777" w:rsidR="00BE1408" w:rsidRPr="00AC713D" w:rsidRDefault="00BE1408" w:rsidP="00BE1408">
            <w:pPr>
              <w:keepNext/>
              <w:jc w:val="right"/>
              <w:rPr>
                <w:rFonts w:cs="Arial"/>
                <w:color w:val="FFFFFF" w:themeColor="background1"/>
                <w:sz w:val="20"/>
                <w:szCs w:val="20"/>
              </w:rPr>
            </w:pPr>
          </w:p>
        </w:tc>
        <w:tc>
          <w:tcPr>
            <w:tcW w:w="1137" w:type="pct"/>
            <w:shd w:val="clear" w:color="auto" w:fill="0075BF"/>
            <w:vAlign w:val="center"/>
          </w:tcPr>
          <w:p w14:paraId="5F181515" w14:textId="2F5906C1" w:rsidR="00BE1408" w:rsidRPr="00AC713D" w:rsidRDefault="00BE1408" w:rsidP="00BE1408">
            <w:pPr>
              <w:keepNext/>
              <w:jc w:val="center"/>
              <w:rPr>
                <w:rFonts w:cs="Arial"/>
                <w:b/>
                <w:color w:val="FFFFFF" w:themeColor="background1"/>
                <w:sz w:val="20"/>
                <w:szCs w:val="20"/>
              </w:rPr>
            </w:pPr>
            <w:r w:rsidRPr="00AC713D">
              <w:rPr>
                <w:rFonts w:cs="Arial"/>
                <w:b/>
                <w:bCs/>
                <w:color w:val="FFFFFF" w:themeColor="background1"/>
                <w:sz w:val="20"/>
                <w:szCs w:val="20"/>
              </w:rPr>
              <w:t>k 30. červnu 2019</w:t>
            </w:r>
          </w:p>
        </w:tc>
        <w:tc>
          <w:tcPr>
            <w:tcW w:w="1137" w:type="pct"/>
            <w:shd w:val="clear" w:color="auto" w:fill="0075BF"/>
            <w:vAlign w:val="center"/>
          </w:tcPr>
          <w:p w14:paraId="39EDA1BE" w14:textId="0A68E66A" w:rsidR="00BE1408" w:rsidRPr="00AC713D" w:rsidRDefault="00BE1408" w:rsidP="00BE1408">
            <w:pPr>
              <w:keepNext/>
              <w:jc w:val="right"/>
              <w:rPr>
                <w:rFonts w:cs="Arial"/>
                <w:b/>
                <w:color w:val="FFFFFF" w:themeColor="background1"/>
                <w:sz w:val="20"/>
                <w:szCs w:val="20"/>
              </w:rPr>
            </w:pPr>
            <w:r w:rsidRPr="00AC713D">
              <w:rPr>
                <w:rFonts w:cs="Arial"/>
                <w:b/>
                <w:bCs/>
                <w:color w:val="FFFFFF" w:themeColor="background1"/>
                <w:sz w:val="20"/>
                <w:szCs w:val="20"/>
              </w:rPr>
              <w:t>k 30. červnu 2020</w:t>
            </w:r>
          </w:p>
        </w:tc>
      </w:tr>
      <w:tr w:rsidR="00BE1408" w:rsidRPr="00AC713D" w14:paraId="17BA9700" w14:textId="77777777" w:rsidTr="00BE1408">
        <w:trPr>
          <w:trHeight w:val="196"/>
          <w:jc w:val="center"/>
        </w:trPr>
        <w:tc>
          <w:tcPr>
            <w:tcW w:w="2092" w:type="pct"/>
            <w:tcBorders>
              <w:bottom w:val="single" w:sz="4" w:space="0" w:color="9C9D9F"/>
            </w:tcBorders>
            <w:vAlign w:val="center"/>
          </w:tcPr>
          <w:p w14:paraId="25152B3C" w14:textId="77777777" w:rsidR="00BE1408" w:rsidRPr="00AC713D" w:rsidRDefault="00BE1408" w:rsidP="00471AF8">
            <w:pPr>
              <w:keepNext/>
              <w:snapToGrid w:val="0"/>
              <w:rPr>
                <w:rFonts w:cs="Arial"/>
                <w:sz w:val="20"/>
                <w:szCs w:val="20"/>
              </w:rPr>
            </w:pPr>
            <w:r w:rsidRPr="00AC713D">
              <w:rPr>
                <w:rFonts w:cs="Arial"/>
                <w:sz w:val="20"/>
                <w:szCs w:val="20"/>
              </w:rPr>
              <w:t>Čistý zisk přiřaditelný akcionářům</w:t>
            </w:r>
          </w:p>
        </w:tc>
        <w:tc>
          <w:tcPr>
            <w:tcW w:w="634" w:type="pct"/>
            <w:tcBorders>
              <w:bottom w:val="single" w:sz="4" w:space="0" w:color="9C9D9F"/>
            </w:tcBorders>
            <w:vAlign w:val="center"/>
          </w:tcPr>
          <w:p w14:paraId="3828718B" w14:textId="77777777" w:rsidR="00BE1408" w:rsidRPr="00AC713D" w:rsidRDefault="00BE1408" w:rsidP="00471AF8">
            <w:pPr>
              <w:keepNext/>
              <w:snapToGrid w:val="0"/>
              <w:jc w:val="right"/>
              <w:rPr>
                <w:rFonts w:cs="Arial"/>
                <w:sz w:val="20"/>
                <w:szCs w:val="20"/>
              </w:rPr>
            </w:pPr>
            <w:r w:rsidRPr="00AC713D">
              <w:rPr>
                <w:rFonts w:cs="Arial"/>
                <w:sz w:val="20"/>
                <w:szCs w:val="20"/>
              </w:rPr>
              <w:t>tis. Kč</w:t>
            </w:r>
          </w:p>
        </w:tc>
        <w:tc>
          <w:tcPr>
            <w:tcW w:w="1137" w:type="pct"/>
            <w:tcBorders>
              <w:bottom w:val="single" w:sz="4" w:space="0" w:color="9C9D9F"/>
            </w:tcBorders>
            <w:vAlign w:val="center"/>
          </w:tcPr>
          <w:p w14:paraId="0298A5AF" w14:textId="703D5E2B" w:rsidR="00BE1408" w:rsidRPr="00AC713D" w:rsidRDefault="00BE1408" w:rsidP="00471AF8">
            <w:pPr>
              <w:keepNext/>
              <w:jc w:val="right"/>
              <w:rPr>
                <w:rFonts w:cs="Arial"/>
                <w:sz w:val="20"/>
                <w:szCs w:val="20"/>
              </w:rPr>
            </w:pPr>
            <w:r w:rsidRPr="00AC713D">
              <w:rPr>
                <w:rFonts w:cs="Arial"/>
                <w:color w:val="000000"/>
                <w:sz w:val="20"/>
                <w:szCs w:val="20"/>
                <w:lang w:eastAsia="en-US"/>
              </w:rPr>
              <w:t>246 846</w:t>
            </w:r>
          </w:p>
        </w:tc>
        <w:tc>
          <w:tcPr>
            <w:tcW w:w="1137" w:type="pct"/>
            <w:tcBorders>
              <w:bottom w:val="single" w:sz="4" w:space="0" w:color="9C9D9F"/>
            </w:tcBorders>
            <w:vAlign w:val="center"/>
          </w:tcPr>
          <w:p w14:paraId="3518E94A" w14:textId="5A1DEFB7" w:rsidR="00BE1408" w:rsidRPr="00AC713D" w:rsidRDefault="00DD780A" w:rsidP="00471AF8">
            <w:pPr>
              <w:keepNext/>
              <w:jc w:val="right"/>
              <w:rPr>
                <w:rFonts w:cs="Arial"/>
                <w:sz w:val="20"/>
                <w:szCs w:val="20"/>
              </w:rPr>
            </w:pPr>
            <w:r>
              <w:rPr>
                <w:rFonts w:cs="Arial"/>
                <w:sz w:val="20"/>
                <w:szCs w:val="20"/>
              </w:rPr>
              <w:t>9 315</w:t>
            </w:r>
          </w:p>
        </w:tc>
      </w:tr>
      <w:tr w:rsidR="00BE1408" w:rsidRPr="00AC713D" w14:paraId="47BD8EDB" w14:textId="77777777" w:rsidTr="00BE1408">
        <w:trPr>
          <w:jc w:val="center"/>
        </w:trPr>
        <w:tc>
          <w:tcPr>
            <w:tcW w:w="2092" w:type="pct"/>
            <w:tcBorders>
              <w:top w:val="single" w:sz="4" w:space="0" w:color="9C9D9F"/>
              <w:bottom w:val="single" w:sz="12" w:space="0" w:color="9C9D9F"/>
            </w:tcBorders>
            <w:vAlign w:val="center"/>
          </w:tcPr>
          <w:p w14:paraId="6C3FA0AE" w14:textId="77777777" w:rsidR="00BE1408" w:rsidRPr="00AC713D" w:rsidRDefault="00BE1408" w:rsidP="00471AF8">
            <w:pPr>
              <w:keepNext/>
              <w:snapToGrid w:val="0"/>
              <w:rPr>
                <w:rFonts w:cs="Arial"/>
                <w:sz w:val="20"/>
                <w:szCs w:val="20"/>
              </w:rPr>
            </w:pPr>
            <w:r w:rsidRPr="00AC713D">
              <w:rPr>
                <w:rFonts w:cs="Arial"/>
                <w:sz w:val="20"/>
                <w:szCs w:val="20"/>
              </w:rPr>
              <w:t>Vážený průměr počtu kmenových akcií</w:t>
            </w:r>
          </w:p>
        </w:tc>
        <w:tc>
          <w:tcPr>
            <w:tcW w:w="634" w:type="pct"/>
            <w:tcBorders>
              <w:top w:val="single" w:sz="4" w:space="0" w:color="9C9D9F"/>
              <w:bottom w:val="single" w:sz="12" w:space="0" w:color="9C9D9F"/>
            </w:tcBorders>
            <w:vAlign w:val="center"/>
          </w:tcPr>
          <w:p w14:paraId="60043090" w14:textId="77777777" w:rsidR="00BE1408" w:rsidRPr="00AC713D" w:rsidRDefault="00BE1408" w:rsidP="00471AF8">
            <w:pPr>
              <w:keepNext/>
              <w:snapToGrid w:val="0"/>
              <w:jc w:val="right"/>
              <w:rPr>
                <w:rFonts w:cs="Arial"/>
                <w:sz w:val="20"/>
                <w:szCs w:val="20"/>
              </w:rPr>
            </w:pPr>
            <w:r w:rsidRPr="00AC713D">
              <w:rPr>
                <w:rFonts w:cs="Arial"/>
                <w:sz w:val="20"/>
                <w:szCs w:val="20"/>
              </w:rPr>
              <w:t>počet</w:t>
            </w:r>
          </w:p>
        </w:tc>
        <w:tc>
          <w:tcPr>
            <w:tcW w:w="1137" w:type="pct"/>
            <w:tcBorders>
              <w:top w:val="single" w:sz="4" w:space="0" w:color="9C9D9F"/>
              <w:bottom w:val="single" w:sz="12" w:space="0" w:color="9C9D9F"/>
            </w:tcBorders>
            <w:vAlign w:val="center"/>
          </w:tcPr>
          <w:p w14:paraId="1BC8002C" w14:textId="77777777" w:rsidR="00BE1408" w:rsidRPr="00AC713D" w:rsidRDefault="00BE1408" w:rsidP="00471AF8">
            <w:pPr>
              <w:keepNext/>
              <w:jc w:val="right"/>
              <w:rPr>
                <w:rFonts w:cs="Arial"/>
                <w:sz w:val="20"/>
                <w:szCs w:val="20"/>
              </w:rPr>
            </w:pPr>
            <w:r w:rsidRPr="00AC713D">
              <w:rPr>
                <w:rFonts w:cs="Arial"/>
                <w:sz w:val="20"/>
                <w:szCs w:val="20"/>
              </w:rPr>
              <w:t>8 763 859</w:t>
            </w:r>
          </w:p>
        </w:tc>
        <w:tc>
          <w:tcPr>
            <w:tcW w:w="1137" w:type="pct"/>
            <w:tcBorders>
              <w:top w:val="single" w:sz="4" w:space="0" w:color="9C9D9F"/>
              <w:bottom w:val="single" w:sz="12" w:space="0" w:color="9C9D9F"/>
            </w:tcBorders>
            <w:vAlign w:val="center"/>
          </w:tcPr>
          <w:p w14:paraId="62BB5520" w14:textId="77777777" w:rsidR="00BE1408" w:rsidRPr="00AC713D" w:rsidRDefault="00BE1408" w:rsidP="00471AF8">
            <w:pPr>
              <w:keepNext/>
              <w:jc w:val="right"/>
              <w:rPr>
                <w:rFonts w:cs="Arial"/>
                <w:sz w:val="20"/>
                <w:szCs w:val="20"/>
              </w:rPr>
            </w:pPr>
            <w:r w:rsidRPr="00AC713D">
              <w:rPr>
                <w:rFonts w:cs="Arial"/>
                <w:sz w:val="20"/>
                <w:szCs w:val="20"/>
              </w:rPr>
              <w:t>8 763 859</w:t>
            </w:r>
          </w:p>
        </w:tc>
      </w:tr>
      <w:tr w:rsidR="00BE1408" w:rsidRPr="00AC713D" w14:paraId="3F301AB2" w14:textId="77777777" w:rsidTr="00BE1408">
        <w:trPr>
          <w:jc w:val="center"/>
        </w:trPr>
        <w:tc>
          <w:tcPr>
            <w:tcW w:w="2092" w:type="pct"/>
            <w:tcBorders>
              <w:top w:val="single" w:sz="12" w:space="0" w:color="9C9D9F"/>
            </w:tcBorders>
            <w:shd w:val="clear" w:color="auto" w:fill="9C9D9F"/>
            <w:vAlign w:val="center"/>
          </w:tcPr>
          <w:p w14:paraId="4E1E466B" w14:textId="77777777" w:rsidR="00BE1408" w:rsidRPr="00AC713D" w:rsidRDefault="00BE1408" w:rsidP="00471AF8">
            <w:pPr>
              <w:keepNext/>
              <w:snapToGrid w:val="0"/>
              <w:rPr>
                <w:rFonts w:cs="Arial"/>
                <w:b/>
                <w:sz w:val="20"/>
                <w:szCs w:val="20"/>
              </w:rPr>
            </w:pPr>
            <w:r w:rsidRPr="00AC713D">
              <w:rPr>
                <w:rFonts w:cs="Arial"/>
                <w:b/>
                <w:sz w:val="20"/>
                <w:szCs w:val="20"/>
              </w:rPr>
              <w:t>Základní ukazatel zisku na akcii</w:t>
            </w:r>
          </w:p>
        </w:tc>
        <w:tc>
          <w:tcPr>
            <w:tcW w:w="634" w:type="pct"/>
            <w:tcBorders>
              <w:top w:val="single" w:sz="12" w:space="0" w:color="9C9D9F"/>
            </w:tcBorders>
            <w:shd w:val="clear" w:color="auto" w:fill="9C9D9F"/>
            <w:vAlign w:val="center"/>
          </w:tcPr>
          <w:p w14:paraId="7A804F0F" w14:textId="77777777" w:rsidR="00BE1408" w:rsidRPr="00AC713D" w:rsidRDefault="00BE1408" w:rsidP="00471AF8">
            <w:pPr>
              <w:keepNext/>
              <w:snapToGrid w:val="0"/>
              <w:jc w:val="right"/>
              <w:rPr>
                <w:rFonts w:cs="Arial"/>
                <w:sz w:val="20"/>
                <w:szCs w:val="20"/>
              </w:rPr>
            </w:pPr>
            <w:r w:rsidRPr="00AC713D">
              <w:rPr>
                <w:rFonts w:cs="Arial"/>
                <w:sz w:val="20"/>
                <w:szCs w:val="20"/>
              </w:rPr>
              <w:t>Kč</w:t>
            </w:r>
          </w:p>
        </w:tc>
        <w:tc>
          <w:tcPr>
            <w:tcW w:w="1137" w:type="pct"/>
            <w:tcBorders>
              <w:top w:val="single" w:sz="12" w:space="0" w:color="9C9D9F"/>
            </w:tcBorders>
            <w:shd w:val="clear" w:color="auto" w:fill="9C9D9F"/>
            <w:vAlign w:val="center"/>
          </w:tcPr>
          <w:p w14:paraId="2765EAA3" w14:textId="12681DBA" w:rsidR="00BE1408" w:rsidRPr="00AC713D" w:rsidRDefault="00F04A80" w:rsidP="00471AF8">
            <w:pPr>
              <w:keepNext/>
              <w:jc w:val="right"/>
              <w:rPr>
                <w:rFonts w:cs="Arial"/>
                <w:b/>
                <w:sz w:val="20"/>
                <w:szCs w:val="20"/>
              </w:rPr>
            </w:pPr>
            <w:r w:rsidRPr="00AC713D">
              <w:rPr>
                <w:rFonts w:cs="Arial"/>
                <w:b/>
                <w:sz w:val="20"/>
                <w:szCs w:val="20"/>
              </w:rPr>
              <w:t>28,17</w:t>
            </w:r>
          </w:p>
        </w:tc>
        <w:tc>
          <w:tcPr>
            <w:tcW w:w="1137" w:type="pct"/>
            <w:tcBorders>
              <w:top w:val="single" w:sz="12" w:space="0" w:color="9C9D9F"/>
            </w:tcBorders>
            <w:shd w:val="clear" w:color="auto" w:fill="9C9D9F"/>
            <w:vAlign w:val="center"/>
          </w:tcPr>
          <w:p w14:paraId="0BE7302E" w14:textId="1B3C7ADF" w:rsidR="00BE1408" w:rsidRPr="00AC713D" w:rsidRDefault="00DD780A" w:rsidP="00471AF8">
            <w:pPr>
              <w:keepNext/>
              <w:jc w:val="right"/>
              <w:rPr>
                <w:rFonts w:cs="Arial"/>
                <w:b/>
                <w:sz w:val="20"/>
                <w:szCs w:val="20"/>
              </w:rPr>
            </w:pPr>
            <w:r>
              <w:rPr>
                <w:rFonts w:cs="Arial"/>
                <w:b/>
                <w:sz w:val="20"/>
                <w:szCs w:val="20"/>
              </w:rPr>
              <w:t>1,06</w:t>
            </w:r>
          </w:p>
        </w:tc>
      </w:tr>
      <w:tr w:rsidR="00BE1408" w:rsidRPr="00AC713D" w14:paraId="3E215755" w14:textId="77777777" w:rsidTr="00BE1408">
        <w:trPr>
          <w:jc w:val="center"/>
        </w:trPr>
        <w:tc>
          <w:tcPr>
            <w:tcW w:w="2092" w:type="pct"/>
            <w:tcBorders>
              <w:top w:val="single" w:sz="12" w:space="0" w:color="9C9D9F"/>
            </w:tcBorders>
            <w:shd w:val="clear" w:color="auto" w:fill="9C9D9F"/>
            <w:vAlign w:val="center"/>
          </w:tcPr>
          <w:p w14:paraId="337CEB2B" w14:textId="77777777" w:rsidR="00BE1408" w:rsidRPr="00AC713D" w:rsidRDefault="00BE1408" w:rsidP="00471AF8">
            <w:pPr>
              <w:keepNext/>
              <w:snapToGrid w:val="0"/>
              <w:rPr>
                <w:rFonts w:cs="Arial"/>
                <w:b/>
                <w:sz w:val="20"/>
                <w:szCs w:val="20"/>
              </w:rPr>
            </w:pPr>
            <w:r w:rsidRPr="00AC713D">
              <w:rPr>
                <w:rFonts w:cs="Arial"/>
                <w:b/>
                <w:sz w:val="20"/>
                <w:szCs w:val="20"/>
              </w:rPr>
              <w:t>Zředěný ukazatel zisku na akcii</w:t>
            </w:r>
          </w:p>
        </w:tc>
        <w:tc>
          <w:tcPr>
            <w:tcW w:w="634" w:type="pct"/>
            <w:tcBorders>
              <w:top w:val="single" w:sz="12" w:space="0" w:color="9C9D9F"/>
            </w:tcBorders>
            <w:shd w:val="clear" w:color="auto" w:fill="9C9D9F"/>
            <w:vAlign w:val="center"/>
          </w:tcPr>
          <w:p w14:paraId="5A56958E" w14:textId="77777777" w:rsidR="00BE1408" w:rsidRPr="00AC713D" w:rsidRDefault="00BE1408" w:rsidP="00471AF8">
            <w:pPr>
              <w:keepNext/>
              <w:snapToGrid w:val="0"/>
              <w:jc w:val="right"/>
              <w:rPr>
                <w:rFonts w:cs="Arial"/>
                <w:sz w:val="20"/>
                <w:szCs w:val="20"/>
              </w:rPr>
            </w:pPr>
            <w:r w:rsidRPr="00AC713D">
              <w:rPr>
                <w:rFonts w:cs="Arial"/>
                <w:sz w:val="20"/>
                <w:szCs w:val="20"/>
              </w:rPr>
              <w:t>Kč</w:t>
            </w:r>
          </w:p>
        </w:tc>
        <w:tc>
          <w:tcPr>
            <w:tcW w:w="1137" w:type="pct"/>
            <w:tcBorders>
              <w:top w:val="single" w:sz="12" w:space="0" w:color="9C9D9F"/>
            </w:tcBorders>
            <w:shd w:val="clear" w:color="auto" w:fill="9C9D9F"/>
            <w:vAlign w:val="center"/>
          </w:tcPr>
          <w:p w14:paraId="46B4469F" w14:textId="49B0F954" w:rsidR="00BE1408" w:rsidRPr="00AC713D" w:rsidRDefault="00F04A80" w:rsidP="00471AF8">
            <w:pPr>
              <w:keepNext/>
              <w:jc w:val="right"/>
              <w:rPr>
                <w:rFonts w:cs="Arial"/>
                <w:b/>
                <w:sz w:val="20"/>
                <w:szCs w:val="20"/>
              </w:rPr>
            </w:pPr>
            <w:r w:rsidRPr="00AC713D">
              <w:rPr>
                <w:rFonts w:cs="Arial"/>
                <w:b/>
                <w:sz w:val="20"/>
                <w:szCs w:val="20"/>
              </w:rPr>
              <w:t>28,17</w:t>
            </w:r>
          </w:p>
        </w:tc>
        <w:tc>
          <w:tcPr>
            <w:tcW w:w="1137" w:type="pct"/>
            <w:tcBorders>
              <w:top w:val="single" w:sz="12" w:space="0" w:color="9C9D9F"/>
            </w:tcBorders>
            <w:shd w:val="clear" w:color="auto" w:fill="9C9D9F"/>
            <w:vAlign w:val="center"/>
          </w:tcPr>
          <w:p w14:paraId="0D061A08" w14:textId="2B4D803A" w:rsidR="00BE1408" w:rsidRPr="00AC713D" w:rsidRDefault="00DD780A" w:rsidP="00471AF8">
            <w:pPr>
              <w:keepNext/>
              <w:jc w:val="right"/>
              <w:rPr>
                <w:rFonts w:cs="Arial"/>
                <w:b/>
                <w:sz w:val="20"/>
                <w:szCs w:val="20"/>
              </w:rPr>
            </w:pPr>
            <w:r>
              <w:rPr>
                <w:rFonts w:cs="Arial"/>
                <w:b/>
                <w:sz w:val="20"/>
                <w:szCs w:val="20"/>
              </w:rPr>
              <w:t>1,06</w:t>
            </w:r>
          </w:p>
        </w:tc>
      </w:tr>
    </w:tbl>
    <w:p w14:paraId="28AD8672" w14:textId="3DBBEA85" w:rsidR="0040773E" w:rsidRPr="00AC713D" w:rsidRDefault="0040773E">
      <w:pPr>
        <w:spacing w:before="0" w:beforeAutospacing="0" w:after="160" w:afterAutospacing="0" w:line="259" w:lineRule="auto"/>
        <w:jc w:val="left"/>
        <w:rPr>
          <w:rFonts w:cs="Arial"/>
          <w:b/>
          <w:color w:val="2A7FC6"/>
        </w:rPr>
      </w:pPr>
    </w:p>
    <w:p w14:paraId="15F014DE" w14:textId="3EF3C3DB" w:rsidR="000C292F" w:rsidRPr="00AC713D" w:rsidRDefault="000C292F" w:rsidP="000C292F">
      <w:pPr>
        <w:pStyle w:val="Nadpis4"/>
        <w:rPr>
          <w:rFonts w:cs="Arial"/>
        </w:rPr>
      </w:pPr>
      <w:r w:rsidRPr="00AC713D">
        <w:rPr>
          <w:rFonts w:cs="Arial"/>
        </w:rPr>
        <w:t>Informace o spřízněných osobách</w:t>
      </w:r>
    </w:p>
    <w:p w14:paraId="365D3D79" w14:textId="77777777" w:rsidR="000C292F" w:rsidRPr="00AC713D" w:rsidRDefault="000C292F" w:rsidP="000C292F">
      <w:pPr>
        <w:rPr>
          <w:rFonts w:cs="Arial"/>
        </w:rPr>
      </w:pPr>
      <w:r w:rsidRPr="00AC713D">
        <w:rPr>
          <w:rFonts w:cs="Arial"/>
          <w:b/>
        </w:rPr>
        <w:t>Významné transakce uzavřené Společností se spřízněnými osobami</w:t>
      </w:r>
    </w:p>
    <w:p w14:paraId="320C26F8" w14:textId="74606421" w:rsidR="000C292F" w:rsidRPr="00AC713D" w:rsidRDefault="000C292F" w:rsidP="000C292F">
      <w:pPr>
        <w:rPr>
          <w:rFonts w:cs="Arial"/>
        </w:rPr>
      </w:pPr>
      <w:r w:rsidRPr="00AC713D">
        <w:rPr>
          <w:rFonts w:cs="Arial"/>
        </w:rPr>
        <w:t>Během prvních šesti měsíc</w:t>
      </w:r>
      <w:r w:rsidR="004150DD" w:rsidRPr="00AC713D">
        <w:rPr>
          <w:rFonts w:cs="Arial"/>
        </w:rPr>
        <w:t>ů</w:t>
      </w:r>
      <w:r w:rsidRPr="00AC713D">
        <w:rPr>
          <w:rFonts w:cs="Arial"/>
        </w:rPr>
        <w:t xml:space="preserve"> roku 201</w:t>
      </w:r>
      <w:r w:rsidR="00F04A80" w:rsidRPr="00AC713D">
        <w:rPr>
          <w:rFonts w:cs="Arial"/>
        </w:rPr>
        <w:t>9</w:t>
      </w:r>
      <w:r w:rsidRPr="00AC713D">
        <w:rPr>
          <w:rFonts w:cs="Arial"/>
        </w:rPr>
        <w:t xml:space="preserve"> a </w:t>
      </w:r>
      <w:r w:rsidR="00F04A80" w:rsidRPr="00AC713D">
        <w:rPr>
          <w:rFonts w:cs="Arial"/>
        </w:rPr>
        <w:t xml:space="preserve">2020 </w:t>
      </w:r>
      <w:r w:rsidRPr="00AC713D">
        <w:rPr>
          <w:rFonts w:cs="Arial"/>
        </w:rPr>
        <w:t>nebyly Společností uzavřeny transakce se spřízněnými osobami za jiných než tržních podmínek.</w:t>
      </w:r>
    </w:p>
    <w:p w14:paraId="173FD409" w14:textId="7CA28103" w:rsidR="000C292F" w:rsidRPr="00AC713D" w:rsidRDefault="000C292F" w:rsidP="000C292F">
      <w:pPr>
        <w:rPr>
          <w:rFonts w:cs="Arial"/>
        </w:rPr>
      </w:pPr>
      <w:r w:rsidRPr="00AC713D">
        <w:rPr>
          <w:rFonts w:cs="Arial"/>
          <w:b/>
        </w:rPr>
        <w:t xml:space="preserve">Transakce </w:t>
      </w:r>
      <w:r w:rsidR="00C77130" w:rsidRPr="00AC713D">
        <w:rPr>
          <w:rFonts w:cs="Arial"/>
          <w:b/>
        </w:rPr>
        <w:t>mezi Společností a</w:t>
      </w:r>
      <w:r w:rsidR="0068553C" w:rsidRPr="00AC713D">
        <w:rPr>
          <w:rFonts w:cs="Arial"/>
          <w:b/>
        </w:rPr>
        <w:t> osobami s řídící pravomocí</w:t>
      </w:r>
      <w:r w:rsidR="00F74781" w:rsidRPr="00AC713D">
        <w:rPr>
          <w:rFonts w:cs="Arial"/>
          <w:b/>
        </w:rPr>
        <w:t xml:space="preserve"> Společnosti</w:t>
      </w:r>
    </w:p>
    <w:p w14:paraId="06B60BE1" w14:textId="1F765E42" w:rsidR="000C292F" w:rsidRPr="00AC713D" w:rsidRDefault="000C292F" w:rsidP="000C292F">
      <w:pPr>
        <w:rPr>
          <w:rFonts w:cs="Arial"/>
        </w:rPr>
      </w:pPr>
      <w:r w:rsidRPr="00AC713D">
        <w:rPr>
          <w:rFonts w:cs="Arial"/>
        </w:rPr>
        <w:t>Během prvních šesti měsíc</w:t>
      </w:r>
      <w:r w:rsidR="004150DD" w:rsidRPr="00AC713D">
        <w:rPr>
          <w:rFonts w:cs="Arial"/>
        </w:rPr>
        <w:t>ů</w:t>
      </w:r>
      <w:r w:rsidRPr="00AC713D">
        <w:rPr>
          <w:rFonts w:cs="Arial"/>
        </w:rPr>
        <w:t xml:space="preserve"> roku 201</w:t>
      </w:r>
      <w:r w:rsidR="00F04A80" w:rsidRPr="00AC713D">
        <w:rPr>
          <w:rFonts w:cs="Arial"/>
        </w:rPr>
        <w:t>9</w:t>
      </w:r>
      <w:r w:rsidRPr="00AC713D">
        <w:rPr>
          <w:rFonts w:cs="Arial"/>
        </w:rPr>
        <w:t xml:space="preserve"> a </w:t>
      </w:r>
      <w:r w:rsidR="00F04A80" w:rsidRPr="00AC713D">
        <w:rPr>
          <w:rFonts w:cs="Arial"/>
        </w:rPr>
        <w:t xml:space="preserve">2020 </w:t>
      </w:r>
      <w:r w:rsidRPr="00AC713D">
        <w:rPr>
          <w:rFonts w:cs="Arial"/>
        </w:rPr>
        <w:t xml:space="preserve">Společnost neposkytla </w:t>
      </w:r>
      <w:r w:rsidR="00F74781" w:rsidRPr="00AC713D">
        <w:rPr>
          <w:rFonts w:cs="Arial"/>
        </w:rPr>
        <w:t xml:space="preserve">osobám s řídící pravomocí </w:t>
      </w:r>
      <w:r w:rsidRPr="00AC713D">
        <w:rPr>
          <w:rFonts w:cs="Arial"/>
        </w:rPr>
        <w:t>ani jejich spřízněným osobám žádné zálohy, půjčky, úvěry, záruky ani s nimi neuzavřel</w:t>
      </w:r>
      <w:r w:rsidR="006C7FB6" w:rsidRPr="00AC713D">
        <w:rPr>
          <w:rFonts w:cs="Arial"/>
        </w:rPr>
        <w:t>a</w:t>
      </w:r>
      <w:r w:rsidRPr="00AC713D">
        <w:rPr>
          <w:rFonts w:cs="Arial"/>
        </w:rPr>
        <w:t xml:space="preserve"> smlouvy poskytující služby Skupiny a spřízněných osob. </w:t>
      </w:r>
    </w:p>
    <w:p w14:paraId="0DF8BCA0" w14:textId="304E6B20" w:rsidR="0068553C" w:rsidRPr="00AC713D" w:rsidRDefault="0068553C" w:rsidP="0068553C">
      <w:pPr>
        <w:rPr>
          <w:rFonts w:cs="Arial"/>
        </w:rPr>
      </w:pPr>
      <w:r w:rsidRPr="00AC713D">
        <w:rPr>
          <w:rFonts w:cs="Arial"/>
        </w:rPr>
        <w:t>Během prvních šesti měsíců roku 201</w:t>
      </w:r>
      <w:r w:rsidR="00F04A80" w:rsidRPr="00AC713D">
        <w:rPr>
          <w:rFonts w:cs="Arial"/>
        </w:rPr>
        <w:t>9</w:t>
      </w:r>
      <w:r w:rsidR="00800D7A" w:rsidRPr="00AC713D">
        <w:rPr>
          <w:rFonts w:cs="Arial"/>
        </w:rPr>
        <w:t xml:space="preserve"> a roku </w:t>
      </w:r>
      <w:r w:rsidR="00F04A80" w:rsidRPr="00AC713D">
        <w:rPr>
          <w:rFonts w:cs="Arial"/>
        </w:rPr>
        <w:t xml:space="preserve">2020 </w:t>
      </w:r>
      <w:r w:rsidR="00C77130" w:rsidRPr="00AC713D">
        <w:rPr>
          <w:rFonts w:cs="Arial"/>
        </w:rPr>
        <w:t xml:space="preserve">neuzavřela Společnost </w:t>
      </w:r>
      <w:r w:rsidRPr="00AC713D">
        <w:rPr>
          <w:rFonts w:cs="Arial"/>
        </w:rPr>
        <w:t xml:space="preserve">žádné významné transakce s osobami s řídící pravomocí Společnosti, ani jejich rodinnými příslušníky či jinak spřízněnými osobami. </w:t>
      </w:r>
    </w:p>
    <w:p w14:paraId="3EC4D2F2" w14:textId="78227E6C" w:rsidR="000C292F" w:rsidRPr="00AC713D" w:rsidRDefault="000C292F" w:rsidP="000C292F">
      <w:pPr>
        <w:rPr>
          <w:rFonts w:cs="Arial"/>
        </w:rPr>
      </w:pPr>
      <w:r w:rsidRPr="00AC713D">
        <w:rPr>
          <w:rFonts w:cs="Arial"/>
          <w:b/>
        </w:rPr>
        <w:t xml:space="preserve">Transakce </w:t>
      </w:r>
      <w:r w:rsidR="00C77130" w:rsidRPr="00AC713D">
        <w:rPr>
          <w:rFonts w:cs="Arial"/>
          <w:b/>
        </w:rPr>
        <w:t xml:space="preserve">mezi </w:t>
      </w:r>
      <w:r w:rsidRPr="00AC713D">
        <w:rPr>
          <w:rFonts w:cs="Arial"/>
          <w:b/>
        </w:rPr>
        <w:t xml:space="preserve">spřízněnými osobami </w:t>
      </w:r>
      <w:r w:rsidR="00C77130" w:rsidRPr="00AC713D">
        <w:rPr>
          <w:rFonts w:cs="Arial"/>
          <w:b/>
        </w:rPr>
        <w:t xml:space="preserve">Společnosti a </w:t>
      </w:r>
      <w:r w:rsidR="0068553C" w:rsidRPr="00AC713D">
        <w:rPr>
          <w:rFonts w:cs="Arial"/>
          <w:b/>
        </w:rPr>
        <w:t>osobami s řídící pravomocí</w:t>
      </w:r>
      <w:r w:rsidRPr="00AC713D">
        <w:rPr>
          <w:rFonts w:cs="Arial"/>
          <w:b/>
        </w:rPr>
        <w:t xml:space="preserve"> Společnosti</w:t>
      </w:r>
    </w:p>
    <w:p w14:paraId="1FDD6A27" w14:textId="3AE80DFB" w:rsidR="000C292F" w:rsidRPr="00AC713D" w:rsidRDefault="000C292F" w:rsidP="000C292F">
      <w:pPr>
        <w:rPr>
          <w:rFonts w:cs="Arial"/>
        </w:rPr>
      </w:pPr>
      <w:r w:rsidRPr="00AC713D">
        <w:rPr>
          <w:rFonts w:cs="Arial"/>
        </w:rPr>
        <w:t>Během prvních šesti měsíc</w:t>
      </w:r>
      <w:r w:rsidR="004150DD" w:rsidRPr="00AC713D">
        <w:rPr>
          <w:rFonts w:cs="Arial"/>
        </w:rPr>
        <w:t>ů</w:t>
      </w:r>
      <w:r w:rsidRPr="00AC713D">
        <w:rPr>
          <w:rFonts w:cs="Arial"/>
        </w:rPr>
        <w:t xml:space="preserve"> roku 201</w:t>
      </w:r>
      <w:r w:rsidR="00F04A80" w:rsidRPr="00AC713D">
        <w:rPr>
          <w:rFonts w:cs="Arial"/>
        </w:rPr>
        <w:t>9</w:t>
      </w:r>
      <w:r w:rsidRPr="00AC713D">
        <w:rPr>
          <w:rFonts w:cs="Arial"/>
        </w:rPr>
        <w:t xml:space="preserve"> a </w:t>
      </w:r>
      <w:r w:rsidR="00F04A80" w:rsidRPr="00AC713D">
        <w:rPr>
          <w:rFonts w:cs="Arial"/>
        </w:rPr>
        <w:t xml:space="preserve">2020 </w:t>
      </w:r>
      <w:r w:rsidR="00C77130" w:rsidRPr="00AC713D">
        <w:rPr>
          <w:rFonts w:cs="Arial"/>
        </w:rPr>
        <w:t xml:space="preserve">neuzavřely </w:t>
      </w:r>
      <w:r w:rsidR="00F74781" w:rsidRPr="00AC713D">
        <w:rPr>
          <w:rFonts w:cs="Arial"/>
        </w:rPr>
        <w:t>osob</w:t>
      </w:r>
      <w:r w:rsidR="00C77130" w:rsidRPr="00AC713D">
        <w:rPr>
          <w:rFonts w:cs="Arial"/>
        </w:rPr>
        <w:t>y</w:t>
      </w:r>
      <w:r w:rsidR="00F74781" w:rsidRPr="00AC713D">
        <w:rPr>
          <w:rFonts w:cs="Arial"/>
        </w:rPr>
        <w:t xml:space="preserve"> s řídící pravomocí </w:t>
      </w:r>
      <w:r w:rsidRPr="00AC713D">
        <w:rPr>
          <w:rFonts w:cs="Arial"/>
        </w:rPr>
        <w:t>Společnosti žádné významné transakce se spřízněnými osobami</w:t>
      </w:r>
      <w:r w:rsidR="00C77130" w:rsidRPr="00AC713D">
        <w:rPr>
          <w:rFonts w:cs="Arial"/>
        </w:rPr>
        <w:t xml:space="preserve"> Společnosti</w:t>
      </w:r>
      <w:r w:rsidRPr="00AC713D">
        <w:rPr>
          <w:rFonts w:cs="Arial"/>
        </w:rPr>
        <w:t>.</w:t>
      </w:r>
    </w:p>
    <w:p w14:paraId="37C80978" w14:textId="77777777" w:rsidR="007267FB" w:rsidRPr="00AC713D" w:rsidRDefault="007267FB" w:rsidP="000C292F">
      <w:pPr>
        <w:pStyle w:val="Nadpis4"/>
        <w:rPr>
          <w:rFonts w:cs="Arial"/>
        </w:rPr>
      </w:pPr>
    </w:p>
    <w:p w14:paraId="087D1BB1" w14:textId="32D0BD6A" w:rsidR="000C292F" w:rsidRPr="00AC713D" w:rsidRDefault="000C292F" w:rsidP="000C292F">
      <w:pPr>
        <w:pStyle w:val="Nadpis4"/>
        <w:rPr>
          <w:rFonts w:cs="Arial"/>
        </w:rPr>
      </w:pPr>
      <w:r w:rsidRPr="00AC713D">
        <w:rPr>
          <w:rFonts w:cs="Arial"/>
        </w:rPr>
        <w:t>Schválení mezitímních účetních výkazů</w:t>
      </w:r>
    </w:p>
    <w:p w14:paraId="429BFF30" w14:textId="311DDF7F" w:rsidR="000C292F" w:rsidRPr="00AC713D" w:rsidRDefault="000C292F" w:rsidP="000C292F">
      <w:pPr>
        <w:rPr>
          <w:rFonts w:cs="Arial"/>
        </w:rPr>
      </w:pPr>
      <w:r w:rsidRPr="00AC713D">
        <w:rPr>
          <w:rFonts w:cs="Arial"/>
        </w:rPr>
        <w:t xml:space="preserve">Mezitímní účetní výkazy byly schváleny představenstvem Společnosti dne </w:t>
      </w:r>
      <w:r w:rsidR="0055452E" w:rsidRPr="0055452E">
        <w:rPr>
          <w:rFonts w:cs="Arial"/>
        </w:rPr>
        <w:t>28</w:t>
      </w:r>
      <w:r w:rsidRPr="0055452E">
        <w:rPr>
          <w:rFonts w:cs="Arial"/>
        </w:rPr>
        <w:t xml:space="preserve">. srpna </w:t>
      </w:r>
      <w:r w:rsidR="00F04A80" w:rsidRPr="0055452E">
        <w:rPr>
          <w:rFonts w:cs="Arial"/>
        </w:rPr>
        <w:t>2020</w:t>
      </w:r>
      <w:r w:rsidRPr="0055452E">
        <w:rPr>
          <w:rFonts w:cs="Arial"/>
        </w:rPr>
        <w:t>.</w:t>
      </w:r>
    </w:p>
    <w:p w14:paraId="035B9F85" w14:textId="77777777" w:rsidR="00197CDC" w:rsidRPr="00AC713D" w:rsidRDefault="00197CDC">
      <w:pPr>
        <w:spacing w:before="0" w:beforeAutospacing="0" w:after="160" w:afterAutospacing="0" w:line="259" w:lineRule="auto"/>
        <w:jc w:val="left"/>
        <w:rPr>
          <w:rFonts w:cs="Arial"/>
          <w:b/>
          <w:bCs/>
          <w:kern w:val="32"/>
          <w:sz w:val="48"/>
          <w:szCs w:val="48"/>
        </w:rPr>
      </w:pPr>
      <w:bookmarkStart w:id="104" w:name="_Toc269907504"/>
      <w:r w:rsidRPr="00AC713D">
        <w:rPr>
          <w:rFonts w:cs="Arial"/>
        </w:rPr>
        <w:br w:type="page"/>
      </w:r>
    </w:p>
    <w:p w14:paraId="1D36BACE" w14:textId="78161CCB" w:rsidR="000C292F" w:rsidRPr="00AC713D" w:rsidRDefault="000C292F" w:rsidP="000C292F">
      <w:pPr>
        <w:pStyle w:val="Nadpis1"/>
        <w:rPr>
          <w:rFonts w:cs="Arial"/>
        </w:rPr>
      </w:pPr>
      <w:bookmarkStart w:id="105" w:name="_Toc47644474"/>
      <w:r w:rsidRPr="00AC713D">
        <w:rPr>
          <w:rFonts w:cs="Arial"/>
        </w:rPr>
        <w:lastRenderedPageBreak/>
        <w:t>Prohlášení</w:t>
      </w:r>
      <w:bookmarkEnd w:id="104"/>
      <w:bookmarkEnd w:id="105"/>
    </w:p>
    <w:p w14:paraId="57A92F1A" w14:textId="77777777" w:rsidR="000C292F" w:rsidRPr="00AC713D" w:rsidRDefault="000C292F" w:rsidP="000C292F">
      <w:pPr>
        <w:rPr>
          <w:rFonts w:cs="Arial"/>
        </w:rPr>
      </w:pPr>
    </w:p>
    <w:p w14:paraId="1080D01D" w14:textId="6ACB065E" w:rsidR="000C292F" w:rsidRPr="00AC713D" w:rsidRDefault="00F04A80" w:rsidP="000C292F">
      <w:pPr>
        <w:rPr>
          <w:rFonts w:cs="Arial"/>
        </w:rPr>
      </w:pPr>
      <w:r w:rsidRPr="00AC713D">
        <w:rPr>
          <w:rFonts w:cs="Arial"/>
        </w:rPr>
        <w:t>Zdeněk Husták</w:t>
      </w:r>
      <w:r w:rsidR="000C292F" w:rsidRPr="00AC713D">
        <w:rPr>
          <w:rFonts w:cs="Arial"/>
        </w:rPr>
        <w:t xml:space="preserve">, </w:t>
      </w:r>
      <w:r w:rsidR="00197CDC" w:rsidRPr="00AC713D">
        <w:rPr>
          <w:rFonts w:cs="Arial"/>
        </w:rPr>
        <w:t xml:space="preserve">člen </w:t>
      </w:r>
      <w:r w:rsidR="000C292F" w:rsidRPr="00AC713D">
        <w:rPr>
          <w:rFonts w:cs="Arial"/>
        </w:rPr>
        <w:t>představenstva PFNonwovens a.s. a</w:t>
      </w:r>
    </w:p>
    <w:p w14:paraId="38BCAFF1" w14:textId="114DB859" w:rsidR="000C292F" w:rsidRPr="00AC713D" w:rsidRDefault="00197CDC" w:rsidP="000C292F">
      <w:pPr>
        <w:rPr>
          <w:rFonts w:cs="Arial"/>
        </w:rPr>
      </w:pPr>
      <w:r w:rsidRPr="00AC713D">
        <w:rPr>
          <w:rFonts w:cs="Arial"/>
        </w:rPr>
        <w:t>Marian Rašík</w:t>
      </w:r>
      <w:r w:rsidR="000C292F" w:rsidRPr="00AC713D">
        <w:rPr>
          <w:rFonts w:cs="Arial"/>
        </w:rPr>
        <w:t>, člen představenstva PFNonwovens a.s.,</w:t>
      </w:r>
    </w:p>
    <w:p w14:paraId="39B68E5D" w14:textId="1EFE4D53" w:rsidR="000C292F" w:rsidRPr="00AC713D" w:rsidRDefault="000C292F" w:rsidP="000C292F">
      <w:pPr>
        <w:rPr>
          <w:rFonts w:cs="Arial"/>
        </w:rPr>
      </w:pPr>
      <w:r w:rsidRPr="00AC713D">
        <w:rPr>
          <w:rFonts w:cs="Arial"/>
        </w:rPr>
        <w:t xml:space="preserve">tímto prohlašují, že podle jejich nejlepšího vědomí </w:t>
      </w:r>
      <w:r w:rsidR="007267FB" w:rsidRPr="00AC713D">
        <w:rPr>
          <w:rFonts w:cs="Arial"/>
        </w:rPr>
        <w:t>podává pololetní zpráva věrný a </w:t>
      </w:r>
      <w:r w:rsidRPr="00AC713D">
        <w:rPr>
          <w:rFonts w:cs="Arial"/>
        </w:rPr>
        <w:t>poctivý obraz o finanční situaci, podnikatelské činnosti a výsledcích hospodaření emitenta a jeho konsolidačního celku za uplynulé p</w:t>
      </w:r>
      <w:bookmarkStart w:id="106" w:name="_GoBack"/>
      <w:bookmarkEnd w:id="106"/>
      <w:r w:rsidRPr="00AC713D">
        <w:rPr>
          <w:rFonts w:cs="Arial"/>
        </w:rPr>
        <w:t xml:space="preserve">ololetí a o vyhlídkách budoucího vývoje finanční situace, podnikatelské činnosti a </w:t>
      </w:r>
      <w:r w:rsidR="007267FB" w:rsidRPr="00AC713D">
        <w:rPr>
          <w:rFonts w:cs="Arial"/>
        </w:rPr>
        <w:t>výsledků hospodaření emitenta a </w:t>
      </w:r>
      <w:r w:rsidRPr="00AC713D">
        <w:rPr>
          <w:rFonts w:cs="Arial"/>
        </w:rPr>
        <w:t>jeho konsolidačního celku.</w:t>
      </w:r>
      <w:r w:rsidRPr="00AC713D" w:rsidDel="00BF256B">
        <w:rPr>
          <w:rFonts w:cs="Arial"/>
        </w:rPr>
        <w:t xml:space="preserve"> </w:t>
      </w:r>
    </w:p>
    <w:p w14:paraId="2B804926" w14:textId="77777777" w:rsidR="000C292F" w:rsidRPr="00AC713D" w:rsidRDefault="000C292F" w:rsidP="000C292F">
      <w:pPr>
        <w:rPr>
          <w:rFonts w:cs="Arial"/>
        </w:rPr>
      </w:pPr>
    </w:p>
    <w:p w14:paraId="7382F597" w14:textId="77777777" w:rsidR="000C292F" w:rsidRPr="00AC713D" w:rsidRDefault="000C292F" w:rsidP="000C292F">
      <w:pPr>
        <w:rPr>
          <w:rFonts w:cs="Arial"/>
        </w:rPr>
      </w:pPr>
    </w:p>
    <w:p w14:paraId="0214AA4E" w14:textId="6AB60AE8" w:rsidR="000C292F" w:rsidRPr="00AC713D" w:rsidRDefault="0055452E" w:rsidP="000C292F">
      <w:pPr>
        <w:rPr>
          <w:rFonts w:cs="Arial"/>
        </w:rPr>
      </w:pPr>
      <w:r w:rsidRPr="0055452E">
        <w:rPr>
          <w:rFonts w:cs="Arial"/>
        </w:rPr>
        <w:t>28</w:t>
      </w:r>
      <w:r w:rsidR="000C292F" w:rsidRPr="0055452E">
        <w:rPr>
          <w:rFonts w:cs="Arial"/>
        </w:rPr>
        <w:t xml:space="preserve">. srpna </w:t>
      </w:r>
      <w:r w:rsidR="00F04A80" w:rsidRPr="0055452E">
        <w:rPr>
          <w:rFonts w:cs="Arial"/>
        </w:rPr>
        <w:t>2020</w:t>
      </w:r>
    </w:p>
    <w:p w14:paraId="6DD61CF8" w14:textId="77777777" w:rsidR="000C292F" w:rsidRPr="00AC713D" w:rsidRDefault="000C292F" w:rsidP="000C292F">
      <w:pPr>
        <w:rPr>
          <w:rFonts w:cs="Arial"/>
        </w:rPr>
      </w:pPr>
    </w:p>
    <w:p w14:paraId="4A223D7F" w14:textId="77777777" w:rsidR="000C292F" w:rsidRPr="00AC713D" w:rsidRDefault="000C292F" w:rsidP="000C292F">
      <w:pPr>
        <w:rPr>
          <w:rFonts w:cs="Arial"/>
        </w:rPr>
      </w:pPr>
    </w:p>
    <w:p w14:paraId="1E9E152B" w14:textId="77777777" w:rsidR="000C292F" w:rsidRPr="00AC713D" w:rsidRDefault="000C292F" w:rsidP="000C292F">
      <w:pPr>
        <w:rPr>
          <w:rFonts w:cs="Arial"/>
        </w:rPr>
      </w:pPr>
    </w:p>
    <w:p w14:paraId="319ED8E8" w14:textId="289057C5" w:rsidR="000C292F" w:rsidRPr="00AC713D" w:rsidRDefault="000C292F" w:rsidP="000C292F">
      <w:pPr>
        <w:rPr>
          <w:rFonts w:cs="Arial"/>
        </w:rPr>
      </w:pPr>
    </w:p>
    <w:p w14:paraId="35F3FE4B" w14:textId="7D9ADD39" w:rsidR="000C292F" w:rsidRPr="00AC713D" w:rsidRDefault="000C292F" w:rsidP="000C292F">
      <w:pPr>
        <w:rPr>
          <w:rFonts w:cs="Arial"/>
        </w:rPr>
      </w:pPr>
    </w:p>
    <w:p w14:paraId="6C6F5E0F" w14:textId="77777777" w:rsidR="000C292F" w:rsidRPr="00AC713D" w:rsidRDefault="000C292F" w:rsidP="000C292F">
      <w:pPr>
        <w:rPr>
          <w:rFonts w:cs="Arial"/>
        </w:rPr>
      </w:pPr>
    </w:p>
    <w:p w14:paraId="077844FD" w14:textId="77777777" w:rsidR="000C292F" w:rsidRPr="00AC713D" w:rsidRDefault="000C292F" w:rsidP="000C292F">
      <w:pPr>
        <w:rPr>
          <w:rFonts w:cs="Arial"/>
        </w:rPr>
      </w:pPr>
    </w:p>
    <w:tbl>
      <w:tblPr>
        <w:tblW w:w="0" w:type="auto"/>
        <w:jc w:val="center"/>
        <w:tblLook w:val="01E0" w:firstRow="1" w:lastRow="1" w:firstColumn="1" w:lastColumn="1" w:noHBand="0" w:noVBand="0"/>
      </w:tblPr>
      <w:tblGrid>
        <w:gridCol w:w="4536"/>
        <w:gridCol w:w="4536"/>
      </w:tblGrid>
      <w:tr w:rsidR="000C292F" w:rsidRPr="00AC713D" w14:paraId="697198C5" w14:textId="77777777" w:rsidTr="00E431E6">
        <w:trPr>
          <w:jc w:val="center"/>
        </w:trPr>
        <w:tc>
          <w:tcPr>
            <w:tcW w:w="4606" w:type="dxa"/>
          </w:tcPr>
          <w:p w14:paraId="2BFB41CD" w14:textId="26097DD0" w:rsidR="000C292F" w:rsidRPr="00AC713D" w:rsidRDefault="00F04A80" w:rsidP="00E431E6">
            <w:pPr>
              <w:jc w:val="center"/>
              <w:rPr>
                <w:rFonts w:cs="Arial"/>
              </w:rPr>
            </w:pPr>
            <w:r w:rsidRPr="00AC713D">
              <w:rPr>
                <w:rFonts w:cs="Arial"/>
              </w:rPr>
              <w:t>Zdeněk Husták</w:t>
            </w:r>
            <w:r w:rsidR="000C292F" w:rsidRPr="00AC713D">
              <w:rPr>
                <w:rFonts w:cs="Arial"/>
              </w:rPr>
              <w:br/>
            </w:r>
            <w:r w:rsidR="00197CDC" w:rsidRPr="00AC713D">
              <w:rPr>
                <w:rFonts w:cs="Arial"/>
              </w:rPr>
              <w:t xml:space="preserve">Člen </w:t>
            </w:r>
            <w:r w:rsidR="000C292F" w:rsidRPr="00AC713D">
              <w:rPr>
                <w:rFonts w:cs="Arial"/>
              </w:rPr>
              <w:t xml:space="preserve">představenstva </w:t>
            </w:r>
            <w:r w:rsidR="000C292F" w:rsidRPr="00AC713D">
              <w:rPr>
                <w:rFonts w:cs="Arial"/>
              </w:rPr>
              <w:br/>
              <w:t>PFNonwovens a.s.</w:t>
            </w:r>
          </w:p>
          <w:p w14:paraId="61182F89" w14:textId="77777777" w:rsidR="000C292F" w:rsidRPr="00AC713D" w:rsidRDefault="000C292F" w:rsidP="00E431E6">
            <w:pPr>
              <w:rPr>
                <w:rFonts w:cs="Arial"/>
              </w:rPr>
            </w:pPr>
          </w:p>
        </w:tc>
        <w:tc>
          <w:tcPr>
            <w:tcW w:w="4606" w:type="dxa"/>
          </w:tcPr>
          <w:p w14:paraId="77E48158" w14:textId="0C5C908B" w:rsidR="000C292F" w:rsidRPr="00AC713D" w:rsidRDefault="000546B5" w:rsidP="00E431E6">
            <w:pPr>
              <w:jc w:val="center"/>
              <w:rPr>
                <w:rFonts w:cs="Arial"/>
              </w:rPr>
            </w:pPr>
            <w:r w:rsidRPr="00AC713D">
              <w:rPr>
                <w:rFonts w:cs="Arial"/>
              </w:rPr>
              <w:t>M</w:t>
            </w:r>
            <w:r w:rsidR="00197CDC" w:rsidRPr="00AC713D">
              <w:rPr>
                <w:rFonts w:cs="Arial"/>
              </w:rPr>
              <w:t>arian Rašík</w:t>
            </w:r>
            <w:r w:rsidR="000C292F" w:rsidRPr="00AC713D">
              <w:rPr>
                <w:rFonts w:cs="Arial"/>
              </w:rPr>
              <w:br/>
              <w:t xml:space="preserve">Člen představenstva </w:t>
            </w:r>
            <w:r w:rsidR="000C292F" w:rsidRPr="00AC713D">
              <w:rPr>
                <w:rFonts w:cs="Arial"/>
              </w:rPr>
              <w:br/>
              <w:t>PFNonwovens a.s.</w:t>
            </w:r>
          </w:p>
          <w:p w14:paraId="1443005C" w14:textId="77777777" w:rsidR="000C292F" w:rsidRPr="00AC713D" w:rsidRDefault="000C292F" w:rsidP="00E431E6">
            <w:pPr>
              <w:rPr>
                <w:rFonts w:cs="Arial"/>
              </w:rPr>
            </w:pPr>
          </w:p>
        </w:tc>
      </w:tr>
    </w:tbl>
    <w:p w14:paraId="45FEA51E" w14:textId="77777777" w:rsidR="000C292F" w:rsidRPr="00AC713D" w:rsidRDefault="000C292F" w:rsidP="000C292F">
      <w:pPr>
        <w:rPr>
          <w:rFonts w:cs="Arial"/>
        </w:rPr>
      </w:pPr>
    </w:p>
    <w:p w14:paraId="55114AC9" w14:textId="77777777" w:rsidR="000C292F" w:rsidRPr="00AC713D" w:rsidRDefault="000C292F" w:rsidP="000C292F">
      <w:pPr>
        <w:pStyle w:val="Nadpis1"/>
        <w:rPr>
          <w:rFonts w:cs="Arial"/>
        </w:rPr>
        <w:sectPr w:rsidR="000C292F" w:rsidRPr="00AC713D" w:rsidSect="009566C6">
          <w:pgSz w:w="11906" w:h="16838"/>
          <w:pgMar w:top="1417" w:right="1417" w:bottom="1417" w:left="1417" w:header="708" w:footer="708" w:gutter="0"/>
          <w:cols w:space="708"/>
          <w:docGrid w:linePitch="360"/>
        </w:sectPr>
      </w:pPr>
    </w:p>
    <w:p w14:paraId="136EE786" w14:textId="77777777" w:rsidR="000C292F" w:rsidRPr="00AC713D" w:rsidRDefault="000C292F" w:rsidP="000C292F">
      <w:pPr>
        <w:pStyle w:val="Nadpis1"/>
        <w:rPr>
          <w:rFonts w:cs="Arial"/>
        </w:rPr>
      </w:pPr>
      <w:bookmarkStart w:id="107" w:name="_Toc269907505"/>
      <w:bookmarkStart w:id="108" w:name="_Toc47644475"/>
      <w:r w:rsidRPr="00AC713D">
        <w:rPr>
          <w:rFonts w:cs="Arial"/>
        </w:rPr>
        <w:lastRenderedPageBreak/>
        <w:t>Kontakty</w:t>
      </w:r>
      <w:bookmarkEnd w:id="107"/>
      <w:bookmarkEnd w:id="108"/>
    </w:p>
    <w:p w14:paraId="20B4C5BD" w14:textId="77777777" w:rsidR="000C292F" w:rsidRPr="00AC713D" w:rsidRDefault="000C292F" w:rsidP="000C292F">
      <w:pPr>
        <w:rPr>
          <w:rFonts w:cs="Arial"/>
        </w:rPr>
      </w:pPr>
    </w:p>
    <w:p w14:paraId="5212B721" w14:textId="77777777" w:rsidR="000C292F" w:rsidRPr="00AC713D" w:rsidRDefault="000C292F" w:rsidP="000C292F">
      <w:pPr>
        <w:pStyle w:val="Nadpis4"/>
        <w:rPr>
          <w:rFonts w:cs="Arial"/>
        </w:rPr>
      </w:pPr>
      <w:r w:rsidRPr="00AC713D">
        <w:rPr>
          <w:rFonts w:cs="Arial"/>
        </w:rPr>
        <w:t>PR/IR Officer</w:t>
      </w:r>
    </w:p>
    <w:p w14:paraId="6191ADAA" w14:textId="77777777" w:rsidR="000C292F" w:rsidRPr="00AC713D" w:rsidRDefault="000C292F" w:rsidP="000C292F">
      <w:pPr>
        <w:spacing w:before="0" w:beforeAutospacing="0" w:after="0" w:afterAutospacing="0"/>
        <w:rPr>
          <w:rFonts w:cs="Arial"/>
        </w:rPr>
      </w:pPr>
      <w:r w:rsidRPr="00465CC0">
        <w:rPr>
          <w:rFonts w:cs="Arial"/>
        </w:rPr>
        <w:t>Tel.: +420 515 262 408</w:t>
      </w:r>
    </w:p>
    <w:p w14:paraId="687801D5" w14:textId="0363E436" w:rsidR="000C292F" w:rsidRPr="00AC713D" w:rsidRDefault="000C292F" w:rsidP="000C292F">
      <w:pPr>
        <w:spacing w:before="0" w:beforeAutospacing="0" w:after="0" w:afterAutospacing="0"/>
        <w:rPr>
          <w:rFonts w:cs="Arial"/>
        </w:rPr>
      </w:pPr>
      <w:r w:rsidRPr="00AC713D">
        <w:rPr>
          <w:rFonts w:cs="Arial"/>
        </w:rPr>
        <w:t>iro@</w:t>
      </w:r>
      <w:r w:rsidR="00CF36F5" w:rsidRPr="00AC713D">
        <w:rPr>
          <w:rFonts w:cs="Arial"/>
        </w:rPr>
        <w:t>pfnonwovens</w:t>
      </w:r>
      <w:r w:rsidRPr="00AC713D">
        <w:rPr>
          <w:rFonts w:cs="Arial"/>
        </w:rPr>
        <w:t>.cz</w:t>
      </w:r>
    </w:p>
    <w:p w14:paraId="5EEB2D75" w14:textId="77777777" w:rsidR="000C292F" w:rsidRPr="00AC713D" w:rsidRDefault="000C292F" w:rsidP="000C292F">
      <w:pPr>
        <w:rPr>
          <w:rFonts w:cs="Arial"/>
        </w:rPr>
        <w:sectPr w:rsidR="000C292F" w:rsidRPr="00AC713D" w:rsidSect="00E431E6">
          <w:pgSz w:w="11906" w:h="16838"/>
          <w:pgMar w:top="1417" w:right="1417" w:bottom="1417" w:left="1417" w:header="708" w:footer="708" w:gutter="0"/>
          <w:cols w:space="708"/>
          <w:docGrid w:linePitch="360"/>
        </w:sectPr>
      </w:pPr>
    </w:p>
    <w:p w14:paraId="7F3BBC9D" w14:textId="77777777" w:rsidR="000C292F" w:rsidRPr="00AC713D" w:rsidRDefault="000C292F" w:rsidP="000C292F">
      <w:pPr>
        <w:pStyle w:val="Nadpis1"/>
        <w:rPr>
          <w:rFonts w:cs="Arial"/>
        </w:rPr>
      </w:pPr>
      <w:bookmarkStart w:id="109" w:name="_Toc269907506"/>
      <w:bookmarkStart w:id="110" w:name="_Toc47644476"/>
      <w:r w:rsidRPr="00AC713D">
        <w:rPr>
          <w:rFonts w:cs="Arial"/>
        </w:rPr>
        <w:lastRenderedPageBreak/>
        <w:t>Výklad pojmů a zkratek</w:t>
      </w:r>
      <w:bookmarkEnd w:id="109"/>
      <w:bookmarkEnd w:id="110"/>
    </w:p>
    <w:p w14:paraId="31BFCE71" w14:textId="77777777" w:rsidR="000C292F" w:rsidRPr="00AC713D" w:rsidRDefault="000C292F" w:rsidP="000C292F">
      <w:pPr>
        <w:rPr>
          <w:rFonts w:cs="Arial"/>
        </w:rPr>
      </w:pPr>
    </w:p>
    <w:p w14:paraId="265FA530" w14:textId="15D4C6FA" w:rsidR="000C292F" w:rsidRPr="00AC713D" w:rsidRDefault="000C292F" w:rsidP="003D0A13">
      <w:pPr>
        <w:rPr>
          <w:rFonts w:cs="Arial"/>
        </w:rPr>
      </w:pPr>
      <w:r w:rsidRPr="00AC713D">
        <w:rPr>
          <w:rFonts w:cs="Arial"/>
          <w:b/>
        </w:rPr>
        <w:t>6th October City</w:t>
      </w:r>
      <w:r w:rsidRPr="00AC713D">
        <w:rPr>
          <w:rFonts w:cs="Arial"/>
        </w:rPr>
        <w:t xml:space="preserve"> – je satelitní město u Káhiry v Egyptě. </w:t>
      </w:r>
      <w:r w:rsidR="003D0A13" w:rsidRPr="00AC713D">
        <w:rPr>
          <w:rFonts w:cs="Arial"/>
        </w:rPr>
        <w:t>Celková populace čítá kolem půl milionu lidí a sídlo své regionální centrály zde má řada zahraničních společností.</w:t>
      </w:r>
    </w:p>
    <w:p w14:paraId="3E50D7A3" w14:textId="77777777" w:rsidR="000C292F" w:rsidRPr="00AC713D" w:rsidRDefault="000C292F" w:rsidP="000C292F">
      <w:pPr>
        <w:rPr>
          <w:rFonts w:cs="Arial"/>
        </w:rPr>
      </w:pPr>
      <w:r w:rsidRPr="00AC713D">
        <w:rPr>
          <w:rFonts w:cs="Arial"/>
          <w:b/>
        </w:rPr>
        <w:t>BCPP (PSE)</w:t>
      </w:r>
      <w:r w:rsidRPr="00AC713D">
        <w:rPr>
          <w:rFonts w:cs="Arial"/>
        </w:rPr>
        <w:t xml:space="preserve"> – Burza cenných papírů Praha, regulovaný trh pro obchody s cennými papíry v České Republice.</w:t>
      </w:r>
    </w:p>
    <w:p w14:paraId="3E6D60B5" w14:textId="77777777" w:rsidR="000C292F" w:rsidRPr="00AC713D" w:rsidRDefault="000C292F" w:rsidP="000C292F">
      <w:pPr>
        <w:rPr>
          <w:rFonts w:cs="Arial"/>
        </w:rPr>
      </w:pPr>
      <w:r w:rsidRPr="00AC713D">
        <w:rPr>
          <w:rFonts w:cs="Arial"/>
          <w:b/>
        </w:rPr>
        <w:t>Bikomponentní vlákno (Bi-co)</w:t>
      </w:r>
      <w:r w:rsidRPr="00AC713D">
        <w:rPr>
          <w:rFonts w:cs="Arial"/>
        </w:rPr>
        <w:t xml:space="preserve"> – textilní vlákno obsahující dvě nebo více základních komponent (polymery). Typické průřezy vláken jsou například „strana/strana“, „jádro/plášť“, „ostrůvky v matrici“.</w:t>
      </w:r>
    </w:p>
    <w:p w14:paraId="0523C717" w14:textId="2FE8B86B" w:rsidR="000C292F" w:rsidRPr="00AC713D" w:rsidRDefault="000C292F" w:rsidP="000C292F">
      <w:pPr>
        <w:rPr>
          <w:rFonts w:cs="Arial"/>
          <w:b/>
        </w:rPr>
      </w:pPr>
      <w:r w:rsidRPr="00AC713D">
        <w:rPr>
          <w:rFonts w:cs="Arial"/>
          <w:b/>
        </w:rPr>
        <w:t>Bučovice</w:t>
      </w:r>
      <w:r w:rsidRPr="00AC713D">
        <w:rPr>
          <w:rFonts w:cs="Arial"/>
        </w:rPr>
        <w:t xml:space="preserve"> –</w:t>
      </w:r>
      <w:r w:rsidRPr="00AC713D">
        <w:rPr>
          <w:rFonts w:cs="Arial"/>
          <w:b/>
        </w:rPr>
        <w:t xml:space="preserve"> </w:t>
      </w:r>
      <w:r w:rsidRPr="00AC713D">
        <w:rPr>
          <w:rFonts w:cs="Arial"/>
        </w:rPr>
        <w:t xml:space="preserve">město na Moravě v okrese Vyškov s přibližně 6 500 obyvateli. </w:t>
      </w:r>
      <w:r w:rsidR="00C838A4" w:rsidRPr="00AC713D">
        <w:rPr>
          <w:rFonts w:cs="Arial"/>
        </w:rPr>
        <w:t xml:space="preserve">Společnost </w:t>
      </w:r>
      <w:r w:rsidRPr="00AC713D">
        <w:rPr>
          <w:rFonts w:cs="Arial"/>
        </w:rPr>
        <w:t xml:space="preserve">zde provozuje tři výrobní linky. </w:t>
      </w:r>
    </w:p>
    <w:p w14:paraId="48996DD5" w14:textId="0FA1D5C9" w:rsidR="000C292F" w:rsidRPr="00AC713D" w:rsidRDefault="000C292F" w:rsidP="000C292F">
      <w:pPr>
        <w:rPr>
          <w:rFonts w:cs="Arial"/>
        </w:rPr>
      </w:pPr>
      <w:r w:rsidRPr="00AC713D">
        <w:rPr>
          <w:rFonts w:cs="Arial"/>
          <w:b/>
          <w:bCs/>
        </w:rPr>
        <w:t>Clearstream Bank</w:t>
      </w:r>
      <w:r w:rsidRPr="00AC713D">
        <w:rPr>
          <w:rFonts w:cs="Arial"/>
        </w:rPr>
        <w:t xml:space="preserve"> - Clearstream je předním poskytovatelem služeb následujících po</w:t>
      </w:r>
      <w:r w:rsidR="00603330">
        <w:rPr>
          <w:rFonts w:cs="Arial"/>
        </w:rPr>
        <w:t> </w:t>
      </w:r>
      <w:r w:rsidRPr="00AC713D">
        <w:rPr>
          <w:rFonts w:cs="Arial"/>
        </w:rPr>
        <w:t>obchodování s cennými papíry v Evropě. Je dceřinou společností Deutsche Börse. Clearstream International vznikl v lednu 2000 spojením Cedel International a</w:t>
      </w:r>
      <w:r w:rsidR="007F2D23">
        <w:rPr>
          <w:rFonts w:cs="Arial"/>
        </w:rPr>
        <w:t> </w:t>
      </w:r>
      <w:r w:rsidRPr="00AC713D">
        <w:rPr>
          <w:rFonts w:cs="Arial"/>
        </w:rPr>
        <w:t>Deutsche Börse Clearing.</w:t>
      </w:r>
    </w:p>
    <w:p w14:paraId="41177239" w14:textId="77777777" w:rsidR="000C292F" w:rsidRPr="00AC713D" w:rsidRDefault="000C292F" w:rsidP="000C292F">
      <w:pPr>
        <w:rPr>
          <w:rFonts w:cs="Arial"/>
          <w:bCs/>
        </w:rPr>
      </w:pPr>
      <w:r w:rsidRPr="00AC713D">
        <w:rPr>
          <w:rFonts w:cs="Arial"/>
          <w:b/>
        </w:rPr>
        <w:t>EDANA</w:t>
      </w:r>
      <w:r w:rsidRPr="00AC713D">
        <w:rPr>
          <w:rFonts w:cs="Arial"/>
        </w:rPr>
        <w:t xml:space="preserve"> – European Disposables and Nonwovens Association je evropská obchodní asociace výrobců netkaných textilií a výrobců hygienických výrobků, jejímiž členy je přibližně </w:t>
      </w:r>
      <w:r w:rsidRPr="00AC713D">
        <w:rPr>
          <w:rFonts w:cs="Arial"/>
          <w:bCs/>
        </w:rPr>
        <w:t xml:space="preserve">200 společností z 28 zemí. </w:t>
      </w:r>
    </w:p>
    <w:p w14:paraId="3B85D97C" w14:textId="77777777" w:rsidR="000C292F" w:rsidRPr="00AC713D" w:rsidRDefault="000C292F" w:rsidP="000C292F">
      <w:pPr>
        <w:rPr>
          <w:rFonts w:cs="Arial"/>
        </w:rPr>
      </w:pPr>
      <w:r w:rsidRPr="00AC713D">
        <w:rPr>
          <w:rFonts w:cs="Arial"/>
          <w:b/>
        </w:rPr>
        <w:t>EGAP</w:t>
      </w:r>
      <w:r w:rsidRPr="00AC713D">
        <w:rPr>
          <w:rFonts w:cs="Arial"/>
        </w:rPr>
        <w:t xml:space="preserve"> – Exportní garanční a pojišťovací společnost, a.s. (EGAP) založená v červnu 1992 jako státní úvěrová pojišťovna se zaměřením na pojišťování vývozních úvěrů proti teritoriálním a tržně nepojistitelným komerčním rizikům spojeným s vývozem zboží a služeb z České republiky. Společnost EGAP se stala součástí systému státní podpory exportu a poskytuje pojišťovací služby všem vývozcům českého zboží, služeb a investic.</w:t>
      </w:r>
    </w:p>
    <w:p w14:paraId="18F54FA7" w14:textId="77777777" w:rsidR="000C292F" w:rsidRPr="00AC713D" w:rsidRDefault="000C292F" w:rsidP="000C292F">
      <w:pPr>
        <w:rPr>
          <w:rFonts w:cs="Arial"/>
        </w:rPr>
      </w:pPr>
      <w:r w:rsidRPr="00AC713D">
        <w:rPr>
          <w:rFonts w:cs="Arial"/>
          <w:b/>
        </w:rPr>
        <w:t>EMEA</w:t>
      </w:r>
      <w:r w:rsidRPr="00AC713D">
        <w:rPr>
          <w:rFonts w:cs="Arial"/>
        </w:rPr>
        <w:t xml:space="preserve"> – Evropa, Střední východ a Afrika.</w:t>
      </w:r>
    </w:p>
    <w:p w14:paraId="15FD78D6" w14:textId="77777777" w:rsidR="000C292F" w:rsidRPr="00AC713D" w:rsidRDefault="000C292F" w:rsidP="000C292F">
      <w:pPr>
        <w:rPr>
          <w:rFonts w:cs="Arial"/>
        </w:rPr>
      </w:pPr>
      <w:r w:rsidRPr="00AC713D">
        <w:rPr>
          <w:rFonts w:cs="Arial"/>
          <w:b/>
          <w:bCs/>
        </w:rPr>
        <w:t>IFRS</w:t>
      </w:r>
      <w:r w:rsidRPr="00AC713D">
        <w:rPr>
          <w:rFonts w:cs="Arial"/>
          <w:bCs/>
        </w:rPr>
        <w:t xml:space="preserve"> </w:t>
      </w:r>
      <w:r w:rsidRPr="00AC713D">
        <w:rPr>
          <w:rFonts w:cs="Arial"/>
        </w:rPr>
        <w:t>– Mezinárodní standardy účetního výkaznictví.</w:t>
      </w:r>
    </w:p>
    <w:p w14:paraId="381161F0" w14:textId="77777777" w:rsidR="000C292F" w:rsidRPr="00AC713D" w:rsidRDefault="000C292F" w:rsidP="000C292F">
      <w:pPr>
        <w:rPr>
          <w:rFonts w:cs="Arial"/>
        </w:rPr>
      </w:pPr>
      <w:r w:rsidRPr="00AC713D">
        <w:rPr>
          <w:rFonts w:cs="Arial"/>
          <w:b/>
          <w:bCs/>
        </w:rPr>
        <w:t>IPO</w:t>
      </w:r>
      <w:r w:rsidRPr="00AC713D">
        <w:rPr>
          <w:rFonts w:cs="Arial"/>
        </w:rPr>
        <w:t xml:space="preserve"> – primární emise akcií.</w:t>
      </w:r>
    </w:p>
    <w:p w14:paraId="0DE716DF" w14:textId="77777777" w:rsidR="000C292F" w:rsidRPr="00AC713D" w:rsidRDefault="000C292F" w:rsidP="000C292F">
      <w:pPr>
        <w:rPr>
          <w:rFonts w:cs="Arial"/>
        </w:rPr>
      </w:pPr>
      <w:r w:rsidRPr="00AC713D">
        <w:rPr>
          <w:rFonts w:cs="Arial"/>
          <w:b/>
          <w:bCs/>
        </w:rPr>
        <w:t>IRS</w:t>
      </w:r>
      <w:r w:rsidRPr="00AC713D">
        <w:rPr>
          <w:rFonts w:cs="Arial"/>
        </w:rPr>
        <w:t xml:space="preserve"> – úrokový swap, finanční instrument sloužící k zajištění úrokového rizika.</w:t>
      </w:r>
    </w:p>
    <w:p w14:paraId="756524F4" w14:textId="77777777" w:rsidR="000C292F" w:rsidRPr="00AC713D" w:rsidRDefault="000C292F" w:rsidP="000C292F">
      <w:pPr>
        <w:rPr>
          <w:rFonts w:cs="Arial"/>
        </w:rPr>
      </w:pPr>
      <w:r w:rsidRPr="00AC713D">
        <w:rPr>
          <w:rFonts w:cs="Arial"/>
          <w:b/>
        </w:rPr>
        <w:t>Meltblownová textilie</w:t>
      </w:r>
      <w:r w:rsidRPr="00AC713D">
        <w:rPr>
          <w:rFonts w:cs="Arial"/>
        </w:rPr>
        <w:t xml:space="preserve"> – textilie vyrobená technologií Meltblown.</w:t>
      </w:r>
    </w:p>
    <w:p w14:paraId="44478A78" w14:textId="77777777" w:rsidR="000C292F" w:rsidRPr="00AC713D" w:rsidRDefault="000C292F" w:rsidP="000C292F">
      <w:pPr>
        <w:rPr>
          <w:rFonts w:cs="Arial"/>
        </w:rPr>
      </w:pPr>
      <w:r w:rsidRPr="00AC713D">
        <w:rPr>
          <w:rFonts w:cs="Arial"/>
          <w:b/>
        </w:rPr>
        <w:t>Netkaná textilie</w:t>
      </w:r>
      <w:r w:rsidRPr="00AC713D">
        <w:rPr>
          <w:rFonts w:cs="Arial"/>
        </w:rPr>
        <w:t xml:space="preserve"> – plošný textilní útvar vyrobený z přírodních či syntetických vláken pojený mechanicky, chemicky nebo tepelně (nejedná se při tom o výrobu papíru).</w:t>
      </w:r>
    </w:p>
    <w:p w14:paraId="0797F1BE" w14:textId="4E934BEC" w:rsidR="000C292F" w:rsidRPr="00AC713D" w:rsidRDefault="000C292F" w:rsidP="000C292F">
      <w:pPr>
        <w:rPr>
          <w:rFonts w:cs="Arial"/>
        </w:rPr>
      </w:pPr>
      <w:r w:rsidRPr="00AC713D">
        <w:rPr>
          <w:rFonts w:cs="Arial"/>
          <w:b/>
        </w:rPr>
        <w:t>Polymer</w:t>
      </w:r>
      <w:r w:rsidRPr="00AC713D">
        <w:rPr>
          <w:rFonts w:cs="Arial"/>
        </w:rPr>
        <w:t xml:space="preserve"> – látka složená z molekul (monomerů) pojených kovalentní vazbou do</w:t>
      </w:r>
      <w:r w:rsidR="00603330">
        <w:rPr>
          <w:rFonts w:cs="Arial"/>
        </w:rPr>
        <w:t> </w:t>
      </w:r>
      <w:r w:rsidRPr="00AC713D">
        <w:rPr>
          <w:rFonts w:cs="Arial"/>
        </w:rPr>
        <w:t>velice dlouhých řetězců.</w:t>
      </w:r>
    </w:p>
    <w:p w14:paraId="6B21B8D3" w14:textId="77777777" w:rsidR="000C292F" w:rsidRPr="00AC713D" w:rsidRDefault="000C292F" w:rsidP="000C292F">
      <w:pPr>
        <w:rPr>
          <w:rFonts w:cs="Arial"/>
        </w:rPr>
      </w:pPr>
      <w:r w:rsidRPr="00AC713D">
        <w:rPr>
          <w:rFonts w:cs="Arial"/>
          <w:b/>
        </w:rPr>
        <w:lastRenderedPageBreak/>
        <w:t>Polypropylen/polyetylen</w:t>
      </w:r>
      <w:r w:rsidRPr="00AC713D">
        <w:rPr>
          <w:rFonts w:cs="Arial"/>
        </w:rPr>
        <w:t xml:space="preserve"> – termoplastický polymer skládající se z dlouhých řetězců monomerů (propylen, etylen). Přirozenou vlastností je vodoodpudivost, odolnost vůči chemickým rozpouštědlům, alkáliím a kyselinám.</w:t>
      </w:r>
    </w:p>
    <w:p w14:paraId="07BC5657" w14:textId="07212999" w:rsidR="000C292F" w:rsidRPr="00AC713D" w:rsidRDefault="000C292F" w:rsidP="000C292F">
      <w:pPr>
        <w:rPr>
          <w:rFonts w:cs="Arial"/>
        </w:rPr>
      </w:pPr>
      <w:r w:rsidRPr="00AC713D">
        <w:rPr>
          <w:rFonts w:cs="Arial"/>
          <w:b/>
          <w:bCs/>
        </w:rPr>
        <w:t>Přímětice</w:t>
      </w:r>
      <w:r w:rsidRPr="00AC713D">
        <w:rPr>
          <w:rFonts w:cs="Arial"/>
        </w:rPr>
        <w:t xml:space="preserve"> – dříve samosprávná jednotka, nyní součást předměstí Znojma. </w:t>
      </w:r>
      <w:r w:rsidR="00C838A4" w:rsidRPr="00AC713D">
        <w:rPr>
          <w:rFonts w:cs="Arial"/>
        </w:rPr>
        <w:t xml:space="preserve">Společnost </w:t>
      </w:r>
      <w:r w:rsidRPr="00AC713D">
        <w:rPr>
          <w:rFonts w:cs="Arial"/>
        </w:rPr>
        <w:t>zde provozuje šest výrobních linek.</w:t>
      </w:r>
    </w:p>
    <w:p w14:paraId="5F48F96E" w14:textId="77777777" w:rsidR="000C292F" w:rsidRPr="00AC713D" w:rsidRDefault="000C292F" w:rsidP="000C292F">
      <w:pPr>
        <w:rPr>
          <w:rFonts w:cs="Arial"/>
        </w:rPr>
      </w:pPr>
      <w:r w:rsidRPr="00AC713D">
        <w:rPr>
          <w:rFonts w:cs="Arial"/>
          <w:b/>
          <w:bCs/>
        </w:rPr>
        <w:t>PX</w:t>
      </w:r>
      <w:r w:rsidRPr="00AC713D">
        <w:rPr>
          <w:rFonts w:cs="Arial"/>
          <w:bCs/>
        </w:rPr>
        <w:t xml:space="preserve"> – </w:t>
      </w:r>
      <w:r w:rsidRPr="00AC713D">
        <w:rPr>
          <w:rFonts w:cs="Arial"/>
        </w:rPr>
        <w:t>oficiální index významných emisí (blue chips) kotovaných na Burze cenných papírů Praha.</w:t>
      </w:r>
    </w:p>
    <w:p w14:paraId="0D95E926" w14:textId="77777777" w:rsidR="000C292F" w:rsidRPr="00AC713D" w:rsidRDefault="000C292F" w:rsidP="000C292F">
      <w:pPr>
        <w:rPr>
          <w:rFonts w:cs="Arial"/>
        </w:rPr>
      </w:pPr>
      <w:r w:rsidRPr="00AC713D">
        <w:rPr>
          <w:rFonts w:cs="Arial"/>
          <w:b/>
        </w:rPr>
        <w:t>Reicofil</w:t>
      </w:r>
      <w:r w:rsidRPr="00AC713D">
        <w:rPr>
          <w:rFonts w:cs="Arial"/>
        </w:rPr>
        <w:t xml:space="preserve"> – přední výrobce zařízení na výrobu netkaných textilií.</w:t>
      </w:r>
    </w:p>
    <w:p w14:paraId="4B1E17C4" w14:textId="77777777" w:rsidR="000C292F" w:rsidRPr="00AC713D" w:rsidRDefault="000C292F" w:rsidP="000C292F">
      <w:pPr>
        <w:rPr>
          <w:rFonts w:cs="Arial"/>
        </w:rPr>
      </w:pPr>
      <w:r w:rsidRPr="00AC713D">
        <w:rPr>
          <w:rFonts w:cs="Arial"/>
          <w:b/>
        </w:rPr>
        <w:t>Regranulace</w:t>
      </w:r>
      <w:r w:rsidRPr="00AC713D">
        <w:rPr>
          <w:rFonts w:cs="Arial"/>
        </w:rPr>
        <w:t xml:space="preserve"> – metoda recyklace zbytkových textilií do formy granulí, které mohou být vráceny do výrobního procesu.</w:t>
      </w:r>
    </w:p>
    <w:p w14:paraId="5C82A68C" w14:textId="77777777" w:rsidR="000C292F" w:rsidRPr="00AC713D" w:rsidRDefault="000C292F" w:rsidP="000C292F">
      <w:pPr>
        <w:rPr>
          <w:rFonts w:cs="Arial"/>
        </w:rPr>
      </w:pPr>
      <w:r w:rsidRPr="00AC713D">
        <w:rPr>
          <w:rFonts w:cs="Arial"/>
          <w:b/>
        </w:rPr>
        <w:t>Spunbondová textilie</w:t>
      </w:r>
      <w:r w:rsidRPr="00AC713D">
        <w:rPr>
          <w:rFonts w:cs="Arial"/>
        </w:rPr>
        <w:t xml:space="preserve"> – textilie vyrobená technologií Spunbond/Spunmelt.</w:t>
      </w:r>
    </w:p>
    <w:p w14:paraId="1B3C3BBA" w14:textId="03D48DA8" w:rsidR="000C292F" w:rsidRPr="00AC713D" w:rsidRDefault="000C292F" w:rsidP="000C292F">
      <w:pPr>
        <w:rPr>
          <w:rFonts w:cs="Arial"/>
        </w:rPr>
      </w:pPr>
      <w:r w:rsidRPr="00AC713D">
        <w:rPr>
          <w:rFonts w:cs="Arial"/>
          <w:b/>
        </w:rPr>
        <w:t>Spunmelt/technologie Spunmelt</w:t>
      </w:r>
      <w:r w:rsidRPr="00AC713D">
        <w:rPr>
          <w:rFonts w:cs="Arial"/>
        </w:rPr>
        <w:t xml:space="preserve"> – technologie výroby netkané textilie. Tavenina polymeru je vytlačována do dloužícího kanálu, dloužena chladným vzduchem do</w:t>
      </w:r>
      <w:r w:rsidR="00603330">
        <w:rPr>
          <w:rFonts w:cs="Arial"/>
        </w:rPr>
        <w:t> </w:t>
      </w:r>
      <w:r w:rsidRPr="00AC713D">
        <w:rPr>
          <w:rFonts w:cs="Arial"/>
        </w:rPr>
        <w:t>požadovaného průměru vláken a ukládána na pás.</w:t>
      </w:r>
    </w:p>
    <w:p w14:paraId="70CC1380" w14:textId="77777777" w:rsidR="000C292F" w:rsidRPr="00AC713D" w:rsidRDefault="000C292F" w:rsidP="000C292F">
      <w:pPr>
        <w:rPr>
          <w:rFonts w:cs="Arial"/>
        </w:rPr>
      </w:pPr>
      <w:r w:rsidRPr="00AC713D">
        <w:rPr>
          <w:rFonts w:cs="Arial"/>
          <w:b/>
        </w:rPr>
        <w:t>Technologie Meltblown</w:t>
      </w:r>
      <w:r w:rsidRPr="00AC713D">
        <w:rPr>
          <w:rFonts w:cs="Arial"/>
        </w:rPr>
        <w:t xml:space="preserve"> – technologie výroby netkané textilie, kdy polymer je vytlačován z kapilár, dloužen horkým vzduchem na velmi jemná vlákna (1-10 mikrometrů) a ukládán na pás.</w:t>
      </w:r>
    </w:p>
    <w:p w14:paraId="248F64E6" w14:textId="77777777" w:rsidR="000C292F" w:rsidRPr="00AC713D" w:rsidRDefault="000C292F" w:rsidP="000C292F">
      <w:pPr>
        <w:spacing w:before="0" w:beforeAutospacing="0" w:after="0" w:afterAutospacing="0"/>
        <w:jc w:val="left"/>
        <w:rPr>
          <w:rFonts w:cs="Arial"/>
        </w:rPr>
      </w:pPr>
      <w:r w:rsidRPr="00AC713D">
        <w:rPr>
          <w:rFonts w:cs="Arial"/>
        </w:rPr>
        <w:br w:type="page"/>
      </w:r>
    </w:p>
    <w:p w14:paraId="2C1E84F4" w14:textId="77777777" w:rsidR="000C292F" w:rsidRPr="00AC713D" w:rsidRDefault="000C292F" w:rsidP="000C292F">
      <w:pPr>
        <w:pStyle w:val="Nadpis2"/>
        <w:rPr>
          <w:rFonts w:cs="Arial"/>
        </w:rPr>
      </w:pPr>
      <w:bookmarkStart w:id="111" w:name="_Toc47644477"/>
      <w:r w:rsidRPr="00AC713D">
        <w:rPr>
          <w:rFonts w:cs="Arial"/>
        </w:rPr>
        <w:lastRenderedPageBreak/>
        <w:t>Alternativní měřítka výkonnosti</w:t>
      </w:r>
      <w:bookmarkEnd w:id="111"/>
    </w:p>
    <w:p w14:paraId="29DF3D5D" w14:textId="77777777" w:rsidR="000C292F" w:rsidRPr="00AC713D" w:rsidRDefault="000C292F" w:rsidP="000C292F">
      <w:pPr>
        <w:rPr>
          <w:rFonts w:cs="Arial"/>
        </w:rPr>
      </w:pPr>
      <w:r w:rsidRPr="00AC713D">
        <w:rPr>
          <w:rFonts w:cs="Arial"/>
        </w:rPr>
        <w:t>V souladu se směrnicí ESMA (European Securities and Markets Authority) týkající se transparentnosti a ochrany investorů v Evropské unii obsahuje tento slovník alternativní měřítka výkonnosti, která jsou používána pro vyjádření výkonnosti Společnosti, ale nejsou definována v rámci IFRS výkazů jako standardní měřítka. Definice těchto měřítek umožňuje uživatelům reportů získat dodatečnou informaci pro posouzení ekonomické situace a výkonnosti Společnosti.</w:t>
      </w:r>
    </w:p>
    <w:tbl>
      <w:tblPr>
        <w:tblStyle w:val="Mkatabulky"/>
        <w:tblW w:w="5002" w:type="pct"/>
        <w:tblBorders>
          <w:top w:val="single" w:sz="4" w:space="0" w:color="9C9D9F"/>
          <w:left w:val="single" w:sz="4" w:space="0" w:color="9C9D9F"/>
          <w:bottom w:val="single" w:sz="4" w:space="0" w:color="9C9D9F"/>
          <w:right w:val="single" w:sz="4" w:space="0" w:color="9C9D9F"/>
          <w:insideH w:val="single" w:sz="4" w:space="0" w:color="9C9D9F"/>
          <w:insideV w:val="single" w:sz="4" w:space="0" w:color="9C9D9F"/>
        </w:tblBorders>
        <w:tblLayout w:type="fixed"/>
        <w:tblLook w:val="04A0" w:firstRow="1" w:lastRow="0" w:firstColumn="1" w:lastColumn="0" w:noHBand="0" w:noVBand="1"/>
      </w:tblPr>
      <w:tblGrid>
        <w:gridCol w:w="1188"/>
        <w:gridCol w:w="2702"/>
        <w:gridCol w:w="2702"/>
        <w:gridCol w:w="2700"/>
      </w:tblGrid>
      <w:tr w:rsidR="000C292F" w:rsidRPr="00AC713D" w14:paraId="0AD9A620" w14:textId="77777777" w:rsidTr="006670C4">
        <w:tc>
          <w:tcPr>
            <w:tcW w:w="639" w:type="pct"/>
            <w:shd w:val="clear" w:color="auto" w:fill="2A7FC6"/>
          </w:tcPr>
          <w:p w14:paraId="7441DF84" w14:textId="77777777" w:rsidR="000C292F" w:rsidRPr="00AC713D" w:rsidRDefault="000C292F" w:rsidP="00E431E6">
            <w:pPr>
              <w:ind w:right="-105"/>
              <w:jc w:val="left"/>
              <w:rPr>
                <w:rFonts w:cs="Arial"/>
                <w:b/>
                <w:color w:val="FFFFFF" w:themeColor="background1"/>
                <w:sz w:val="20"/>
                <w:szCs w:val="20"/>
              </w:rPr>
            </w:pPr>
            <w:r w:rsidRPr="00AC713D">
              <w:rPr>
                <w:rFonts w:cs="Arial"/>
                <w:b/>
                <w:color w:val="FFFFFF" w:themeColor="background1"/>
                <w:sz w:val="20"/>
                <w:szCs w:val="20"/>
              </w:rPr>
              <w:t>Měřítko výkonnosti</w:t>
            </w:r>
          </w:p>
        </w:tc>
        <w:tc>
          <w:tcPr>
            <w:tcW w:w="1454" w:type="pct"/>
            <w:shd w:val="clear" w:color="auto" w:fill="2A7FC6"/>
          </w:tcPr>
          <w:p w14:paraId="1E28B6C7" w14:textId="77777777" w:rsidR="000C292F" w:rsidRPr="00AC713D" w:rsidRDefault="000C292F" w:rsidP="00E431E6">
            <w:pPr>
              <w:jc w:val="left"/>
              <w:rPr>
                <w:rFonts w:cs="Arial"/>
                <w:b/>
                <w:color w:val="FFFFFF" w:themeColor="background1"/>
                <w:sz w:val="20"/>
                <w:szCs w:val="20"/>
              </w:rPr>
            </w:pPr>
            <w:r w:rsidRPr="00AC713D">
              <w:rPr>
                <w:rFonts w:cs="Arial"/>
                <w:b/>
                <w:color w:val="FFFFFF" w:themeColor="background1"/>
                <w:sz w:val="20"/>
                <w:szCs w:val="20"/>
              </w:rPr>
              <w:t>Definice</w:t>
            </w:r>
          </w:p>
        </w:tc>
        <w:tc>
          <w:tcPr>
            <w:tcW w:w="1454" w:type="pct"/>
            <w:shd w:val="clear" w:color="auto" w:fill="2A7FC6"/>
          </w:tcPr>
          <w:p w14:paraId="1AF8B275" w14:textId="77777777" w:rsidR="000C292F" w:rsidRPr="00AC713D" w:rsidRDefault="000C292F" w:rsidP="00E431E6">
            <w:pPr>
              <w:jc w:val="left"/>
              <w:rPr>
                <w:rFonts w:cs="Arial"/>
                <w:b/>
                <w:color w:val="FFFFFF" w:themeColor="background1"/>
                <w:sz w:val="20"/>
                <w:szCs w:val="20"/>
              </w:rPr>
            </w:pPr>
            <w:r w:rsidRPr="00AC713D">
              <w:rPr>
                <w:rFonts w:cs="Arial"/>
                <w:b/>
                <w:color w:val="FFFFFF" w:themeColor="background1"/>
                <w:sz w:val="20"/>
                <w:szCs w:val="20"/>
              </w:rPr>
              <w:t>Účel</w:t>
            </w:r>
          </w:p>
        </w:tc>
        <w:tc>
          <w:tcPr>
            <w:tcW w:w="1454" w:type="pct"/>
            <w:shd w:val="clear" w:color="auto" w:fill="2A7FC6"/>
          </w:tcPr>
          <w:p w14:paraId="51E2F4E4" w14:textId="77777777" w:rsidR="000C292F" w:rsidRPr="00AC713D" w:rsidRDefault="000C292F" w:rsidP="00E431E6">
            <w:pPr>
              <w:ind w:right="-104"/>
              <w:jc w:val="left"/>
              <w:rPr>
                <w:rFonts w:cs="Arial"/>
                <w:b/>
                <w:color w:val="FFFFFF" w:themeColor="background1"/>
                <w:sz w:val="20"/>
                <w:szCs w:val="20"/>
              </w:rPr>
            </w:pPr>
            <w:r w:rsidRPr="00AC713D">
              <w:rPr>
                <w:rFonts w:cs="Arial"/>
                <w:b/>
                <w:color w:val="FFFFFF" w:themeColor="background1"/>
                <w:sz w:val="20"/>
                <w:szCs w:val="20"/>
              </w:rPr>
              <w:t xml:space="preserve">Sesouhlasení s účetní závěrkou </w:t>
            </w:r>
          </w:p>
        </w:tc>
      </w:tr>
      <w:tr w:rsidR="000C292F" w:rsidRPr="00AC713D" w14:paraId="325FCC7F" w14:textId="77777777" w:rsidTr="006670C4">
        <w:tc>
          <w:tcPr>
            <w:tcW w:w="639" w:type="pct"/>
          </w:tcPr>
          <w:p w14:paraId="5AC6BE30" w14:textId="77777777" w:rsidR="000C292F" w:rsidRPr="00AC713D" w:rsidRDefault="000C292F" w:rsidP="00E431E6">
            <w:pPr>
              <w:jc w:val="left"/>
              <w:rPr>
                <w:rFonts w:cs="Arial"/>
                <w:b/>
                <w:bCs/>
                <w:sz w:val="20"/>
                <w:szCs w:val="20"/>
              </w:rPr>
            </w:pPr>
            <w:r w:rsidRPr="00AC713D">
              <w:rPr>
                <w:rFonts w:cs="Arial"/>
                <w:b/>
                <w:bCs/>
                <w:sz w:val="20"/>
                <w:szCs w:val="20"/>
              </w:rPr>
              <w:t>CAPEX</w:t>
            </w:r>
          </w:p>
        </w:tc>
        <w:tc>
          <w:tcPr>
            <w:tcW w:w="1454" w:type="pct"/>
          </w:tcPr>
          <w:p w14:paraId="157B29DB" w14:textId="77777777" w:rsidR="000C292F" w:rsidRPr="00AC713D" w:rsidRDefault="000C292F" w:rsidP="00E431E6">
            <w:pPr>
              <w:jc w:val="left"/>
              <w:rPr>
                <w:rFonts w:cs="Arial"/>
                <w:sz w:val="20"/>
                <w:szCs w:val="20"/>
              </w:rPr>
            </w:pPr>
            <w:r w:rsidRPr="00AC713D">
              <w:rPr>
                <w:rFonts w:cs="Arial"/>
                <w:sz w:val="20"/>
                <w:szCs w:val="20"/>
              </w:rPr>
              <w:t>Investiční výdaje do nehmotného majetku a pozemků, budov a zařízení, včetně investičních výdajů financovaných leasingem</w:t>
            </w:r>
          </w:p>
        </w:tc>
        <w:tc>
          <w:tcPr>
            <w:tcW w:w="1454" w:type="pct"/>
          </w:tcPr>
          <w:p w14:paraId="3101780C" w14:textId="77777777" w:rsidR="000C292F" w:rsidRPr="00AC713D" w:rsidRDefault="000C292F" w:rsidP="00E431E6">
            <w:pPr>
              <w:jc w:val="left"/>
              <w:rPr>
                <w:rFonts w:cs="Arial"/>
                <w:sz w:val="20"/>
                <w:szCs w:val="20"/>
              </w:rPr>
            </w:pPr>
            <w:r w:rsidRPr="00AC713D">
              <w:rPr>
                <w:rFonts w:cs="Arial"/>
                <w:sz w:val="20"/>
                <w:szCs w:val="20"/>
              </w:rPr>
              <w:t>Zobrazuje množství dostupných prostředků investovaných do operací k zajištění dlouhodobé výnosnosti.</w:t>
            </w:r>
          </w:p>
        </w:tc>
        <w:tc>
          <w:tcPr>
            <w:tcW w:w="1454" w:type="pct"/>
          </w:tcPr>
          <w:p w14:paraId="206734C2" w14:textId="0F3F36E2" w:rsidR="000C292F" w:rsidRPr="00AC713D" w:rsidRDefault="000C292F" w:rsidP="002E3A91">
            <w:pPr>
              <w:ind w:right="-104"/>
              <w:jc w:val="left"/>
              <w:rPr>
                <w:rFonts w:cs="Arial"/>
                <w:sz w:val="20"/>
                <w:szCs w:val="20"/>
              </w:rPr>
            </w:pPr>
            <w:r w:rsidRPr="00AC713D">
              <w:rPr>
                <w:rFonts w:cs="Arial"/>
                <w:sz w:val="20"/>
                <w:szCs w:val="20"/>
              </w:rPr>
              <w:t xml:space="preserve">Viz </w:t>
            </w:r>
            <w:r w:rsidR="002E3A91" w:rsidRPr="00AC713D">
              <w:rPr>
                <w:rFonts w:cs="Arial"/>
              </w:rPr>
              <w:t xml:space="preserve"> </w:t>
            </w:r>
            <w:r w:rsidR="002E3A91" w:rsidRPr="00AC713D">
              <w:rPr>
                <w:rFonts w:cs="Arial"/>
                <w:sz w:val="20"/>
                <w:szCs w:val="20"/>
              </w:rPr>
              <w:t>Konsolidovaný přehled o peněžních tocích ve zkrácené podobě</w:t>
            </w:r>
            <w:r w:rsidR="002E3A91" w:rsidRPr="00AC713D" w:rsidDel="002E3A91">
              <w:rPr>
                <w:rFonts w:cs="Arial"/>
                <w:sz w:val="20"/>
                <w:szCs w:val="20"/>
              </w:rPr>
              <w:t xml:space="preserve"> </w:t>
            </w:r>
            <w:r w:rsidRPr="00AC713D">
              <w:rPr>
                <w:rFonts w:cs="Arial"/>
                <w:sz w:val="20"/>
                <w:szCs w:val="20"/>
              </w:rPr>
              <w:t>(řádek Čisté peněžní toky z investiční činnosti).</w:t>
            </w:r>
          </w:p>
        </w:tc>
      </w:tr>
      <w:tr w:rsidR="000C292F" w:rsidRPr="00AC713D" w14:paraId="3A75CFF9" w14:textId="77777777" w:rsidTr="006670C4">
        <w:tc>
          <w:tcPr>
            <w:tcW w:w="639" w:type="pct"/>
          </w:tcPr>
          <w:p w14:paraId="2034EBB2" w14:textId="77777777" w:rsidR="000C292F" w:rsidRPr="00AC713D" w:rsidRDefault="000C292F" w:rsidP="00E431E6">
            <w:pPr>
              <w:jc w:val="left"/>
              <w:rPr>
                <w:rFonts w:cs="Arial"/>
                <w:b/>
                <w:bCs/>
                <w:sz w:val="20"/>
                <w:szCs w:val="20"/>
              </w:rPr>
            </w:pPr>
            <w:r w:rsidRPr="00AC713D">
              <w:rPr>
                <w:rFonts w:cs="Arial"/>
                <w:b/>
                <w:bCs/>
                <w:sz w:val="20"/>
                <w:szCs w:val="20"/>
              </w:rPr>
              <w:t>Čistý dluh</w:t>
            </w:r>
          </w:p>
        </w:tc>
        <w:tc>
          <w:tcPr>
            <w:tcW w:w="1454" w:type="pct"/>
          </w:tcPr>
          <w:p w14:paraId="2942D10D" w14:textId="28F3E733" w:rsidR="000C292F" w:rsidRPr="00AC713D" w:rsidRDefault="000C292F" w:rsidP="00AF6E81">
            <w:pPr>
              <w:jc w:val="left"/>
              <w:rPr>
                <w:rFonts w:cs="Arial"/>
                <w:bCs/>
                <w:sz w:val="20"/>
                <w:szCs w:val="20"/>
              </w:rPr>
            </w:pPr>
            <w:r w:rsidRPr="00AC713D">
              <w:rPr>
                <w:rFonts w:cs="Arial"/>
                <w:sz w:val="20"/>
                <w:szCs w:val="20"/>
              </w:rPr>
              <w:t xml:space="preserve">Finanční ukazatel počítaný jako: Dlouhodobé </w:t>
            </w:r>
            <w:r w:rsidR="00AF6E81" w:rsidRPr="00AC713D">
              <w:rPr>
                <w:rFonts w:cs="Arial"/>
                <w:sz w:val="20"/>
                <w:szCs w:val="20"/>
              </w:rPr>
              <w:t xml:space="preserve">bankovní úvěry </w:t>
            </w:r>
            <w:r w:rsidRPr="00AC713D">
              <w:rPr>
                <w:rFonts w:cs="Arial"/>
                <w:sz w:val="20"/>
                <w:szCs w:val="20"/>
              </w:rPr>
              <w:t xml:space="preserve">+ </w:t>
            </w:r>
            <w:r w:rsidR="00AF6E81" w:rsidRPr="00AC713D">
              <w:rPr>
                <w:rFonts w:cs="Arial"/>
                <w:sz w:val="20"/>
                <w:szCs w:val="20"/>
              </w:rPr>
              <w:t>Dlouhodobé dluhopisy</w:t>
            </w:r>
            <w:r w:rsidRPr="00AC713D">
              <w:rPr>
                <w:rFonts w:cs="Arial"/>
                <w:sz w:val="20"/>
                <w:szCs w:val="20"/>
              </w:rPr>
              <w:t xml:space="preserve"> + </w:t>
            </w:r>
            <w:r w:rsidR="00AF6E81" w:rsidRPr="00AC713D">
              <w:rPr>
                <w:rFonts w:cs="Arial"/>
                <w:sz w:val="20"/>
                <w:szCs w:val="20"/>
              </w:rPr>
              <w:t>Krátkodobé bankovní úvěry + Krátkodobé dluhopisy</w:t>
            </w:r>
            <w:r w:rsidRPr="00AC713D">
              <w:rPr>
                <w:rFonts w:cs="Arial"/>
                <w:sz w:val="20"/>
                <w:szCs w:val="20"/>
              </w:rPr>
              <w:t xml:space="preserve"> – (</w:t>
            </w:r>
            <w:r w:rsidR="00AF6E81" w:rsidRPr="00AC713D">
              <w:rPr>
                <w:rFonts w:cs="Arial"/>
                <w:sz w:val="20"/>
                <w:szCs w:val="20"/>
              </w:rPr>
              <w:t>Peníze a peněžní ekvivalenty</w:t>
            </w:r>
            <w:r w:rsidRPr="00AC713D">
              <w:rPr>
                <w:rFonts w:cs="Arial"/>
                <w:sz w:val="20"/>
                <w:szCs w:val="20"/>
              </w:rPr>
              <w:t>)</w:t>
            </w:r>
          </w:p>
        </w:tc>
        <w:tc>
          <w:tcPr>
            <w:tcW w:w="1454" w:type="pct"/>
          </w:tcPr>
          <w:p w14:paraId="035A9AD8" w14:textId="77777777" w:rsidR="000C292F" w:rsidRPr="00AC713D" w:rsidRDefault="000C292F" w:rsidP="00E431E6">
            <w:pPr>
              <w:jc w:val="left"/>
              <w:rPr>
                <w:rFonts w:cs="Arial"/>
                <w:sz w:val="20"/>
                <w:szCs w:val="20"/>
              </w:rPr>
            </w:pPr>
            <w:r w:rsidRPr="00AC713D">
              <w:rPr>
                <w:rFonts w:cs="Arial"/>
                <w:sz w:val="20"/>
                <w:szCs w:val="20"/>
              </w:rPr>
              <w:t>Ukazatel vyjadřuje reálný stav finančního dluhu Společnosti, tj. nominální hodnotu dluhů sníženou o peněžní prostředky, peněžní ekvivalenty a vysoce likvidní finanční aktiva společnosti. Využití ukazatele je primárně při posuzování celkové přiměřenosti zadlužení Společnosti, tj. např. při porovnání s vybranými ziskovými či bilančními ukazateli Společnosti.</w:t>
            </w:r>
          </w:p>
        </w:tc>
        <w:tc>
          <w:tcPr>
            <w:tcW w:w="1454" w:type="pct"/>
          </w:tcPr>
          <w:p w14:paraId="45F31002" w14:textId="11605D2A" w:rsidR="000C292F" w:rsidRDefault="000C292F" w:rsidP="00E431E6">
            <w:pPr>
              <w:spacing w:before="0" w:beforeAutospacing="0" w:after="0" w:afterAutospacing="0"/>
              <w:ind w:right="-104"/>
              <w:jc w:val="left"/>
              <w:rPr>
                <w:rFonts w:cs="Arial"/>
                <w:sz w:val="20"/>
                <w:szCs w:val="20"/>
              </w:rPr>
            </w:pPr>
            <w:r w:rsidRPr="00AC713D">
              <w:rPr>
                <w:rFonts w:cs="Arial"/>
                <w:sz w:val="20"/>
                <w:szCs w:val="20"/>
              </w:rPr>
              <w:t xml:space="preserve">Viz </w:t>
            </w:r>
            <w:r w:rsidR="002E3A91" w:rsidRPr="00AC713D">
              <w:rPr>
                <w:rFonts w:cs="Arial"/>
                <w:sz w:val="20"/>
                <w:szCs w:val="20"/>
              </w:rPr>
              <w:t>Hlavní údaje za první pololetí 20</w:t>
            </w:r>
            <w:r w:rsidR="006951E8">
              <w:rPr>
                <w:rFonts w:cs="Arial"/>
                <w:sz w:val="20"/>
                <w:szCs w:val="20"/>
              </w:rPr>
              <w:t>20</w:t>
            </w:r>
            <w:r w:rsidR="002E3A91" w:rsidRPr="00AC713D">
              <w:rPr>
                <w:rFonts w:cs="Arial"/>
                <w:sz w:val="20"/>
                <w:szCs w:val="20"/>
              </w:rPr>
              <w:t xml:space="preserve"> v mil. Kč</w:t>
            </w:r>
            <w:r w:rsidRPr="00AC713D">
              <w:rPr>
                <w:rFonts w:cs="Arial"/>
                <w:sz w:val="20"/>
                <w:szCs w:val="20"/>
              </w:rPr>
              <w:t>:</w:t>
            </w:r>
          </w:p>
          <w:p w14:paraId="1A2E3EB7" w14:textId="6A30ADA6" w:rsidR="006951E8" w:rsidRPr="00AC713D" w:rsidRDefault="006951E8" w:rsidP="006951E8">
            <w:pPr>
              <w:spacing w:before="0" w:beforeAutospacing="0" w:after="0" w:afterAutospacing="0"/>
              <w:ind w:right="-104"/>
              <w:jc w:val="left"/>
              <w:rPr>
                <w:rFonts w:cs="Arial"/>
                <w:sz w:val="20"/>
                <w:szCs w:val="20"/>
              </w:rPr>
            </w:pPr>
            <w:r w:rsidRPr="00AC713D">
              <w:rPr>
                <w:rFonts w:cs="Arial"/>
                <w:sz w:val="20"/>
                <w:szCs w:val="20"/>
              </w:rPr>
              <w:t>1-6/20</w:t>
            </w:r>
            <w:r>
              <w:rPr>
                <w:rFonts w:cs="Arial"/>
                <w:sz w:val="20"/>
                <w:szCs w:val="20"/>
              </w:rPr>
              <w:t>20</w:t>
            </w:r>
            <w:r w:rsidRPr="00AC713D">
              <w:rPr>
                <w:rFonts w:cs="Arial"/>
                <w:sz w:val="20"/>
                <w:szCs w:val="20"/>
              </w:rPr>
              <w:t xml:space="preserve">: 0 + </w:t>
            </w:r>
            <w:r>
              <w:rPr>
                <w:rFonts w:cs="Arial"/>
                <w:sz w:val="20"/>
                <w:szCs w:val="20"/>
              </w:rPr>
              <w:t>4 012,8</w:t>
            </w:r>
            <w:r w:rsidRPr="00AC713D">
              <w:rPr>
                <w:rFonts w:cs="Arial"/>
                <w:sz w:val="20"/>
                <w:szCs w:val="20"/>
              </w:rPr>
              <w:t xml:space="preserve">+ </w:t>
            </w:r>
            <w:r>
              <w:rPr>
                <w:rFonts w:cs="Arial"/>
                <w:sz w:val="20"/>
                <w:szCs w:val="20"/>
              </w:rPr>
              <w:t>1 015,0</w:t>
            </w:r>
            <w:r w:rsidRPr="00AC713D">
              <w:rPr>
                <w:rFonts w:cs="Arial"/>
                <w:sz w:val="20"/>
                <w:szCs w:val="20"/>
              </w:rPr>
              <w:t xml:space="preserve"> – </w:t>
            </w:r>
            <w:r w:rsidR="00945301">
              <w:rPr>
                <w:rFonts w:cs="Arial"/>
                <w:sz w:val="20"/>
                <w:szCs w:val="20"/>
              </w:rPr>
              <w:t>250,0</w:t>
            </w:r>
            <w:r w:rsidRPr="00AC713D">
              <w:rPr>
                <w:rFonts w:cs="Arial"/>
                <w:sz w:val="20"/>
                <w:szCs w:val="20"/>
              </w:rPr>
              <w:t xml:space="preserve"> = 4</w:t>
            </w:r>
            <w:r w:rsidR="00945301">
              <w:rPr>
                <w:rFonts w:cs="Arial"/>
                <w:sz w:val="20"/>
                <w:szCs w:val="20"/>
              </w:rPr>
              <w:t> 777,8</w:t>
            </w:r>
          </w:p>
          <w:p w14:paraId="29A9280E" w14:textId="77777777" w:rsidR="006951E8" w:rsidRPr="00AC713D" w:rsidRDefault="006951E8" w:rsidP="00E431E6">
            <w:pPr>
              <w:spacing w:before="0" w:beforeAutospacing="0" w:after="0" w:afterAutospacing="0"/>
              <w:ind w:right="-104"/>
              <w:jc w:val="left"/>
              <w:rPr>
                <w:rFonts w:cs="Arial"/>
                <w:sz w:val="20"/>
                <w:szCs w:val="20"/>
              </w:rPr>
            </w:pPr>
          </w:p>
          <w:p w14:paraId="3162E848" w14:textId="0893C242" w:rsidR="000C292F" w:rsidRPr="00AC713D" w:rsidRDefault="000C292F" w:rsidP="007267FB">
            <w:pPr>
              <w:spacing w:before="0" w:beforeAutospacing="0" w:after="0" w:afterAutospacing="0"/>
              <w:ind w:right="-104"/>
              <w:jc w:val="left"/>
              <w:rPr>
                <w:rFonts w:cs="Arial"/>
                <w:sz w:val="20"/>
                <w:szCs w:val="20"/>
              </w:rPr>
            </w:pPr>
          </w:p>
        </w:tc>
      </w:tr>
      <w:tr w:rsidR="000C292F" w:rsidRPr="00AC713D" w14:paraId="37099929" w14:textId="77777777" w:rsidTr="006670C4">
        <w:tc>
          <w:tcPr>
            <w:tcW w:w="639" w:type="pct"/>
          </w:tcPr>
          <w:p w14:paraId="54B857AD" w14:textId="77777777" w:rsidR="000C292F" w:rsidRPr="00AC713D" w:rsidRDefault="000C292F" w:rsidP="00E431E6">
            <w:pPr>
              <w:jc w:val="left"/>
              <w:rPr>
                <w:rFonts w:cs="Arial"/>
                <w:b/>
                <w:bCs/>
                <w:sz w:val="20"/>
                <w:szCs w:val="20"/>
              </w:rPr>
            </w:pPr>
            <w:r w:rsidRPr="00AC713D">
              <w:rPr>
                <w:rFonts w:cs="Arial"/>
                <w:b/>
                <w:bCs/>
                <w:sz w:val="20"/>
                <w:szCs w:val="20"/>
              </w:rPr>
              <w:t>Čistý dluh/ EBITDA</w:t>
            </w:r>
          </w:p>
        </w:tc>
        <w:tc>
          <w:tcPr>
            <w:tcW w:w="1454" w:type="pct"/>
          </w:tcPr>
          <w:p w14:paraId="3F0867FB" w14:textId="77777777" w:rsidR="000C292F" w:rsidRPr="00AC713D" w:rsidRDefault="000C292F" w:rsidP="00E431E6">
            <w:pPr>
              <w:jc w:val="left"/>
              <w:rPr>
                <w:rFonts w:cs="Arial"/>
                <w:bCs/>
                <w:sz w:val="20"/>
                <w:szCs w:val="20"/>
              </w:rPr>
            </w:pPr>
            <w:r w:rsidRPr="00AC713D">
              <w:rPr>
                <w:rFonts w:cs="Arial"/>
                <w:sz w:val="20"/>
                <w:szCs w:val="20"/>
              </w:rPr>
              <w:t>Čistý dluh/EBITDA, přičemž u EBITDA se používá klouzavá hodnota za posledních 12 měsíců.</w:t>
            </w:r>
          </w:p>
        </w:tc>
        <w:tc>
          <w:tcPr>
            <w:tcW w:w="1454" w:type="pct"/>
          </w:tcPr>
          <w:p w14:paraId="4089E3BF" w14:textId="77777777" w:rsidR="000C292F" w:rsidRPr="00AC713D" w:rsidRDefault="000C292F" w:rsidP="00E431E6">
            <w:pPr>
              <w:jc w:val="left"/>
              <w:rPr>
                <w:rFonts w:cs="Arial"/>
                <w:sz w:val="20"/>
                <w:szCs w:val="20"/>
              </w:rPr>
            </w:pPr>
            <w:r w:rsidRPr="00AC713D">
              <w:rPr>
                <w:rFonts w:cs="Arial"/>
                <w:sz w:val="20"/>
                <w:szCs w:val="20"/>
              </w:rPr>
              <w:t>Vyjadřuje schopnost Společnosti snižovat a splácet svůj dluh a na druhou stranu také její možnosti přijmout další dluh pro rozvoj podnikání. Ukazatel přibližně vyjadřuje, za jak dlouho je Společnost schopna splatit své dluhy ze svého primárního zdroje provozního cash flow.</w:t>
            </w:r>
          </w:p>
        </w:tc>
        <w:tc>
          <w:tcPr>
            <w:tcW w:w="1454" w:type="pct"/>
          </w:tcPr>
          <w:p w14:paraId="04F2EEE2" w14:textId="23B00A26" w:rsidR="000C292F" w:rsidRDefault="000C292F" w:rsidP="00E431E6">
            <w:pPr>
              <w:spacing w:before="0" w:beforeAutospacing="0" w:after="0" w:afterAutospacing="0"/>
              <w:ind w:right="-104"/>
              <w:jc w:val="left"/>
              <w:rPr>
                <w:rFonts w:cs="Arial"/>
                <w:sz w:val="20"/>
                <w:szCs w:val="20"/>
              </w:rPr>
            </w:pPr>
            <w:r w:rsidRPr="00AC713D">
              <w:rPr>
                <w:rFonts w:cs="Arial"/>
                <w:sz w:val="20"/>
                <w:szCs w:val="20"/>
              </w:rPr>
              <w:t xml:space="preserve">Viz </w:t>
            </w:r>
            <w:r w:rsidR="002E3A91" w:rsidRPr="00AC713D">
              <w:rPr>
                <w:rFonts w:cs="Arial"/>
                <w:sz w:val="20"/>
                <w:szCs w:val="20"/>
              </w:rPr>
              <w:t xml:space="preserve">Finanční výsledky za první pololetí </w:t>
            </w:r>
            <w:r w:rsidR="00945301" w:rsidRPr="00AC713D">
              <w:rPr>
                <w:rFonts w:cs="Arial"/>
                <w:sz w:val="20"/>
                <w:szCs w:val="20"/>
              </w:rPr>
              <w:t>20</w:t>
            </w:r>
            <w:r w:rsidR="00945301">
              <w:rPr>
                <w:rFonts w:cs="Arial"/>
                <w:sz w:val="20"/>
                <w:szCs w:val="20"/>
              </w:rPr>
              <w:t>20</w:t>
            </w:r>
            <w:r w:rsidR="00945301" w:rsidRPr="00AC713D">
              <w:rPr>
                <w:rFonts w:cs="Arial"/>
                <w:sz w:val="20"/>
                <w:szCs w:val="20"/>
              </w:rPr>
              <w:t xml:space="preserve"> </w:t>
            </w:r>
            <w:r w:rsidR="002E3A91" w:rsidRPr="00AC713D">
              <w:rPr>
                <w:rFonts w:cs="Arial"/>
                <w:sz w:val="20"/>
                <w:szCs w:val="20"/>
              </w:rPr>
              <w:t xml:space="preserve">– Peníze a zadluženost </w:t>
            </w:r>
            <w:r w:rsidRPr="00AC713D">
              <w:rPr>
                <w:rFonts w:cs="Arial"/>
                <w:sz w:val="20"/>
                <w:szCs w:val="20"/>
              </w:rPr>
              <w:t xml:space="preserve">v mil. </w:t>
            </w:r>
            <w:r w:rsidR="002E3A91" w:rsidRPr="00AC713D">
              <w:rPr>
                <w:rFonts w:cs="Arial"/>
                <w:sz w:val="20"/>
                <w:szCs w:val="20"/>
              </w:rPr>
              <w:t>Kč</w:t>
            </w:r>
            <w:r w:rsidRPr="00AC713D">
              <w:rPr>
                <w:rFonts w:cs="Arial"/>
                <w:sz w:val="20"/>
                <w:szCs w:val="20"/>
              </w:rPr>
              <w:t>:</w:t>
            </w:r>
          </w:p>
          <w:p w14:paraId="48363D4E" w14:textId="00FC695D" w:rsidR="00945301" w:rsidRPr="00AC713D" w:rsidRDefault="00945301" w:rsidP="00E431E6">
            <w:pPr>
              <w:spacing w:before="0" w:beforeAutospacing="0" w:after="0" w:afterAutospacing="0"/>
              <w:ind w:right="-104"/>
              <w:jc w:val="left"/>
              <w:rPr>
                <w:rFonts w:cs="Arial"/>
                <w:sz w:val="20"/>
                <w:szCs w:val="20"/>
              </w:rPr>
            </w:pPr>
            <w:r>
              <w:rPr>
                <w:rFonts w:cs="Arial"/>
                <w:sz w:val="20"/>
                <w:szCs w:val="20"/>
              </w:rPr>
              <w:t xml:space="preserve">2020: 4 777,8 / </w:t>
            </w:r>
            <w:r w:rsidR="006829FD">
              <w:rPr>
                <w:rFonts w:cs="Arial"/>
                <w:sz w:val="20"/>
                <w:szCs w:val="20"/>
              </w:rPr>
              <w:t>1 271</w:t>
            </w:r>
            <w:r w:rsidR="00B17DDD">
              <w:rPr>
                <w:rFonts w:cs="Arial"/>
                <w:sz w:val="20"/>
                <w:szCs w:val="20"/>
              </w:rPr>
              <w:t>,3</w:t>
            </w:r>
            <w:r>
              <w:rPr>
                <w:rFonts w:cs="Arial"/>
                <w:sz w:val="20"/>
                <w:szCs w:val="20"/>
              </w:rPr>
              <w:t xml:space="preserve"> = 3,</w:t>
            </w:r>
            <w:r w:rsidR="006829FD">
              <w:rPr>
                <w:rFonts w:cs="Arial"/>
                <w:sz w:val="20"/>
                <w:szCs w:val="20"/>
              </w:rPr>
              <w:t>76</w:t>
            </w:r>
          </w:p>
          <w:p w14:paraId="30408A62" w14:textId="4257B98E" w:rsidR="000C292F" w:rsidRPr="00AC713D" w:rsidRDefault="000C292F" w:rsidP="00972840">
            <w:pPr>
              <w:spacing w:before="0" w:beforeAutospacing="0" w:after="240" w:afterAutospacing="0"/>
              <w:ind w:right="-104"/>
              <w:jc w:val="left"/>
              <w:rPr>
                <w:rFonts w:cs="Arial"/>
                <w:sz w:val="20"/>
                <w:szCs w:val="20"/>
              </w:rPr>
            </w:pPr>
          </w:p>
        </w:tc>
      </w:tr>
      <w:tr w:rsidR="000C292F" w:rsidRPr="00AC713D" w14:paraId="0E78B555" w14:textId="77777777" w:rsidTr="006670C4">
        <w:tc>
          <w:tcPr>
            <w:tcW w:w="639" w:type="pct"/>
          </w:tcPr>
          <w:p w14:paraId="06457F48" w14:textId="77777777" w:rsidR="000C292F" w:rsidRPr="00AC713D" w:rsidRDefault="000C292F" w:rsidP="00E431E6">
            <w:pPr>
              <w:jc w:val="left"/>
              <w:rPr>
                <w:rFonts w:cs="Arial"/>
                <w:b/>
                <w:bCs/>
                <w:sz w:val="20"/>
                <w:szCs w:val="20"/>
              </w:rPr>
            </w:pPr>
            <w:r w:rsidRPr="00AC713D">
              <w:rPr>
                <w:rFonts w:cs="Arial"/>
                <w:b/>
                <w:bCs/>
                <w:sz w:val="20"/>
                <w:szCs w:val="20"/>
              </w:rPr>
              <w:t xml:space="preserve">EBIT  </w:t>
            </w:r>
          </w:p>
          <w:p w14:paraId="3330A847" w14:textId="77777777" w:rsidR="000C292F" w:rsidRPr="00AC713D" w:rsidRDefault="000C292F" w:rsidP="00E431E6">
            <w:pPr>
              <w:jc w:val="left"/>
              <w:rPr>
                <w:rFonts w:cs="Arial"/>
                <w:b/>
                <w:bCs/>
                <w:sz w:val="20"/>
                <w:szCs w:val="20"/>
              </w:rPr>
            </w:pPr>
            <w:r w:rsidRPr="00AC713D">
              <w:rPr>
                <w:rFonts w:cs="Arial"/>
                <w:b/>
                <w:bCs/>
                <w:sz w:val="20"/>
                <w:szCs w:val="20"/>
              </w:rPr>
              <w:t>(Provozní zisk)</w:t>
            </w:r>
          </w:p>
          <w:p w14:paraId="6CB46B54" w14:textId="77777777" w:rsidR="000C292F" w:rsidRPr="00AC713D" w:rsidRDefault="000C292F" w:rsidP="00E431E6">
            <w:pPr>
              <w:jc w:val="left"/>
              <w:rPr>
                <w:rFonts w:cs="Arial"/>
                <w:sz w:val="20"/>
                <w:szCs w:val="20"/>
              </w:rPr>
            </w:pPr>
          </w:p>
        </w:tc>
        <w:tc>
          <w:tcPr>
            <w:tcW w:w="1454" w:type="pct"/>
          </w:tcPr>
          <w:p w14:paraId="608676EA" w14:textId="77777777" w:rsidR="000C292F" w:rsidRPr="00AC713D" w:rsidRDefault="000C292F" w:rsidP="00E431E6">
            <w:pPr>
              <w:jc w:val="left"/>
              <w:rPr>
                <w:rFonts w:cs="Arial"/>
                <w:sz w:val="20"/>
                <w:szCs w:val="20"/>
              </w:rPr>
            </w:pPr>
            <w:r w:rsidRPr="00AC713D">
              <w:rPr>
                <w:rFonts w:cs="Arial"/>
                <w:bCs/>
                <w:sz w:val="20"/>
                <w:szCs w:val="20"/>
              </w:rPr>
              <w:t xml:space="preserve">Zisk </w:t>
            </w:r>
            <w:r w:rsidRPr="00AC713D">
              <w:rPr>
                <w:rFonts w:cs="Arial"/>
                <w:sz w:val="20"/>
                <w:szCs w:val="20"/>
              </w:rPr>
              <w:t>zahrnující tržby za prodané výrobky, spotřebu materiálu a ostatní spotřebu, osobní náklady, ostatní provozní výnosy/náklady, odpisy a amortizaci (před odečtením úroků a daní)</w:t>
            </w:r>
          </w:p>
        </w:tc>
        <w:tc>
          <w:tcPr>
            <w:tcW w:w="1454" w:type="pct"/>
          </w:tcPr>
          <w:p w14:paraId="218CE386" w14:textId="77777777" w:rsidR="000C292F" w:rsidRPr="00AC713D" w:rsidRDefault="000C292F" w:rsidP="00E431E6">
            <w:pPr>
              <w:jc w:val="left"/>
              <w:rPr>
                <w:rFonts w:cs="Arial"/>
                <w:sz w:val="20"/>
                <w:szCs w:val="20"/>
                <w:highlight w:val="yellow"/>
              </w:rPr>
            </w:pPr>
            <w:r w:rsidRPr="00AC713D">
              <w:rPr>
                <w:rFonts w:cs="Arial"/>
                <w:sz w:val="20"/>
                <w:szCs w:val="20"/>
              </w:rPr>
              <w:t>Je používán k vyjádření provozního výsledku Společnosti a současně eliminuje dopady rozdílů mezi místními daňovými systémy a různými finančními aktivitami.</w:t>
            </w:r>
          </w:p>
        </w:tc>
        <w:tc>
          <w:tcPr>
            <w:tcW w:w="1454" w:type="pct"/>
          </w:tcPr>
          <w:p w14:paraId="35015077" w14:textId="4CD47F5C" w:rsidR="000C292F" w:rsidRPr="00AC713D" w:rsidRDefault="000C292F" w:rsidP="00E431E6">
            <w:pPr>
              <w:ind w:right="-104"/>
              <w:jc w:val="left"/>
              <w:rPr>
                <w:rFonts w:cs="Arial"/>
                <w:sz w:val="20"/>
                <w:szCs w:val="20"/>
              </w:rPr>
            </w:pPr>
            <w:r w:rsidRPr="00AC713D">
              <w:rPr>
                <w:rFonts w:cs="Arial"/>
                <w:sz w:val="20"/>
                <w:szCs w:val="20"/>
              </w:rPr>
              <w:t xml:space="preserve">Viz </w:t>
            </w:r>
            <w:r w:rsidR="002E3A91" w:rsidRPr="00AC713D">
              <w:rPr>
                <w:rFonts w:cs="Arial"/>
                <w:sz w:val="20"/>
                <w:szCs w:val="20"/>
              </w:rPr>
              <w:t>Konsolidovaný výkaz o úplném výsledku ve zkrácené podobě</w:t>
            </w:r>
            <w:r w:rsidRPr="00AC713D">
              <w:rPr>
                <w:rFonts w:cs="Arial"/>
                <w:sz w:val="20"/>
                <w:szCs w:val="20"/>
              </w:rPr>
              <w:t>.</w:t>
            </w:r>
          </w:p>
        </w:tc>
      </w:tr>
      <w:tr w:rsidR="000C292F" w:rsidRPr="00AC713D" w14:paraId="25476D07" w14:textId="77777777" w:rsidTr="006670C4">
        <w:tc>
          <w:tcPr>
            <w:tcW w:w="639" w:type="pct"/>
          </w:tcPr>
          <w:p w14:paraId="47D13806" w14:textId="77777777" w:rsidR="000C292F" w:rsidRPr="00AC713D" w:rsidRDefault="000C292F" w:rsidP="00E431E6">
            <w:pPr>
              <w:jc w:val="left"/>
              <w:rPr>
                <w:rFonts w:cs="Arial"/>
                <w:sz w:val="20"/>
                <w:szCs w:val="20"/>
              </w:rPr>
            </w:pPr>
            <w:r w:rsidRPr="00AC713D">
              <w:rPr>
                <w:rFonts w:cs="Arial"/>
                <w:b/>
                <w:bCs/>
                <w:sz w:val="20"/>
                <w:szCs w:val="20"/>
              </w:rPr>
              <w:t>EBITDA</w:t>
            </w:r>
            <w:r w:rsidRPr="00AC713D">
              <w:rPr>
                <w:rFonts w:cs="Arial"/>
                <w:sz w:val="20"/>
                <w:szCs w:val="20"/>
              </w:rPr>
              <w:t xml:space="preserve"> </w:t>
            </w:r>
          </w:p>
          <w:p w14:paraId="405F1639" w14:textId="77777777" w:rsidR="000C292F" w:rsidRPr="00AC713D" w:rsidRDefault="000C292F" w:rsidP="00E431E6">
            <w:pPr>
              <w:jc w:val="left"/>
              <w:rPr>
                <w:rFonts w:cs="Arial"/>
                <w:sz w:val="20"/>
                <w:szCs w:val="20"/>
              </w:rPr>
            </w:pPr>
          </w:p>
        </w:tc>
        <w:tc>
          <w:tcPr>
            <w:tcW w:w="1454" w:type="pct"/>
          </w:tcPr>
          <w:p w14:paraId="1AE44C98" w14:textId="77777777" w:rsidR="000C292F" w:rsidRPr="00AC713D" w:rsidRDefault="000C292F" w:rsidP="00E431E6">
            <w:pPr>
              <w:jc w:val="left"/>
              <w:rPr>
                <w:rFonts w:cs="Arial"/>
                <w:sz w:val="20"/>
                <w:szCs w:val="20"/>
              </w:rPr>
            </w:pPr>
            <w:r w:rsidRPr="00AC713D">
              <w:rPr>
                <w:rFonts w:cs="Arial"/>
                <w:sz w:val="20"/>
                <w:szCs w:val="20"/>
              </w:rPr>
              <w:t xml:space="preserve">Finanční ukazatel, který určuje provozní marži společnosti před odečtením úroků, daní, odpisů a amortizace. Počítáno jako čistý zisk před zdaněním, nákladové úroky, úrokové </w:t>
            </w:r>
            <w:r w:rsidRPr="00AC713D">
              <w:rPr>
                <w:rFonts w:cs="Arial"/>
                <w:sz w:val="20"/>
                <w:szCs w:val="20"/>
              </w:rPr>
              <w:lastRenderedPageBreak/>
              <w:t>výnosy, kurzové změny, ostatní finanční výnosy/náklady a odpisy a amortizace, tedy provozní zisk + odpisy a amortizace.</w:t>
            </w:r>
          </w:p>
        </w:tc>
        <w:tc>
          <w:tcPr>
            <w:tcW w:w="1454" w:type="pct"/>
          </w:tcPr>
          <w:p w14:paraId="435B2C6C" w14:textId="77777777" w:rsidR="000C292F" w:rsidRPr="00AC713D" w:rsidRDefault="000C292F" w:rsidP="00E431E6">
            <w:pPr>
              <w:jc w:val="left"/>
              <w:rPr>
                <w:rFonts w:cs="Arial"/>
                <w:sz w:val="20"/>
                <w:szCs w:val="20"/>
              </w:rPr>
            </w:pPr>
            <w:r w:rsidRPr="00AC713D">
              <w:rPr>
                <w:rFonts w:cs="Arial"/>
                <w:sz w:val="20"/>
                <w:szCs w:val="20"/>
              </w:rPr>
              <w:lastRenderedPageBreak/>
              <w:t xml:space="preserve">Vzhledem k tomu, že neobsahuje finanční a daňové ukazatele nebo účetní náklady nezahrnující odliv, je používán managementem pro vyhodnocení výsledků </w:t>
            </w:r>
            <w:r w:rsidRPr="00AC713D">
              <w:rPr>
                <w:rFonts w:cs="Arial"/>
                <w:sz w:val="20"/>
                <w:szCs w:val="20"/>
              </w:rPr>
              <w:lastRenderedPageBreak/>
              <w:t>Společnosti v průběhu času.</w:t>
            </w:r>
          </w:p>
        </w:tc>
        <w:tc>
          <w:tcPr>
            <w:tcW w:w="1454" w:type="pct"/>
          </w:tcPr>
          <w:p w14:paraId="1BC416D5" w14:textId="52ACA348" w:rsidR="000C292F" w:rsidRPr="00AC713D" w:rsidRDefault="001B57A9" w:rsidP="00E431E6">
            <w:pPr>
              <w:spacing w:before="0" w:beforeAutospacing="0" w:after="0" w:afterAutospacing="0"/>
              <w:ind w:right="-104"/>
              <w:jc w:val="left"/>
              <w:rPr>
                <w:rFonts w:cs="Arial"/>
                <w:sz w:val="20"/>
                <w:szCs w:val="20"/>
              </w:rPr>
            </w:pPr>
            <w:r w:rsidRPr="00AC713D">
              <w:rPr>
                <w:rFonts w:cs="Arial"/>
                <w:sz w:val="20"/>
                <w:szCs w:val="20"/>
              </w:rPr>
              <w:lastRenderedPageBreak/>
              <w:t>Viz Konsolidovaný výkaz o úplném výsledku ve zkrácené podobě za období šesti měsíců</w:t>
            </w:r>
            <w:r w:rsidR="00AE2774" w:rsidRPr="00AC713D">
              <w:rPr>
                <w:rFonts w:cs="Arial"/>
                <w:sz w:val="20"/>
                <w:szCs w:val="20"/>
              </w:rPr>
              <w:t>, v mil</w:t>
            </w:r>
            <w:r w:rsidR="000C292F" w:rsidRPr="00AC713D">
              <w:rPr>
                <w:rFonts w:cs="Arial"/>
                <w:sz w:val="20"/>
                <w:szCs w:val="20"/>
              </w:rPr>
              <w:t xml:space="preserve">. </w:t>
            </w:r>
            <w:r w:rsidR="002E3A91" w:rsidRPr="00AC713D">
              <w:rPr>
                <w:rFonts w:cs="Arial"/>
                <w:sz w:val="20"/>
                <w:szCs w:val="20"/>
              </w:rPr>
              <w:t>Kč</w:t>
            </w:r>
            <w:r w:rsidR="000C292F" w:rsidRPr="00AC713D">
              <w:rPr>
                <w:rFonts w:cs="Arial"/>
                <w:sz w:val="20"/>
                <w:szCs w:val="20"/>
              </w:rPr>
              <w:t>:</w:t>
            </w:r>
          </w:p>
          <w:p w14:paraId="06E17F26" w14:textId="75CC6197" w:rsidR="000C292F" w:rsidRPr="00AC713D" w:rsidRDefault="00945301" w:rsidP="001B57A9">
            <w:pPr>
              <w:spacing w:before="0" w:beforeAutospacing="0" w:after="0" w:afterAutospacing="0"/>
              <w:ind w:right="-104"/>
              <w:jc w:val="left"/>
              <w:rPr>
                <w:rFonts w:cs="Arial"/>
                <w:sz w:val="20"/>
                <w:szCs w:val="20"/>
              </w:rPr>
            </w:pPr>
            <w:r>
              <w:rPr>
                <w:rFonts w:cs="Arial"/>
                <w:sz w:val="20"/>
                <w:szCs w:val="20"/>
              </w:rPr>
              <w:t>2020: 367,3 + 292,3 = 659,6</w:t>
            </w:r>
          </w:p>
          <w:p w14:paraId="19D897E2" w14:textId="50E42930" w:rsidR="00972840" w:rsidRPr="00AC713D" w:rsidRDefault="00972840" w:rsidP="001B57A9">
            <w:pPr>
              <w:spacing w:before="0" w:beforeAutospacing="0" w:after="0" w:afterAutospacing="0"/>
              <w:ind w:right="-104"/>
              <w:jc w:val="left"/>
              <w:rPr>
                <w:rFonts w:cs="Arial"/>
                <w:sz w:val="20"/>
                <w:szCs w:val="20"/>
              </w:rPr>
            </w:pPr>
            <w:r w:rsidRPr="00AC713D">
              <w:rPr>
                <w:rFonts w:cs="Arial"/>
                <w:sz w:val="20"/>
                <w:szCs w:val="20"/>
              </w:rPr>
              <w:t>2019: 353,2 + 252,6 = 605,8</w:t>
            </w:r>
          </w:p>
        </w:tc>
      </w:tr>
      <w:tr w:rsidR="000C292F" w:rsidRPr="00AC713D" w14:paraId="33ABCF16" w14:textId="77777777" w:rsidTr="006670C4">
        <w:trPr>
          <w:trHeight w:val="577"/>
        </w:trPr>
        <w:tc>
          <w:tcPr>
            <w:tcW w:w="639" w:type="pct"/>
          </w:tcPr>
          <w:p w14:paraId="402E7AA9" w14:textId="77777777" w:rsidR="000C292F" w:rsidRPr="00AC713D" w:rsidRDefault="000C292F" w:rsidP="00E431E6">
            <w:pPr>
              <w:jc w:val="left"/>
              <w:rPr>
                <w:rFonts w:cs="Arial"/>
                <w:b/>
                <w:bCs/>
                <w:color w:val="000000"/>
                <w:sz w:val="20"/>
                <w:szCs w:val="20"/>
              </w:rPr>
            </w:pPr>
            <w:r w:rsidRPr="00AC713D">
              <w:rPr>
                <w:rFonts w:cs="Arial"/>
                <w:b/>
                <w:color w:val="000000"/>
                <w:sz w:val="20"/>
                <w:szCs w:val="20"/>
              </w:rPr>
              <w:t>Marže čistého zisku</w:t>
            </w:r>
          </w:p>
        </w:tc>
        <w:tc>
          <w:tcPr>
            <w:tcW w:w="1454" w:type="pct"/>
          </w:tcPr>
          <w:p w14:paraId="52248C6C" w14:textId="77777777" w:rsidR="000C292F" w:rsidRPr="00AC713D" w:rsidRDefault="000C292F" w:rsidP="00E431E6">
            <w:pPr>
              <w:autoSpaceDE w:val="0"/>
              <w:autoSpaceDN w:val="0"/>
              <w:adjustRightInd w:val="0"/>
              <w:spacing w:line="240" w:lineRule="atLeast"/>
              <w:jc w:val="left"/>
              <w:rPr>
                <w:rFonts w:cs="Arial"/>
                <w:color w:val="000000"/>
                <w:sz w:val="20"/>
                <w:szCs w:val="20"/>
              </w:rPr>
            </w:pPr>
            <w:r w:rsidRPr="00AC713D">
              <w:rPr>
                <w:rFonts w:cs="Arial"/>
                <w:color w:val="000000"/>
                <w:sz w:val="20"/>
                <w:szCs w:val="20"/>
              </w:rPr>
              <w:t>Procentní marže je počítána jako čistý zisk po zdanění a před rozdělením akcionářů/celkové tržby.</w:t>
            </w:r>
          </w:p>
        </w:tc>
        <w:tc>
          <w:tcPr>
            <w:tcW w:w="1454" w:type="pct"/>
          </w:tcPr>
          <w:p w14:paraId="5F2BDBB5" w14:textId="77777777" w:rsidR="000C292F" w:rsidRPr="00AC713D" w:rsidRDefault="000C292F" w:rsidP="00E431E6">
            <w:pPr>
              <w:jc w:val="left"/>
              <w:rPr>
                <w:rFonts w:cs="Arial"/>
                <w:sz w:val="20"/>
                <w:szCs w:val="20"/>
              </w:rPr>
            </w:pPr>
            <w:r w:rsidRPr="00AC713D">
              <w:rPr>
                <w:rFonts w:cs="Arial"/>
                <w:sz w:val="20"/>
                <w:szCs w:val="20"/>
              </w:rPr>
              <w:t>Používá se k vyjádření, jak dobře Společnost přeměňuje tržby v zisk dostupný pro akcionáře.</w:t>
            </w:r>
          </w:p>
        </w:tc>
        <w:tc>
          <w:tcPr>
            <w:tcW w:w="1454" w:type="pct"/>
          </w:tcPr>
          <w:p w14:paraId="30988BBE" w14:textId="00943BDB" w:rsidR="000C292F" w:rsidRDefault="000C292F" w:rsidP="00E431E6">
            <w:pPr>
              <w:spacing w:before="0" w:beforeAutospacing="0" w:after="0" w:afterAutospacing="0"/>
              <w:ind w:right="-104"/>
              <w:jc w:val="left"/>
              <w:rPr>
                <w:rFonts w:cs="Arial"/>
                <w:sz w:val="20"/>
                <w:szCs w:val="20"/>
              </w:rPr>
            </w:pPr>
            <w:r w:rsidRPr="00AC713D">
              <w:rPr>
                <w:rFonts w:cs="Arial"/>
                <w:sz w:val="20"/>
                <w:szCs w:val="20"/>
              </w:rPr>
              <w:t xml:space="preserve">Viz </w:t>
            </w:r>
            <w:r w:rsidR="008C71E0" w:rsidRPr="00AC713D">
              <w:rPr>
                <w:rFonts w:cs="Arial"/>
                <w:sz w:val="20"/>
                <w:szCs w:val="20"/>
              </w:rPr>
              <w:t>Hlavní údaje za první pololetí 20</w:t>
            </w:r>
            <w:r w:rsidR="00945301">
              <w:rPr>
                <w:rFonts w:cs="Arial"/>
                <w:sz w:val="20"/>
                <w:szCs w:val="20"/>
              </w:rPr>
              <w:t>20</w:t>
            </w:r>
            <w:r w:rsidRPr="00AC713D">
              <w:rPr>
                <w:rFonts w:cs="Arial"/>
                <w:sz w:val="20"/>
                <w:szCs w:val="20"/>
              </w:rPr>
              <w:t xml:space="preserve"> v mil. </w:t>
            </w:r>
            <w:r w:rsidR="008C71E0" w:rsidRPr="00AC713D">
              <w:rPr>
                <w:rFonts w:cs="Arial"/>
                <w:sz w:val="20"/>
                <w:szCs w:val="20"/>
              </w:rPr>
              <w:t>Kč</w:t>
            </w:r>
            <w:r w:rsidRPr="00AC713D">
              <w:rPr>
                <w:rFonts w:cs="Arial"/>
                <w:sz w:val="20"/>
                <w:szCs w:val="20"/>
              </w:rPr>
              <w:t>:</w:t>
            </w:r>
          </w:p>
          <w:p w14:paraId="2ACD5021" w14:textId="41C9FD5A" w:rsidR="00945301" w:rsidRPr="00AC713D" w:rsidRDefault="00945301" w:rsidP="00945301">
            <w:pPr>
              <w:spacing w:before="0" w:beforeAutospacing="0" w:after="0" w:afterAutospacing="0"/>
              <w:ind w:right="-104"/>
              <w:jc w:val="left"/>
              <w:rPr>
                <w:rFonts w:cs="Arial"/>
                <w:sz w:val="20"/>
                <w:szCs w:val="20"/>
              </w:rPr>
            </w:pPr>
            <w:r w:rsidRPr="00AC713D">
              <w:rPr>
                <w:rFonts w:cs="Arial"/>
                <w:sz w:val="20"/>
                <w:szCs w:val="20"/>
              </w:rPr>
              <w:t>1-6/20</w:t>
            </w:r>
            <w:r>
              <w:rPr>
                <w:rFonts w:cs="Arial"/>
                <w:sz w:val="20"/>
                <w:szCs w:val="20"/>
              </w:rPr>
              <w:t>20</w:t>
            </w:r>
            <w:r w:rsidRPr="00AC713D">
              <w:rPr>
                <w:rFonts w:cs="Arial"/>
                <w:sz w:val="20"/>
                <w:szCs w:val="20"/>
              </w:rPr>
              <w:t xml:space="preserve">: </w:t>
            </w:r>
            <w:r>
              <w:rPr>
                <w:rFonts w:cs="Arial"/>
                <w:sz w:val="20"/>
                <w:szCs w:val="20"/>
              </w:rPr>
              <w:t>9,3</w:t>
            </w:r>
            <w:r w:rsidRPr="00AC713D">
              <w:rPr>
                <w:rFonts w:cs="Arial"/>
                <w:sz w:val="20"/>
                <w:szCs w:val="20"/>
              </w:rPr>
              <w:t xml:space="preserve"> / 3 </w:t>
            </w:r>
            <w:r>
              <w:rPr>
                <w:rFonts w:cs="Arial"/>
                <w:sz w:val="20"/>
                <w:szCs w:val="20"/>
              </w:rPr>
              <w:t>347,3</w:t>
            </w:r>
            <w:r w:rsidRPr="00AC713D">
              <w:rPr>
                <w:rFonts w:cs="Arial"/>
                <w:sz w:val="20"/>
                <w:szCs w:val="20"/>
              </w:rPr>
              <w:t xml:space="preserve"> = </w:t>
            </w:r>
            <w:r>
              <w:rPr>
                <w:rFonts w:cs="Arial"/>
                <w:sz w:val="20"/>
                <w:szCs w:val="20"/>
              </w:rPr>
              <w:t>0,3</w:t>
            </w:r>
            <w:r w:rsidRPr="00AC713D">
              <w:rPr>
                <w:rFonts w:cs="Arial"/>
                <w:sz w:val="20"/>
                <w:szCs w:val="20"/>
              </w:rPr>
              <w:t xml:space="preserve"> %</w:t>
            </w:r>
          </w:p>
          <w:p w14:paraId="136563A1" w14:textId="24D5E958" w:rsidR="000C292F" w:rsidRPr="00AC713D" w:rsidRDefault="000C292F" w:rsidP="00972840">
            <w:pPr>
              <w:spacing w:before="0" w:beforeAutospacing="0" w:after="0" w:afterAutospacing="0"/>
              <w:ind w:right="-104"/>
              <w:jc w:val="left"/>
              <w:rPr>
                <w:rFonts w:cs="Arial"/>
                <w:sz w:val="20"/>
                <w:szCs w:val="20"/>
              </w:rPr>
            </w:pPr>
          </w:p>
        </w:tc>
      </w:tr>
      <w:tr w:rsidR="000C292F" w:rsidRPr="00AC713D" w14:paraId="45883370" w14:textId="77777777" w:rsidTr="006670C4">
        <w:trPr>
          <w:trHeight w:val="577"/>
        </w:trPr>
        <w:tc>
          <w:tcPr>
            <w:tcW w:w="639" w:type="pct"/>
          </w:tcPr>
          <w:p w14:paraId="6134504A" w14:textId="77777777" w:rsidR="000C292F" w:rsidRPr="00AC713D" w:rsidRDefault="000C292F" w:rsidP="00E431E6">
            <w:pPr>
              <w:jc w:val="left"/>
              <w:rPr>
                <w:rFonts w:cs="Arial"/>
                <w:sz w:val="20"/>
                <w:szCs w:val="20"/>
              </w:rPr>
            </w:pPr>
            <w:r w:rsidRPr="00AC713D">
              <w:rPr>
                <w:rFonts w:cs="Arial"/>
                <w:b/>
                <w:bCs/>
                <w:color w:val="000000"/>
                <w:sz w:val="20"/>
                <w:szCs w:val="20"/>
              </w:rPr>
              <w:t>Marže provozního zisku</w:t>
            </w:r>
          </w:p>
        </w:tc>
        <w:tc>
          <w:tcPr>
            <w:tcW w:w="1454" w:type="pct"/>
          </w:tcPr>
          <w:p w14:paraId="2EF903CC" w14:textId="77777777" w:rsidR="000C292F" w:rsidRPr="00AC713D" w:rsidRDefault="000C292F" w:rsidP="00E431E6">
            <w:pPr>
              <w:autoSpaceDE w:val="0"/>
              <w:autoSpaceDN w:val="0"/>
              <w:adjustRightInd w:val="0"/>
              <w:spacing w:line="240" w:lineRule="atLeast"/>
              <w:jc w:val="left"/>
              <w:rPr>
                <w:rFonts w:cs="Arial"/>
                <w:color w:val="000000"/>
                <w:sz w:val="20"/>
                <w:szCs w:val="20"/>
              </w:rPr>
            </w:pPr>
            <w:r w:rsidRPr="00AC713D">
              <w:rPr>
                <w:rFonts w:cs="Arial"/>
                <w:color w:val="000000"/>
                <w:sz w:val="20"/>
                <w:szCs w:val="20"/>
              </w:rPr>
              <w:t>Procentní marže je počítána jako EBIT/celkové tržby.</w:t>
            </w:r>
          </w:p>
        </w:tc>
        <w:tc>
          <w:tcPr>
            <w:tcW w:w="1454" w:type="pct"/>
          </w:tcPr>
          <w:p w14:paraId="22136594" w14:textId="77777777" w:rsidR="000C292F" w:rsidRPr="00AC713D" w:rsidRDefault="000C292F" w:rsidP="00E431E6">
            <w:pPr>
              <w:jc w:val="left"/>
              <w:rPr>
                <w:rFonts w:cs="Arial"/>
                <w:sz w:val="20"/>
                <w:szCs w:val="20"/>
              </w:rPr>
            </w:pPr>
            <w:r w:rsidRPr="00AC713D">
              <w:rPr>
                <w:rFonts w:cs="Arial"/>
                <w:sz w:val="20"/>
                <w:szCs w:val="20"/>
              </w:rPr>
              <w:t>Používá se k posouzení provozní výkonnosti Společnosti.</w:t>
            </w:r>
          </w:p>
        </w:tc>
        <w:tc>
          <w:tcPr>
            <w:tcW w:w="1454" w:type="pct"/>
          </w:tcPr>
          <w:p w14:paraId="5D2CA8A5" w14:textId="7F0779DB" w:rsidR="000C292F" w:rsidRPr="00AC713D" w:rsidRDefault="000C292F" w:rsidP="00E431E6">
            <w:pPr>
              <w:spacing w:before="0" w:beforeAutospacing="0" w:after="0" w:afterAutospacing="0"/>
              <w:ind w:right="-104"/>
              <w:jc w:val="left"/>
              <w:rPr>
                <w:rFonts w:cs="Arial"/>
                <w:sz w:val="20"/>
                <w:szCs w:val="20"/>
              </w:rPr>
            </w:pPr>
            <w:r w:rsidRPr="00AC713D">
              <w:rPr>
                <w:rFonts w:cs="Arial"/>
                <w:sz w:val="20"/>
                <w:szCs w:val="20"/>
              </w:rPr>
              <w:t xml:space="preserve">Viz </w:t>
            </w:r>
            <w:r w:rsidR="008C71E0" w:rsidRPr="00AC713D">
              <w:rPr>
                <w:rFonts w:cs="Arial"/>
                <w:sz w:val="20"/>
                <w:szCs w:val="20"/>
              </w:rPr>
              <w:t>Hlavní údaje za první pololetí 20</w:t>
            </w:r>
            <w:r w:rsidR="00945301">
              <w:rPr>
                <w:rFonts w:cs="Arial"/>
                <w:sz w:val="20"/>
                <w:szCs w:val="20"/>
              </w:rPr>
              <w:t>2é</w:t>
            </w:r>
            <w:r w:rsidRPr="00AC713D">
              <w:rPr>
                <w:rFonts w:cs="Arial"/>
                <w:sz w:val="20"/>
                <w:szCs w:val="20"/>
              </w:rPr>
              <w:t xml:space="preserve">. v mil. </w:t>
            </w:r>
            <w:r w:rsidR="008C71E0" w:rsidRPr="00AC713D">
              <w:rPr>
                <w:rFonts w:cs="Arial"/>
                <w:sz w:val="20"/>
                <w:szCs w:val="20"/>
              </w:rPr>
              <w:t>Kč</w:t>
            </w:r>
            <w:r w:rsidRPr="00AC713D">
              <w:rPr>
                <w:rFonts w:cs="Arial"/>
                <w:sz w:val="20"/>
                <w:szCs w:val="20"/>
              </w:rPr>
              <w:t>:</w:t>
            </w:r>
          </w:p>
          <w:p w14:paraId="044AD2DE" w14:textId="2FFF03ED" w:rsidR="000C292F" w:rsidRPr="00AC713D" w:rsidRDefault="00945301" w:rsidP="00972840">
            <w:pPr>
              <w:spacing w:before="0" w:beforeAutospacing="0"/>
              <w:ind w:right="-104"/>
              <w:jc w:val="left"/>
              <w:rPr>
                <w:rFonts w:cs="Arial"/>
                <w:sz w:val="20"/>
                <w:szCs w:val="20"/>
              </w:rPr>
            </w:pPr>
            <w:r w:rsidRPr="00AC713D">
              <w:rPr>
                <w:rFonts w:cs="Arial"/>
                <w:sz w:val="20"/>
                <w:szCs w:val="20"/>
              </w:rPr>
              <w:t>1-6/20</w:t>
            </w:r>
            <w:r>
              <w:rPr>
                <w:rFonts w:cs="Arial"/>
                <w:sz w:val="20"/>
                <w:szCs w:val="20"/>
              </w:rPr>
              <w:t>20</w:t>
            </w:r>
            <w:r w:rsidRPr="00AC713D">
              <w:rPr>
                <w:rFonts w:cs="Arial"/>
                <w:sz w:val="20"/>
                <w:szCs w:val="20"/>
              </w:rPr>
              <w:t xml:space="preserve">: </w:t>
            </w:r>
            <w:r>
              <w:rPr>
                <w:rFonts w:cs="Arial"/>
                <w:sz w:val="20"/>
                <w:szCs w:val="20"/>
              </w:rPr>
              <w:t>367,3</w:t>
            </w:r>
            <w:r w:rsidRPr="00AC713D">
              <w:rPr>
                <w:rFonts w:cs="Arial"/>
                <w:sz w:val="20"/>
                <w:szCs w:val="20"/>
              </w:rPr>
              <w:t xml:space="preserve"> / 3 </w:t>
            </w:r>
            <w:r>
              <w:rPr>
                <w:rFonts w:cs="Arial"/>
                <w:sz w:val="20"/>
                <w:szCs w:val="20"/>
              </w:rPr>
              <w:t>347,3</w:t>
            </w:r>
            <w:r w:rsidRPr="00AC713D">
              <w:rPr>
                <w:rFonts w:cs="Arial"/>
                <w:sz w:val="20"/>
                <w:szCs w:val="20"/>
              </w:rPr>
              <w:t xml:space="preserve"> = </w:t>
            </w:r>
            <w:r>
              <w:rPr>
                <w:rFonts w:cs="Arial"/>
                <w:sz w:val="20"/>
                <w:szCs w:val="20"/>
              </w:rPr>
              <w:t>11,0</w:t>
            </w:r>
            <w:r w:rsidRPr="00AC713D">
              <w:rPr>
                <w:rFonts w:cs="Arial"/>
                <w:sz w:val="20"/>
                <w:szCs w:val="20"/>
              </w:rPr>
              <w:t xml:space="preserve"> %</w:t>
            </w:r>
          </w:p>
        </w:tc>
      </w:tr>
      <w:tr w:rsidR="000C292F" w:rsidRPr="00AC713D" w14:paraId="528AD4EB" w14:textId="77777777" w:rsidTr="006670C4">
        <w:tc>
          <w:tcPr>
            <w:tcW w:w="639" w:type="pct"/>
          </w:tcPr>
          <w:p w14:paraId="152A30A6" w14:textId="77777777" w:rsidR="000C292F" w:rsidRPr="00AC713D" w:rsidRDefault="000C292F" w:rsidP="00E431E6">
            <w:pPr>
              <w:jc w:val="left"/>
              <w:rPr>
                <w:rFonts w:cs="Arial"/>
                <w:sz w:val="20"/>
                <w:szCs w:val="20"/>
              </w:rPr>
            </w:pPr>
            <w:r w:rsidRPr="00AC713D">
              <w:rPr>
                <w:rFonts w:cs="Arial"/>
                <w:b/>
                <w:bCs/>
                <w:sz w:val="20"/>
                <w:szCs w:val="20"/>
              </w:rPr>
              <w:t>Marže EBITDA</w:t>
            </w:r>
          </w:p>
        </w:tc>
        <w:tc>
          <w:tcPr>
            <w:tcW w:w="1454" w:type="pct"/>
          </w:tcPr>
          <w:p w14:paraId="0E99056F" w14:textId="77777777" w:rsidR="000C292F" w:rsidRPr="00AC713D" w:rsidRDefault="000C292F" w:rsidP="00E431E6">
            <w:pPr>
              <w:jc w:val="left"/>
              <w:rPr>
                <w:rFonts w:cs="Arial"/>
                <w:sz w:val="20"/>
                <w:szCs w:val="20"/>
              </w:rPr>
            </w:pPr>
            <w:r w:rsidRPr="00AC713D">
              <w:rPr>
                <w:rFonts w:cs="Arial"/>
                <w:sz w:val="20"/>
                <w:szCs w:val="20"/>
              </w:rPr>
              <w:t>Procentní marže je počítána jako EBITDA/celkové tržby.</w:t>
            </w:r>
          </w:p>
        </w:tc>
        <w:tc>
          <w:tcPr>
            <w:tcW w:w="1454" w:type="pct"/>
          </w:tcPr>
          <w:p w14:paraId="1F721E7C" w14:textId="77777777" w:rsidR="000C292F" w:rsidRPr="00AC713D" w:rsidRDefault="000C292F" w:rsidP="00E431E6">
            <w:pPr>
              <w:jc w:val="left"/>
              <w:rPr>
                <w:rFonts w:cs="Arial"/>
                <w:sz w:val="20"/>
                <w:szCs w:val="20"/>
              </w:rPr>
            </w:pPr>
            <w:r w:rsidRPr="00AC713D">
              <w:rPr>
                <w:rFonts w:cs="Arial"/>
                <w:sz w:val="20"/>
                <w:szCs w:val="20"/>
              </w:rPr>
              <w:t>Používá se k vyjádření ziskovosti Společnosti.</w:t>
            </w:r>
          </w:p>
        </w:tc>
        <w:tc>
          <w:tcPr>
            <w:tcW w:w="1454" w:type="pct"/>
          </w:tcPr>
          <w:p w14:paraId="464E3B74" w14:textId="77777777" w:rsidR="00972840" w:rsidRPr="00AC713D" w:rsidRDefault="00972840" w:rsidP="00972840">
            <w:pPr>
              <w:spacing w:before="0" w:beforeAutospacing="0" w:after="0" w:afterAutospacing="0"/>
              <w:ind w:right="-104"/>
              <w:jc w:val="left"/>
              <w:rPr>
                <w:rFonts w:cs="Arial"/>
                <w:sz w:val="20"/>
                <w:szCs w:val="20"/>
              </w:rPr>
            </w:pPr>
            <w:r w:rsidRPr="00AC713D">
              <w:rPr>
                <w:rFonts w:cs="Arial"/>
                <w:sz w:val="20"/>
                <w:szCs w:val="20"/>
              </w:rPr>
              <w:t>Viz Hlavní údaje za první pololetí 2019. v mil. Kč:</w:t>
            </w:r>
          </w:p>
          <w:p w14:paraId="4A985F3F" w14:textId="796C4E77" w:rsidR="000C292F" w:rsidRPr="00AC713D" w:rsidRDefault="00945301" w:rsidP="00AE2774">
            <w:pPr>
              <w:spacing w:before="0" w:beforeAutospacing="0"/>
              <w:ind w:right="-104"/>
              <w:jc w:val="left"/>
              <w:rPr>
                <w:rFonts w:cs="Arial"/>
                <w:sz w:val="20"/>
                <w:szCs w:val="20"/>
              </w:rPr>
            </w:pPr>
            <w:r w:rsidRPr="00AC713D">
              <w:rPr>
                <w:rFonts w:cs="Arial"/>
                <w:sz w:val="20"/>
                <w:szCs w:val="20"/>
              </w:rPr>
              <w:t>1-6/20</w:t>
            </w:r>
            <w:r>
              <w:rPr>
                <w:rFonts w:cs="Arial"/>
                <w:sz w:val="20"/>
                <w:szCs w:val="20"/>
              </w:rPr>
              <w:t>20</w:t>
            </w:r>
            <w:r w:rsidRPr="00AC713D">
              <w:rPr>
                <w:rFonts w:cs="Arial"/>
                <w:sz w:val="20"/>
                <w:szCs w:val="20"/>
              </w:rPr>
              <w:t xml:space="preserve">: </w:t>
            </w:r>
            <w:r>
              <w:rPr>
                <w:rFonts w:cs="Arial"/>
                <w:sz w:val="20"/>
                <w:szCs w:val="20"/>
              </w:rPr>
              <w:t>659,6</w:t>
            </w:r>
            <w:r w:rsidRPr="00AC713D">
              <w:rPr>
                <w:rFonts w:cs="Arial"/>
                <w:sz w:val="20"/>
                <w:szCs w:val="20"/>
              </w:rPr>
              <w:t xml:space="preserve"> / 3 </w:t>
            </w:r>
            <w:r>
              <w:rPr>
                <w:rFonts w:cs="Arial"/>
                <w:sz w:val="20"/>
                <w:szCs w:val="20"/>
              </w:rPr>
              <w:t>347,3</w:t>
            </w:r>
            <w:r w:rsidRPr="00AC713D">
              <w:rPr>
                <w:rFonts w:cs="Arial"/>
                <w:sz w:val="20"/>
                <w:szCs w:val="20"/>
              </w:rPr>
              <w:t xml:space="preserve"> = </w:t>
            </w:r>
            <w:r>
              <w:rPr>
                <w:rFonts w:cs="Arial"/>
                <w:sz w:val="20"/>
                <w:szCs w:val="20"/>
              </w:rPr>
              <w:t>19,7</w:t>
            </w:r>
            <w:r w:rsidRPr="00AC713D">
              <w:rPr>
                <w:rFonts w:cs="Arial"/>
                <w:sz w:val="20"/>
                <w:szCs w:val="20"/>
              </w:rPr>
              <w:t xml:space="preserve"> %</w:t>
            </w:r>
          </w:p>
        </w:tc>
      </w:tr>
      <w:tr w:rsidR="000C292F" w:rsidRPr="00AC713D" w14:paraId="43F24E3D" w14:textId="77777777" w:rsidTr="006670C4">
        <w:tc>
          <w:tcPr>
            <w:tcW w:w="639" w:type="pct"/>
          </w:tcPr>
          <w:p w14:paraId="33171DD4" w14:textId="77777777" w:rsidR="000C292F" w:rsidRPr="00AC713D" w:rsidRDefault="000C292F" w:rsidP="00972840">
            <w:pPr>
              <w:ind w:right="-108"/>
              <w:jc w:val="left"/>
              <w:rPr>
                <w:rFonts w:cs="Arial"/>
                <w:sz w:val="20"/>
                <w:szCs w:val="20"/>
              </w:rPr>
            </w:pPr>
            <w:r w:rsidRPr="00AC713D">
              <w:rPr>
                <w:rFonts w:cs="Arial"/>
                <w:b/>
                <w:bCs/>
                <w:sz w:val="20"/>
                <w:szCs w:val="20"/>
              </w:rPr>
              <w:t>Plánovaná EBITDA</w:t>
            </w:r>
          </w:p>
        </w:tc>
        <w:tc>
          <w:tcPr>
            <w:tcW w:w="1454" w:type="pct"/>
          </w:tcPr>
          <w:p w14:paraId="18E01B6B" w14:textId="77777777" w:rsidR="000C292F" w:rsidRPr="00AC713D" w:rsidRDefault="000C292F" w:rsidP="00E431E6">
            <w:pPr>
              <w:jc w:val="left"/>
              <w:rPr>
                <w:rFonts w:cs="Arial"/>
                <w:sz w:val="20"/>
                <w:szCs w:val="20"/>
              </w:rPr>
            </w:pPr>
            <w:r w:rsidRPr="00AC713D">
              <w:rPr>
                <w:rFonts w:cs="Arial"/>
                <w:bCs/>
                <w:sz w:val="20"/>
                <w:szCs w:val="20"/>
              </w:rPr>
              <w:t>Finanční ukazatel definovaný jako výnosy minus náklady na prodané zboží a ostatní prodejní a administrativní náklady.</w:t>
            </w:r>
          </w:p>
        </w:tc>
        <w:tc>
          <w:tcPr>
            <w:tcW w:w="1454" w:type="pct"/>
          </w:tcPr>
          <w:p w14:paraId="6888A3B2" w14:textId="77777777" w:rsidR="000C292F" w:rsidRPr="00AC713D" w:rsidRDefault="000C292F" w:rsidP="00E431E6">
            <w:pPr>
              <w:jc w:val="left"/>
              <w:rPr>
                <w:rFonts w:cs="Arial"/>
                <w:bCs/>
                <w:sz w:val="20"/>
                <w:szCs w:val="20"/>
              </w:rPr>
            </w:pPr>
            <w:r w:rsidRPr="00AC713D">
              <w:rPr>
                <w:rFonts w:cs="Arial"/>
                <w:bCs/>
                <w:sz w:val="20"/>
                <w:szCs w:val="20"/>
              </w:rPr>
              <w:t>Je použitý v obchodním plánu Společnosti jako benchmarková hodnota pro ohodnocení výkonnosti v manažerském bonusovém plánu.</w:t>
            </w:r>
          </w:p>
        </w:tc>
        <w:tc>
          <w:tcPr>
            <w:tcW w:w="1454" w:type="pct"/>
          </w:tcPr>
          <w:p w14:paraId="5CFCDCF9" w14:textId="02DC5DB3" w:rsidR="000C292F" w:rsidRPr="00AC713D" w:rsidRDefault="000C292F" w:rsidP="00E431E6">
            <w:pPr>
              <w:spacing w:after="0" w:afterAutospacing="0"/>
              <w:ind w:right="-104"/>
              <w:jc w:val="left"/>
              <w:rPr>
                <w:rFonts w:cs="Arial"/>
                <w:bCs/>
                <w:sz w:val="20"/>
                <w:szCs w:val="20"/>
              </w:rPr>
            </w:pPr>
            <w:r w:rsidRPr="00AC713D">
              <w:rPr>
                <w:rFonts w:cs="Arial"/>
                <w:bCs/>
                <w:sz w:val="20"/>
                <w:szCs w:val="20"/>
              </w:rPr>
              <w:t xml:space="preserve">Viz </w:t>
            </w:r>
            <w:r w:rsidR="006670C4" w:rsidRPr="00AC713D">
              <w:rPr>
                <w:rFonts w:cs="Arial"/>
                <w:bCs/>
                <w:sz w:val="20"/>
                <w:szCs w:val="20"/>
              </w:rPr>
              <w:t>v</w:t>
            </w:r>
            <w:r w:rsidR="008C71E0" w:rsidRPr="00AC713D">
              <w:rPr>
                <w:rFonts w:cs="Arial"/>
                <w:bCs/>
                <w:sz w:val="20"/>
                <w:szCs w:val="20"/>
              </w:rPr>
              <w:t xml:space="preserve">ýhled hospodaření na rok </w:t>
            </w:r>
            <w:r w:rsidR="00945301" w:rsidRPr="00AC713D">
              <w:rPr>
                <w:rFonts w:cs="Arial"/>
                <w:bCs/>
                <w:sz w:val="20"/>
                <w:szCs w:val="20"/>
              </w:rPr>
              <w:t>20</w:t>
            </w:r>
            <w:r w:rsidR="00945301">
              <w:rPr>
                <w:rFonts w:cs="Arial"/>
                <w:bCs/>
                <w:sz w:val="20"/>
                <w:szCs w:val="20"/>
              </w:rPr>
              <w:t>20</w:t>
            </w:r>
            <w:r w:rsidRPr="00AC713D">
              <w:rPr>
                <w:rFonts w:cs="Arial"/>
                <w:bCs/>
                <w:sz w:val="20"/>
                <w:szCs w:val="20"/>
              </w:rPr>
              <w:t xml:space="preserve">: </w:t>
            </w:r>
          </w:p>
          <w:p w14:paraId="6BB61937" w14:textId="77777777" w:rsidR="000C292F" w:rsidRPr="00AC713D" w:rsidRDefault="000C292F" w:rsidP="00E431E6">
            <w:pPr>
              <w:spacing w:before="0" w:beforeAutospacing="0"/>
              <w:ind w:right="-104"/>
              <w:jc w:val="left"/>
              <w:rPr>
                <w:rFonts w:cs="Arial"/>
                <w:bCs/>
                <w:sz w:val="20"/>
                <w:szCs w:val="20"/>
              </w:rPr>
            </w:pPr>
            <w:r w:rsidRPr="00AC713D">
              <w:rPr>
                <w:rFonts w:cs="Arial"/>
                <w:bCs/>
                <w:sz w:val="20"/>
                <w:szCs w:val="20"/>
              </w:rPr>
              <w:t>Stanoveno jako kvalifikovaný odhad vedení Společnosti.</w:t>
            </w:r>
          </w:p>
        </w:tc>
      </w:tr>
    </w:tbl>
    <w:p w14:paraId="41B04C5B" w14:textId="77777777" w:rsidR="000C292F" w:rsidRPr="00AC713D" w:rsidRDefault="000C292F" w:rsidP="000C292F">
      <w:pPr>
        <w:rPr>
          <w:rFonts w:cs="Arial"/>
        </w:rPr>
      </w:pPr>
    </w:p>
    <w:p w14:paraId="236E22DD" w14:textId="77777777" w:rsidR="000C292F" w:rsidRPr="00AC713D" w:rsidRDefault="000C292F" w:rsidP="000C292F">
      <w:pPr>
        <w:rPr>
          <w:rFonts w:cs="Arial"/>
        </w:rPr>
      </w:pPr>
    </w:p>
    <w:p w14:paraId="533C5006" w14:textId="77777777" w:rsidR="000C292F" w:rsidRPr="00AC713D" w:rsidRDefault="000C292F" w:rsidP="000C292F">
      <w:pPr>
        <w:rPr>
          <w:rFonts w:cs="Arial"/>
        </w:rPr>
      </w:pPr>
    </w:p>
    <w:p w14:paraId="4BD6EAEB" w14:textId="77777777" w:rsidR="000C292F" w:rsidRPr="00AC713D" w:rsidRDefault="000C292F" w:rsidP="000C292F">
      <w:pPr>
        <w:rPr>
          <w:rFonts w:cs="Arial"/>
        </w:rPr>
        <w:sectPr w:rsidR="000C292F" w:rsidRPr="00AC713D">
          <w:pgSz w:w="11906" w:h="16838"/>
          <w:pgMar w:top="1417" w:right="1417" w:bottom="1417" w:left="1417" w:header="720" w:footer="720" w:gutter="0"/>
          <w:cols w:space="720"/>
          <w:docGrid w:linePitch="360"/>
        </w:sectPr>
      </w:pPr>
    </w:p>
    <w:p w14:paraId="0EFF1310" w14:textId="77777777" w:rsidR="000C292F" w:rsidRPr="00AC713D" w:rsidRDefault="000C292F" w:rsidP="000C292F">
      <w:pPr>
        <w:pStyle w:val="Nadpis1"/>
        <w:rPr>
          <w:rFonts w:cs="Arial"/>
        </w:rPr>
      </w:pPr>
      <w:bookmarkStart w:id="112" w:name="_Toc269907507"/>
      <w:bookmarkStart w:id="113" w:name="_Toc47644478"/>
      <w:bookmarkStart w:id="114" w:name="_Toc165188467"/>
      <w:r w:rsidRPr="00AC713D">
        <w:rPr>
          <w:rFonts w:cs="Arial"/>
        </w:rPr>
        <w:lastRenderedPageBreak/>
        <w:t>Ostatní informace</w:t>
      </w:r>
      <w:bookmarkEnd w:id="112"/>
      <w:bookmarkEnd w:id="113"/>
    </w:p>
    <w:p w14:paraId="6A8B108C" w14:textId="77777777" w:rsidR="000C292F" w:rsidRPr="00AC713D" w:rsidRDefault="000C292F" w:rsidP="000C292F">
      <w:pPr>
        <w:rPr>
          <w:rFonts w:cs="Arial"/>
        </w:rPr>
      </w:pPr>
    </w:p>
    <w:p w14:paraId="7406AC7D" w14:textId="77777777" w:rsidR="000C292F" w:rsidRPr="00AC713D" w:rsidRDefault="000C292F" w:rsidP="000C292F">
      <w:pPr>
        <w:pStyle w:val="Nadpis4"/>
        <w:rPr>
          <w:rFonts w:cs="Arial"/>
        </w:rPr>
        <w:sectPr w:rsidR="000C292F" w:rsidRPr="00AC713D" w:rsidSect="00E431E6">
          <w:pgSz w:w="11906" w:h="16838"/>
          <w:pgMar w:top="1417" w:right="1417" w:bottom="1417" w:left="1417" w:header="708" w:footer="708" w:gutter="0"/>
          <w:cols w:space="708"/>
          <w:docGrid w:linePitch="360"/>
        </w:sectPr>
      </w:pPr>
    </w:p>
    <w:p w14:paraId="3F142B40" w14:textId="77777777" w:rsidR="000C292F" w:rsidRPr="00AC713D" w:rsidRDefault="000C292F" w:rsidP="000C292F">
      <w:pPr>
        <w:pStyle w:val="Nadpis4"/>
        <w:rPr>
          <w:rFonts w:cs="Arial"/>
        </w:rPr>
      </w:pPr>
      <w:r w:rsidRPr="00AC713D">
        <w:rPr>
          <w:rFonts w:cs="Arial"/>
        </w:rPr>
        <w:t>Základní údaje o Společnosti</w:t>
      </w:r>
      <w:bookmarkEnd w:id="114"/>
    </w:p>
    <w:p w14:paraId="03CC0933" w14:textId="77777777" w:rsidR="000C292F" w:rsidRPr="00AC713D" w:rsidRDefault="000C292F" w:rsidP="000C292F">
      <w:pPr>
        <w:spacing w:before="0" w:beforeAutospacing="0" w:after="0" w:afterAutospacing="0"/>
        <w:rPr>
          <w:rFonts w:cs="Arial"/>
          <w:b/>
        </w:rPr>
      </w:pPr>
      <w:r w:rsidRPr="00AC713D">
        <w:rPr>
          <w:rFonts w:cs="Arial"/>
          <w:b/>
        </w:rPr>
        <w:t>Obchodní firma</w:t>
      </w:r>
    </w:p>
    <w:p w14:paraId="45899FED" w14:textId="77777777" w:rsidR="000C292F" w:rsidRPr="00AC713D" w:rsidRDefault="000C292F" w:rsidP="000C292F">
      <w:pPr>
        <w:spacing w:before="0" w:beforeAutospacing="0" w:after="0" w:afterAutospacing="0"/>
        <w:rPr>
          <w:rFonts w:cs="Arial"/>
        </w:rPr>
      </w:pPr>
      <w:r w:rsidRPr="00AC713D">
        <w:rPr>
          <w:rFonts w:cs="Arial"/>
        </w:rPr>
        <w:t>PFNonwovens a.s.</w:t>
      </w:r>
    </w:p>
    <w:p w14:paraId="4BC91BFE" w14:textId="77777777" w:rsidR="000C292F" w:rsidRPr="00AC713D" w:rsidRDefault="000C292F" w:rsidP="000C292F">
      <w:pPr>
        <w:spacing w:before="0" w:beforeAutospacing="0" w:after="0" w:afterAutospacing="0"/>
        <w:rPr>
          <w:rFonts w:cs="Arial"/>
        </w:rPr>
      </w:pPr>
    </w:p>
    <w:p w14:paraId="7D43B164" w14:textId="77777777" w:rsidR="000C292F" w:rsidRPr="00AC713D" w:rsidRDefault="000C292F" w:rsidP="000C292F">
      <w:pPr>
        <w:spacing w:before="0" w:beforeAutospacing="0" w:after="0" w:afterAutospacing="0"/>
        <w:rPr>
          <w:rFonts w:cs="Arial"/>
          <w:b/>
        </w:rPr>
      </w:pPr>
      <w:r w:rsidRPr="00AC713D">
        <w:rPr>
          <w:rFonts w:cs="Arial"/>
          <w:b/>
        </w:rPr>
        <w:t>Sídlo</w:t>
      </w:r>
    </w:p>
    <w:p w14:paraId="28F94C88" w14:textId="77777777" w:rsidR="000C292F" w:rsidRPr="00AC713D" w:rsidRDefault="000C292F" w:rsidP="000C292F">
      <w:pPr>
        <w:spacing w:before="0" w:beforeAutospacing="0" w:after="0" w:afterAutospacing="0"/>
        <w:rPr>
          <w:rFonts w:cs="Arial"/>
        </w:rPr>
      </w:pPr>
      <w:r w:rsidRPr="00AC713D">
        <w:rPr>
          <w:rFonts w:cs="Arial"/>
        </w:rPr>
        <w:t>Hradčanské náměstí 67/8</w:t>
      </w:r>
    </w:p>
    <w:p w14:paraId="7EF9B2FA" w14:textId="77777777" w:rsidR="000C292F" w:rsidRPr="00AC713D" w:rsidRDefault="000C292F" w:rsidP="000C292F">
      <w:pPr>
        <w:spacing w:before="0" w:beforeAutospacing="0" w:after="0" w:afterAutospacing="0"/>
        <w:rPr>
          <w:rFonts w:cs="Arial"/>
        </w:rPr>
      </w:pPr>
      <w:r w:rsidRPr="00AC713D">
        <w:rPr>
          <w:rFonts w:cs="Arial"/>
        </w:rPr>
        <w:t xml:space="preserve">118 00 Praha 1 – Hradčany </w:t>
      </w:r>
    </w:p>
    <w:p w14:paraId="4C541C27" w14:textId="77777777" w:rsidR="000C292F" w:rsidRPr="00AC713D" w:rsidRDefault="000C292F" w:rsidP="000C292F">
      <w:pPr>
        <w:spacing w:before="0" w:beforeAutospacing="0" w:after="0" w:afterAutospacing="0"/>
        <w:rPr>
          <w:rFonts w:cs="Arial"/>
        </w:rPr>
      </w:pPr>
      <w:r w:rsidRPr="00AC713D">
        <w:rPr>
          <w:rFonts w:cs="Arial"/>
        </w:rPr>
        <w:t>Česká republika</w:t>
      </w:r>
    </w:p>
    <w:p w14:paraId="51C8DD68" w14:textId="77777777" w:rsidR="000C292F" w:rsidRPr="00AC713D" w:rsidRDefault="000C292F" w:rsidP="000C292F">
      <w:pPr>
        <w:spacing w:before="0" w:beforeAutospacing="0" w:after="0" w:afterAutospacing="0"/>
        <w:rPr>
          <w:rFonts w:cs="Arial"/>
        </w:rPr>
      </w:pPr>
      <w:r w:rsidRPr="00AC713D">
        <w:rPr>
          <w:rFonts w:cs="Arial"/>
        </w:rPr>
        <w:t>Tel: +420 515 262 411</w:t>
      </w:r>
    </w:p>
    <w:p w14:paraId="21E2C56F" w14:textId="77777777" w:rsidR="000C292F" w:rsidRPr="00AC713D" w:rsidRDefault="000C292F" w:rsidP="000C292F">
      <w:pPr>
        <w:spacing w:before="0" w:beforeAutospacing="0" w:after="0" w:afterAutospacing="0"/>
        <w:rPr>
          <w:rFonts w:cs="Arial"/>
        </w:rPr>
      </w:pPr>
    </w:p>
    <w:p w14:paraId="13BD0752" w14:textId="77777777" w:rsidR="000C292F" w:rsidRPr="00AC713D" w:rsidRDefault="000C292F" w:rsidP="000C292F">
      <w:pPr>
        <w:spacing w:before="0" w:beforeAutospacing="0" w:after="0" w:afterAutospacing="0"/>
        <w:rPr>
          <w:rFonts w:cs="Arial"/>
          <w:b/>
        </w:rPr>
      </w:pPr>
      <w:r w:rsidRPr="00AC713D">
        <w:rPr>
          <w:rFonts w:cs="Arial"/>
          <w:b/>
        </w:rPr>
        <w:t>Rejstřík a registrační číslo</w:t>
      </w:r>
    </w:p>
    <w:p w14:paraId="55CEA004" w14:textId="77777777" w:rsidR="000C292F" w:rsidRPr="00AC713D" w:rsidRDefault="000C292F" w:rsidP="000C292F">
      <w:pPr>
        <w:spacing w:before="0" w:beforeAutospacing="0" w:after="0" w:afterAutospacing="0"/>
        <w:rPr>
          <w:rFonts w:cs="Arial"/>
        </w:rPr>
      </w:pPr>
      <w:r w:rsidRPr="00AC713D">
        <w:rPr>
          <w:rFonts w:cs="Arial"/>
        </w:rPr>
        <w:t>Společnost je zapsána v obchodním rejstříku vedeném Městským soudem v Praze pod číslem B 23154.</w:t>
      </w:r>
    </w:p>
    <w:p w14:paraId="72DDA160" w14:textId="77777777" w:rsidR="000C292F" w:rsidRPr="00AC713D" w:rsidRDefault="000C292F" w:rsidP="000C292F">
      <w:pPr>
        <w:spacing w:before="0" w:beforeAutospacing="0" w:after="0" w:afterAutospacing="0"/>
        <w:rPr>
          <w:rFonts w:cs="Arial"/>
        </w:rPr>
      </w:pPr>
    </w:p>
    <w:p w14:paraId="3B84DD9B" w14:textId="77777777" w:rsidR="000C292F" w:rsidRPr="00AC713D" w:rsidRDefault="000C292F" w:rsidP="000C292F">
      <w:pPr>
        <w:spacing w:before="0" w:beforeAutospacing="0" w:after="0" w:afterAutospacing="0"/>
        <w:rPr>
          <w:rFonts w:cs="Arial"/>
          <w:b/>
        </w:rPr>
      </w:pPr>
      <w:r w:rsidRPr="00AC713D">
        <w:rPr>
          <w:rFonts w:cs="Arial"/>
          <w:b/>
        </w:rPr>
        <w:t>Vznik</w:t>
      </w:r>
    </w:p>
    <w:p w14:paraId="7336555A" w14:textId="77777777" w:rsidR="000C292F" w:rsidRPr="00AC713D" w:rsidRDefault="000C292F" w:rsidP="000C292F">
      <w:pPr>
        <w:spacing w:before="0" w:beforeAutospacing="0" w:after="0" w:afterAutospacing="0"/>
        <w:rPr>
          <w:rFonts w:cs="Arial"/>
        </w:rPr>
      </w:pPr>
      <w:r w:rsidRPr="00AC713D">
        <w:rPr>
          <w:rFonts w:cs="Arial"/>
        </w:rPr>
        <w:t>18. listopadu 2005, pod původním jménem Pamplona PE Holdco 2 SA</w:t>
      </w:r>
    </w:p>
    <w:p w14:paraId="067559EE" w14:textId="77777777" w:rsidR="000C292F" w:rsidRPr="00AC713D" w:rsidRDefault="000C292F" w:rsidP="000C292F">
      <w:pPr>
        <w:spacing w:before="0" w:beforeAutospacing="0" w:after="0" w:afterAutospacing="0"/>
        <w:rPr>
          <w:rFonts w:cs="Arial"/>
        </w:rPr>
      </w:pPr>
    </w:p>
    <w:p w14:paraId="5F07B93B" w14:textId="77777777" w:rsidR="000C292F" w:rsidRPr="00AC713D" w:rsidRDefault="000C292F" w:rsidP="000C292F">
      <w:pPr>
        <w:spacing w:before="0" w:beforeAutospacing="0" w:after="0" w:afterAutospacing="0"/>
        <w:rPr>
          <w:rFonts w:cs="Arial"/>
          <w:b/>
        </w:rPr>
      </w:pPr>
      <w:r w:rsidRPr="00AC713D">
        <w:rPr>
          <w:rFonts w:cs="Arial"/>
          <w:b/>
        </w:rPr>
        <w:t>Jurisdikce</w:t>
      </w:r>
    </w:p>
    <w:p w14:paraId="4659E7FF" w14:textId="77777777" w:rsidR="000C292F" w:rsidRPr="00AC713D" w:rsidRDefault="000C292F" w:rsidP="000C292F">
      <w:pPr>
        <w:spacing w:before="0" w:beforeAutospacing="0" w:after="0" w:afterAutospacing="0"/>
        <w:rPr>
          <w:rFonts w:cs="Arial"/>
        </w:rPr>
      </w:pPr>
      <w:r w:rsidRPr="00AC713D">
        <w:rPr>
          <w:rFonts w:cs="Arial"/>
        </w:rPr>
        <w:t>Česká republika</w:t>
      </w:r>
    </w:p>
    <w:p w14:paraId="0225FA22" w14:textId="5B0343BD" w:rsidR="000C292F" w:rsidRPr="00AC713D" w:rsidRDefault="000C292F" w:rsidP="000C292F">
      <w:pPr>
        <w:pStyle w:val="Normlnweb"/>
        <w:rPr>
          <w:rFonts w:cs="Arial"/>
        </w:rPr>
      </w:pPr>
      <w:r w:rsidRPr="00AC713D">
        <w:rPr>
          <w:rFonts w:cs="Arial"/>
        </w:rPr>
        <w:t>Společnost byla založena v</w:t>
      </w:r>
      <w:r w:rsidR="007F2D23">
        <w:rPr>
          <w:rFonts w:cs="Arial"/>
        </w:rPr>
        <w:t> </w:t>
      </w:r>
      <w:r w:rsidRPr="00AC713D">
        <w:rPr>
          <w:rFonts w:cs="Arial"/>
        </w:rPr>
        <w:t>Lucembursku jako veřejná společnost s ručením omezeným („société anonyme“) na dobu neurčitou 18. listopadu 2005 jako Pamplona PE Holdco 2 SA a byla zapsána v Rejstříku obchodu a společností v Lucembursku pod číslem B 112.044. V</w:t>
      </w:r>
      <w:r w:rsidR="00F76E9D" w:rsidRPr="00AC713D">
        <w:rPr>
          <w:rFonts w:cs="Arial"/>
        </w:rPr>
        <w:t> </w:t>
      </w:r>
      <w:r w:rsidRPr="00AC713D">
        <w:rPr>
          <w:rFonts w:cs="Arial"/>
        </w:rPr>
        <w:t xml:space="preserve">roce 2006 Společnost změnila svůj název na PEGAS NONWOVENS SA. </w:t>
      </w:r>
    </w:p>
    <w:p w14:paraId="05F98B53" w14:textId="7CEFE2EB" w:rsidR="000C292F" w:rsidRPr="00AC713D" w:rsidRDefault="000C292F" w:rsidP="000C292F">
      <w:pPr>
        <w:pStyle w:val="Normlnweb"/>
        <w:rPr>
          <w:rFonts w:cs="Arial"/>
        </w:rPr>
      </w:pPr>
      <w:r w:rsidRPr="00AC713D">
        <w:rPr>
          <w:rFonts w:cs="Arial"/>
        </w:rPr>
        <w:t>Mimořádná valná hromada Společnosti rozhodla dne 18. prosince 2017 o přemístění sídla do České republiky a změnila příslušnost (statut) Společnosti z lucemburské na českou. Zároveň mimořádná valná hromada přijala nové znění stanov Společnosti a</w:t>
      </w:r>
      <w:r w:rsidR="007F2D23">
        <w:rPr>
          <w:rFonts w:cs="Arial"/>
        </w:rPr>
        <w:t> </w:t>
      </w:r>
      <w:r w:rsidRPr="00AC713D">
        <w:rPr>
          <w:rFonts w:cs="Arial"/>
        </w:rPr>
        <w:t>změnila název Společnosti na</w:t>
      </w:r>
      <w:r w:rsidR="00603330">
        <w:rPr>
          <w:rFonts w:cs="Arial"/>
        </w:rPr>
        <w:t> </w:t>
      </w:r>
      <w:r w:rsidRPr="00AC713D">
        <w:rPr>
          <w:rFonts w:cs="Arial"/>
        </w:rPr>
        <w:t xml:space="preserve">PEGAS NONWOVENS a.s. </w:t>
      </w:r>
    </w:p>
    <w:p w14:paraId="51629FA2" w14:textId="19E15F5D" w:rsidR="000C292F" w:rsidRPr="00AC713D" w:rsidRDefault="000C292F" w:rsidP="000C292F">
      <w:pPr>
        <w:pStyle w:val="Normlnweb"/>
        <w:rPr>
          <w:rFonts w:cs="Arial"/>
        </w:rPr>
      </w:pPr>
      <w:r w:rsidRPr="00AC713D">
        <w:rPr>
          <w:rFonts w:cs="Arial"/>
        </w:rPr>
        <w:t>V důsledku přemístění sídla Společnosti nedošlo k zániku lucemburské společnosti PEGAS NONWOVENS SA ani ke vzniku nové právnické osoby, ale pouze ke změně právní formy na akciovou společnost dle českého práva. PEGAS NONWOVENS a.s. byla zapsána do</w:t>
      </w:r>
      <w:r w:rsidR="00603330">
        <w:rPr>
          <w:rFonts w:cs="Arial"/>
        </w:rPr>
        <w:t> </w:t>
      </w:r>
      <w:r w:rsidRPr="00AC713D">
        <w:rPr>
          <w:rFonts w:cs="Arial"/>
        </w:rPr>
        <w:t>českého obchodního rejstříku s</w:t>
      </w:r>
      <w:r w:rsidR="007F2D23">
        <w:rPr>
          <w:rFonts w:cs="Arial"/>
        </w:rPr>
        <w:t> </w:t>
      </w:r>
      <w:r w:rsidRPr="00AC713D">
        <w:rPr>
          <w:rFonts w:cs="Arial"/>
        </w:rPr>
        <w:t>účinností od 1. ledna 2018. Sídlem Společnosti je Hradčanské náměstí 67/8, Hradčany, 118 00 Praha 1, Česká republika.</w:t>
      </w:r>
    </w:p>
    <w:p w14:paraId="4F92E853" w14:textId="73E6E89F" w:rsidR="000C292F" w:rsidRPr="00AC713D" w:rsidRDefault="000C292F" w:rsidP="000C292F">
      <w:pPr>
        <w:pStyle w:val="Normlnweb"/>
        <w:rPr>
          <w:rFonts w:cs="Arial"/>
        </w:rPr>
      </w:pPr>
      <w:r w:rsidRPr="00AC713D">
        <w:rPr>
          <w:rFonts w:cs="Arial"/>
        </w:rPr>
        <w:t>Dne 15. června 2018 rozhodla řádná valná hromada Společnosti o změně obchodní firmy Společnosti na</w:t>
      </w:r>
      <w:r w:rsidR="00603330">
        <w:rPr>
          <w:rFonts w:cs="Arial"/>
        </w:rPr>
        <w:t> </w:t>
      </w:r>
      <w:r w:rsidRPr="00AC713D">
        <w:rPr>
          <w:rFonts w:cs="Arial"/>
        </w:rPr>
        <w:t>PFNonwovens a.s. a zároveň schválila odpovídající změny prvního odstavce článku 1 Stanov Společnosti. Změna obchodní firmy na</w:t>
      </w:r>
      <w:r w:rsidR="00603330">
        <w:rPr>
          <w:rFonts w:cs="Arial"/>
        </w:rPr>
        <w:t> </w:t>
      </w:r>
      <w:r w:rsidRPr="00AC713D">
        <w:rPr>
          <w:rFonts w:cs="Arial"/>
        </w:rPr>
        <w:t>PFNonwovens a.s. byla zapsána do</w:t>
      </w:r>
      <w:r w:rsidR="00603330">
        <w:rPr>
          <w:rFonts w:cs="Arial"/>
        </w:rPr>
        <w:t> </w:t>
      </w:r>
      <w:r w:rsidRPr="00AC713D">
        <w:rPr>
          <w:rFonts w:cs="Arial"/>
        </w:rPr>
        <w:t>obchodního rejstříku s účinností od</w:t>
      </w:r>
      <w:r w:rsidR="00603330">
        <w:rPr>
          <w:rFonts w:cs="Arial"/>
        </w:rPr>
        <w:t> </w:t>
      </w:r>
      <w:r w:rsidRPr="00AC713D">
        <w:rPr>
          <w:rFonts w:cs="Arial"/>
        </w:rPr>
        <w:t>19. června 2018.</w:t>
      </w:r>
    </w:p>
    <w:p w14:paraId="51E7AAF1" w14:textId="7CFD2D5C" w:rsidR="000C292F" w:rsidRPr="00AC713D" w:rsidRDefault="000C292F" w:rsidP="000C292F">
      <w:pPr>
        <w:pStyle w:val="Normlnweb"/>
        <w:rPr>
          <w:rFonts w:cs="Arial"/>
        </w:rPr>
      </w:pPr>
    </w:p>
    <w:p w14:paraId="3F95C3E1" w14:textId="77777777" w:rsidR="000C292F" w:rsidRPr="00AC713D" w:rsidRDefault="000C292F" w:rsidP="000C292F">
      <w:pPr>
        <w:pStyle w:val="Nadpis4"/>
        <w:rPr>
          <w:rFonts w:cs="Arial"/>
        </w:rPr>
      </w:pPr>
      <w:r w:rsidRPr="00AC713D">
        <w:rPr>
          <w:rFonts w:cs="Arial"/>
        </w:rPr>
        <w:t>Předmět podnikání a předmět činnosti Společnosti (dle článku 3 Stanov společnosti):</w:t>
      </w:r>
    </w:p>
    <w:p w14:paraId="6F8870E4" w14:textId="77777777" w:rsidR="000C292F" w:rsidRPr="00AC713D" w:rsidRDefault="000C292F" w:rsidP="000C292F">
      <w:pPr>
        <w:spacing w:after="0" w:afterAutospacing="0"/>
        <w:rPr>
          <w:rFonts w:cs="Arial"/>
          <w:b/>
        </w:rPr>
      </w:pPr>
      <w:r w:rsidRPr="00AC713D">
        <w:rPr>
          <w:rFonts w:cs="Arial"/>
          <w:b/>
        </w:rPr>
        <w:t>Předmětem podnikání Společnosti je:</w:t>
      </w:r>
    </w:p>
    <w:p w14:paraId="605FD915" w14:textId="77777777" w:rsidR="000C292F" w:rsidRPr="00AC713D" w:rsidRDefault="000C292F" w:rsidP="000C292F">
      <w:pPr>
        <w:pStyle w:val="Odstavecseseznamem"/>
        <w:numPr>
          <w:ilvl w:val="0"/>
          <w:numId w:val="27"/>
        </w:numPr>
        <w:spacing w:before="0" w:beforeAutospacing="0"/>
        <w:ind w:left="540"/>
        <w:rPr>
          <w:rFonts w:cs="Arial"/>
        </w:rPr>
      </w:pPr>
      <w:r w:rsidRPr="00AC713D">
        <w:rPr>
          <w:rFonts w:cs="Arial"/>
        </w:rPr>
        <w:t>Výroba, obchod a služby neuvedené v přílohách 1 a 3 živnostenského zákona</w:t>
      </w:r>
    </w:p>
    <w:p w14:paraId="5817D704" w14:textId="77777777" w:rsidR="000C292F" w:rsidRPr="00AC713D" w:rsidRDefault="000C292F" w:rsidP="000C292F">
      <w:pPr>
        <w:spacing w:after="0" w:afterAutospacing="0"/>
        <w:rPr>
          <w:rFonts w:cs="Arial"/>
          <w:b/>
        </w:rPr>
      </w:pPr>
      <w:r w:rsidRPr="00AC713D">
        <w:rPr>
          <w:rFonts w:cs="Arial"/>
          <w:b/>
        </w:rPr>
        <w:t>Předmětem činnosti Společnosti je:</w:t>
      </w:r>
    </w:p>
    <w:p w14:paraId="25A08CDF" w14:textId="77777777" w:rsidR="000C292F" w:rsidRPr="00AC713D" w:rsidRDefault="000C292F" w:rsidP="000C292F">
      <w:pPr>
        <w:pStyle w:val="Odstavecseseznamem"/>
        <w:numPr>
          <w:ilvl w:val="0"/>
          <w:numId w:val="27"/>
        </w:numPr>
        <w:spacing w:before="0" w:beforeAutospacing="0"/>
        <w:ind w:left="540"/>
        <w:rPr>
          <w:rFonts w:cs="Arial"/>
        </w:rPr>
      </w:pPr>
      <w:r w:rsidRPr="00AC713D">
        <w:rPr>
          <w:rFonts w:cs="Arial"/>
        </w:rPr>
        <w:t>Správa vlastního majetku</w:t>
      </w:r>
    </w:p>
    <w:p w14:paraId="1B490761" w14:textId="77777777" w:rsidR="000C292F" w:rsidRPr="00AC713D" w:rsidRDefault="000C292F" w:rsidP="000C292F">
      <w:pPr>
        <w:rPr>
          <w:rFonts w:cs="Arial"/>
          <w:b/>
        </w:rPr>
      </w:pPr>
    </w:p>
    <w:p w14:paraId="5BACC8D6" w14:textId="77777777" w:rsidR="000C292F" w:rsidRPr="00AC713D" w:rsidRDefault="000C292F" w:rsidP="002C4FFF">
      <w:pPr>
        <w:pStyle w:val="AODocTxt"/>
        <w:spacing w:before="100"/>
        <w:rPr>
          <w:rFonts w:cs="Arial"/>
          <w:lang w:val="cs-CZ"/>
        </w:rPr>
      </w:pPr>
    </w:p>
    <w:p w14:paraId="0EA1A737" w14:textId="77777777" w:rsidR="00E431E6" w:rsidRPr="00AC713D" w:rsidRDefault="00E431E6">
      <w:pPr>
        <w:rPr>
          <w:rFonts w:cs="Arial"/>
        </w:rPr>
      </w:pPr>
    </w:p>
    <w:sectPr w:rsidR="00E431E6" w:rsidRPr="00AC713D" w:rsidSect="00E431E6">
      <w:type w:val="continuous"/>
      <w:pgSz w:w="11906" w:h="16838"/>
      <w:pgMar w:top="1417" w:right="1417" w:bottom="1417" w:left="1417" w:header="708" w:footer="708" w:gutter="0"/>
      <w:cols w:num="2"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35AE4" w16cex:dateUtc="2020-08-28T08: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8FAD3F" w16cid:durableId="22F35AE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C82CA" w14:textId="77777777" w:rsidR="001E35CD" w:rsidRDefault="001E35CD" w:rsidP="000C292F">
      <w:pPr>
        <w:spacing w:before="0" w:after="0"/>
      </w:pPr>
      <w:r>
        <w:separator/>
      </w:r>
    </w:p>
  </w:endnote>
  <w:endnote w:type="continuationSeparator" w:id="0">
    <w:p w14:paraId="1CB9CC3A" w14:textId="77777777" w:rsidR="001E35CD" w:rsidRDefault="001E35CD" w:rsidP="000C292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auto"/>
    <w:notTrueType/>
    <w:pitch w:val="variable"/>
    <w:sig w:usb0="00000003" w:usb1="00000000" w:usb2="00000000" w:usb3="00000000" w:csb0="00000003" w:csb1="00000000"/>
  </w:font>
  <w:font w:name="Times">
    <w:panose1 w:val="02020603050405020304"/>
    <w:charset w:val="00"/>
    <w:family w:val="auto"/>
    <w:pitch w:val="variable"/>
    <w:sig w:usb0="E00002FF" w:usb1="5000205A" w:usb2="00000000" w:usb3="00000000" w:csb0="0000019F" w:csb1="00000000"/>
  </w:font>
  <w:font w:name="EurostileTEEBla">
    <w:altName w:val="EurostileTEEBla"/>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38D1B" w14:textId="77777777" w:rsidR="00A94CA4" w:rsidRDefault="00A94CA4" w:rsidP="00E431E6">
    <w:pPr>
      <w:pStyle w:val="Zpat"/>
      <w:rPr>
        <w:rStyle w:val="slostrnky"/>
      </w:rPr>
    </w:pPr>
    <w:r>
      <w:rPr>
        <w:rStyle w:val="slostrnky"/>
      </w:rPr>
      <w:fldChar w:fldCharType="begin"/>
    </w:r>
    <w:r>
      <w:rPr>
        <w:rStyle w:val="slostrnky"/>
      </w:rPr>
      <w:instrText xml:space="preserve">PAGE  </w:instrText>
    </w:r>
    <w:r>
      <w:rPr>
        <w:rStyle w:val="slostrnky"/>
      </w:rPr>
      <w:fldChar w:fldCharType="end"/>
    </w:r>
  </w:p>
  <w:p w14:paraId="11490BD8" w14:textId="77777777" w:rsidR="00A94CA4" w:rsidRDefault="00A94CA4" w:rsidP="00E431E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E58A7" w14:textId="5C504A78" w:rsidR="00A94CA4" w:rsidRDefault="00A94CA4" w:rsidP="00E431E6">
    <w:pPr>
      <w:pStyle w:val="Zpat"/>
      <w:rPr>
        <w:rStyle w:val="slostrnky"/>
      </w:rPr>
    </w:pPr>
    <w:r>
      <w:rPr>
        <w:rStyle w:val="slostrnky"/>
      </w:rPr>
      <w:tab/>
    </w:r>
    <w:r>
      <w:rPr>
        <w:rStyle w:val="slostrnky"/>
      </w:rPr>
      <w:fldChar w:fldCharType="begin"/>
    </w:r>
    <w:r>
      <w:rPr>
        <w:rStyle w:val="slostrnky"/>
      </w:rPr>
      <w:instrText xml:space="preserve">PAGE  </w:instrText>
    </w:r>
    <w:r>
      <w:rPr>
        <w:rStyle w:val="slostrnky"/>
      </w:rPr>
      <w:fldChar w:fldCharType="separate"/>
    </w:r>
    <w:r w:rsidR="0055452E">
      <w:rPr>
        <w:rStyle w:val="slostrnky"/>
        <w:noProof/>
      </w:rPr>
      <w:t>25</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B5EB4" w14:textId="77777777" w:rsidR="001E35CD" w:rsidRDefault="001E35CD" w:rsidP="000C292F">
      <w:pPr>
        <w:spacing w:before="0" w:after="0"/>
      </w:pPr>
      <w:r>
        <w:separator/>
      </w:r>
    </w:p>
  </w:footnote>
  <w:footnote w:type="continuationSeparator" w:id="0">
    <w:p w14:paraId="71C73C1B" w14:textId="77777777" w:rsidR="001E35CD" w:rsidRDefault="001E35CD" w:rsidP="000C292F">
      <w:pPr>
        <w:spacing w:before="0" w:after="0"/>
      </w:pPr>
      <w:r>
        <w:continuationSeparator/>
      </w:r>
    </w:p>
  </w:footnote>
  <w:footnote w:id="1">
    <w:p w14:paraId="4BC37FB0" w14:textId="77777777" w:rsidR="00A94CA4" w:rsidRPr="009361D0" w:rsidRDefault="00A94CA4" w:rsidP="000C292F">
      <w:pPr>
        <w:pStyle w:val="Textpoznpodarou"/>
      </w:pPr>
      <w:r w:rsidRPr="009361D0">
        <w:rPr>
          <w:rStyle w:val="Znakapoznpodarou"/>
        </w:rPr>
        <w:footnoteRef/>
      </w:r>
      <w:r w:rsidRPr="009361D0">
        <w:t xml:space="preserve"> Rozdělení dle geografie urč</w:t>
      </w:r>
      <w:r>
        <w:t>eno</w:t>
      </w:r>
      <w:r w:rsidRPr="009361D0">
        <w:t xml:space="preserve"> místem dodání zboží.</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C51BBE6"/>
    <w:multiLevelType w:val="hybridMultilevel"/>
    <w:tmpl w:val="D87C55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20BCB"/>
    <w:multiLevelType w:val="multilevel"/>
    <w:tmpl w:val="04050025"/>
    <w:lvl w:ilvl="0">
      <w:start w:val="1"/>
      <w:numFmt w:val="decimal"/>
      <w:lvlText w:val="%1"/>
      <w:lvlJc w:val="left"/>
      <w:pPr>
        <w:tabs>
          <w:tab w:val="num" w:pos="2276"/>
        </w:tabs>
        <w:ind w:left="2276"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2" w15:restartNumberingAfterBreak="0">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 w15:restartNumberingAfterBreak="0">
    <w:nsid w:val="14773F3D"/>
    <w:multiLevelType w:val="hybridMultilevel"/>
    <w:tmpl w:val="8B0E2CB4"/>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9BA177E"/>
    <w:multiLevelType w:val="hybridMultilevel"/>
    <w:tmpl w:val="BE6A806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2490861"/>
    <w:multiLevelType w:val="hybridMultilevel"/>
    <w:tmpl w:val="28F8F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E206D9"/>
    <w:multiLevelType w:val="hybridMultilevel"/>
    <w:tmpl w:val="ADC844D2"/>
    <w:lvl w:ilvl="0" w:tplc="04050011">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E5059"/>
    <w:multiLevelType w:val="hybridMultilevel"/>
    <w:tmpl w:val="6A441B0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EF34CD9"/>
    <w:multiLevelType w:val="hybridMultilevel"/>
    <w:tmpl w:val="F3FEF55C"/>
    <w:lvl w:ilvl="0" w:tplc="96FE211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1FA6DE9"/>
    <w:multiLevelType w:val="singleLevel"/>
    <w:tmpl w:val="FC38976C"/>
    <w:lvl w:ilvl="0">
      <w:start w:val="1"/>
      <w:numFmt w:val="bullet"/>
      <w:pStyle w:val="AOBullet"/>
      <w:lvlText w:val=""/>
      <w:lvlJc w:val="left"/>
      <w:pPr>
        <w:tabs>
          <w:tab w:val="num" w:pos="720"/>
        </w:tabs>
        <w:ind w:left="720" w:hanging="720"/>
      </w:pPr>
      <w:rPr>
        <w:rFonts w:ascii="Symbol" w:hAnsi="Symbol" w:hint="default"/>
      </w:rPr>
    </w:lvl>
  </w:abstractNum>
  <w:abstractNum w:abstractNumId="10" w15:restartNumberingAfterBreak="0">
    <w:nsid w:val="36CD219B"/>
    <w:multiLevelType w:val="hybridMultilevel"/>
    <w:tmpl w:val="E49E3F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A86711B"/>
    <w:multiLevelType w:val="hybridMultilevel"/>
    <w:tmpl w:val="F0B60E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CEE4787"/>
    <w:multiLevelType w:val="hybridMultilevel"/>
    <w:tmpl w:val="1C589E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762436"/>
    <w:multiLevelType w:val="hybridMultilevel"/>
    <w:tmpl w:val="A440B1B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5B3203"/>
    <w:multiLevelType w:val="multilevel"/>
    <w:tmpl w:val="6096DEFC"/>
    <w:name w:val="AODoc"/>
    <w:lvl w:ilvl="0">
      <w:start w:val="1"/>
      <w:numFmt w:val="none"/>
      <w:pStyle w:val="AODocTxtCharChar"/>
      <w:suff w:val="nothing"/>
      <w:lvlText w:val=""/>
      <w:lvlJc w:val="left"/>
      <w:pPr>
        <w:ind w:left="0" w:firstLine="0"/>
      </w:pPr>
    </w:lvl>
    <w:lvl w:ilvl="1">
      <w:start w:val="1"/>
      <w:numFmt w:val="none"/>
      <w:pStyle w:val="AODocTxtCharChar"/>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1"/>
      <w:suff w:val="nothing"/>
      <w:lvlText w:val=""/>
      <w:lvlJc w:val="left"/>
      <w:pPr>
        <w:ind w:left="2160" w:firstLine="0"/>
      </w:pPr>
    </w:lvl>
    <w:lvl w:ilvl="4">
      <w:start w:val="1"/>
      <w:numFmt w:val="none"/>
      <w:pStyle w:val="AODocTxtL2"/>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15" w15:restartNumberingAfterBreak="0">
    <w:nsid w:val="48FD5A48"/>
    <w:multiLevelType w:val="hybridMultilevel"/>
    <w:tmpl w:val="9196AB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CFE7B09"/>
    <w:multiLevelType w:val="multilevel"/>
    <w:tmpl w:val="94F29B5C"/>
    <w:lvl w:ilvl="0">
      <w:start w:val="1"/>
      <w:numFmt w:val="decimal"/>
      <w:pStyle w:val="AO1"/>
      <w:lvlText w:val="(%1)"/>
      <w:lvlJc w:val="left"/>
      <w:pPr>
        <w:tabs>
          <w:tab w:val="num" w:pos="1710"/>
        </w:tabs>
        <w:ind w:left="1710" w:hanging="720"/>
      </w:pPr>
    </w:lvl>
    <w:lvl w:ilvl="1">
      <w:start w:val="1"/>
      <w:numFmt w:val="none"/>
      <w:lvlRestart w:val="0"/>
      <w:suff w:val="nothing"/>
      <w:lvlText w:val=""/>
      <w:lvlJc w:val="left"/>
      <w:pPr>
        <w:ind w:left="990" w:firstLine="0"/>
      </w:pPr>
    </w:lvl>
    <w:lvl w:ilvl="2">
      <w:start w:val="1"/>
      <w:numFmt w:val="none"/>
      <w:lvlRestart w:val="0"/>
      <w:suff w:val="nothing"/>
      <w:lvlText w:val=""/>
      <w:lvlJc w:val="left"/>
      <w:pPr>
        <w:ind w:left="990" w:firstLine="0"/>
      </w:pPr>
    </w:lvl>
    <w:lvl w:ilvl="3">
      <w:start w:val="1"/>
      <w:numFmt w:val="none"/>
      <w:lvlRestart w:val="0"/>
      <w:suff w:val="nothing"/>
      <w:lvlText w:val=""/>
      <w:lvlJc w:val="left"/>
      <w:pPr>
        <w:ind w:left="990" w:firstLine="0"/>
      </w:pPr>
    </w:lvl>
    <w:lvl w:ilvl="4">
      <w:start w:val="1"/>
      <w:numFmt w:val="none"/>
      <w:lvlRestart w:val="0"/>
      <w:suff w:val="nothing"/>
      <w:lvlText w:val=""/>
      <w:lvlJc w:val="left"/>
      <w:pPr>
        <w:ind w:left="990" w:firstLine="0"/>
      </w:pPr>
    </w:lvl>
    <w:lvl w:ilvl="5">
      <w:start w:val="1"/>
      <w:numFmt w:val="none"/>
      <w:lvlRestart w:val="0"/>
      <w:suff w:val="nothing"/>
      <w:lvlText w:val=""/>
      <w:lvlJc w:val="left"/>
      <w:pPr>
        <w:ind w:left="990" w:firstLine="0"/>
      </w:pPr>
    </w:lvl>
    <w:lvl w:ilvl="6">
      <w:start w:val="1"/>
      <w:numFmt w:val="none"/>
      <w:lvlRestart w:val="0"/>
      <w:suff w:val="nothing"/>
      <w:lvlText w:val=""/>
      <w:lvlJc w:val="left"/>
      <w:pPr>
        <w:ind w:left="990" w:firstLine="0"/>
      </w:pPr>
    </w:lvl>
    <w:lvl w:ilvl="7">
      <w:start w:val="1"/>
      <w:numFmt w:val="none"/>
      <w:lvlRestart w:val="0"/>
      <w:suff w:val="nothing"/>
      <w:lvlText w:val=""/>
      <w:lvlJc w:val="left"/>
      <w:pPr>
        <w:ind w:left="990" w:firstLine="0"/>
      </w:pPr>
    </w:lvl>
    <w:lvl w:ilvl="8">
      <w:start w:val="1"/>
      <w:numFmt w:val="none"/>
      <w:lvlRestart w:val="0"/>
      <w:suff w:val="nothing"/>
      <w:lvlText w:val=""/>
      <w:lvlJc w:val="left"/>
      <w:pPr>
        <w:ind w:left="990" w:firstLine="0"/>
      </w:pPr>
    </w:lvl>
  </w:abstractNum>
  <w:abstractNum w:abstractNumId="17" w15:restartNumberingAfterBreak="0">
    <w:nsid w:val="4E4B4E3E"/>
    <w:multiLevelType w:val="multilevel"/>
    <w:tmpl w:val="83A01EB8"/>
    <w:name w:val="AOHead"/>
    <w:lvl w:ilvl="0">
      <w:start w:val="1"/>
      <w:numFmt w:val="decimal"/>
      <w:pStyle w:val="AOHead1"/>
      <w:lvlText w:val="%1."/>
      <w:lvlJc w:val="left"/>
      <w:pPr>
        <w:tabs>
          <w:tab w:val="num" w:pos="720"/>
        </w:tabs>
        <w:ind w:left="720" w:hanging="720"/>
      </w:pPr>
    </w:lvl>
    <w:lvl w:ilvl="1">
      <w:start w:val="1"/>
      <w:numFmt w:val="decimal"/>
      <w:pStyle w:val="AOHead1"/>
      <w:lvlText w:val="%1.%2"/>
      <w:lvlJc w:val="left"/>
      <w:pPr>
        <w:tabs>
          <w:tab w:val="num" w:pos="862"/>
        </w:tabs>
        <w:ind w:left="862" w:hanging="720"/>
      </w:pPr>
      <w:rPr>
        <w:b w:val="0"/>
      </w:r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8" w15:restartNumberingAfterBreak="0">
    <w:nsid w:val="510E4548"/>
    <w:multiLevelType w:val="hybridMultilevel"/>
    <w:tmpl w:val="16B6A29E"/>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512836C1"/>
    <w:multiLevelType w:val="hybridMultilevel"/>
    <w:tmpl w:val="851295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71E657F"/>
    <w:multiLevelType w:val="hybridMultilevel"/>
    <w:tmpl w:val="0B1A5370"/>
    <w:lvl w:ilvl="0" w:tplc="093CBC5C">
      <w:start w:val="1"/>
      <w:numFmt w:val="lowerLetter"/>
      <w:lvlText w:val="%1)"/>
      <w:lvlJc w:val="left"/>
      <w:pPr>
        <w:tabs>
          <w:tab w:val="num" w:pos="600"/>
        </w:tabs>
        <w:ind w:left="600" w:hanging="360"/>
      </w:pPr>
      <w:rPr>
        <w:rFonts w:cs="Times New Roman" w:hint="default"/>
        <w:b/>
        <w:i w:val="0"/>
      </w:rPr>
    </w:lvl>
    <w:lvl w:ilvl="1" w:tplc="5688F60C">
      <w:start w:val="1"/>
      <w:numFmt w:val="lowerLetter"/>
      <w:lvlText w:val="(%2)"/>
      <w:lvlJc w:val="left"/>
      <w:pPr>
        <w:tabs>
          <w:tab w:val="num" w:pos="1440"/>
        </w:tabs>
        <w:ind w:left="1440" w:hanging="360"/>
      </w:pPr>
      <w:rPr>
        <w:rFonts w:cs="Times New Roman" w:hint="default"/>
        <w:b/>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7C03674"/>
    <w:multiLevelType w:val="hybridMultilevel"/>
    <w:tmpl w:val="A15E339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E116E82"/>
    <w:multiLevelType w:val="hybridMultilevel"/>
    <w:tmpl w:val="7528DF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F004E79"/>
    <w:multiLevelType w:val="hybridMultilevel"/>
    <w:tmpl w:val="7E982D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DEA00BC"/>
    <w:multiLevelType w:val="hybridMultilevel"/>
    <w:tmpl w:val="CC36DA0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71322B"/>
    <w:multiLevelType w:val="hybridMultilevel"/>
    <w:tmpl w:val="D19A7B8A"/>
    <w:lvl w:ilvl="0" w:tplc="04090001">
      <w:start w:val="1"/>
      <w:numFmt w:val="bullet"/>
      <w:lvlText w:val=""/>
      <w:lvlJc w:val="left"/>
      <w:pPr>
        <w:tabs>
          <w:tab w:val="num" w:pos="1480"/>
        </w:tabs>
        <w:ind w:left="1480" w:hanging="360"/>
      </w:pPr>
      <w:rPr>
        <w:rFonts w:ascii="Symbol" w:hAnsi="Symbol" w:hint="default"/>
      </w:rPr>
    </w:lvl>
    <w:lvl w:ilvl="1" w:tplc="04090003" w:tentative="1">
      <w:start w:val="1"/>
      <w:numFmt w:val="bullet"/>
      <w:lvlText w:val="o"/>
      <w:lvlJc w:val="left"/>
      <w:pPr>
        <w:tabs>
          <w:tab w:val="num" w:pos="2200"/>
        </w:tabs>
        <w:ind w:left="2200" w:hanging="360"/>
      </w:pPr>
      <w:rPr>
        <w:rFonts w:ascii="Courier New" w:hAnsi="Courier New" w:cs="Courier New" w:hint="default"/>
      </w:rPr>
    </w:lvl>
    <w:lvl w:ilvl="2" w:tplc="04090005" w:tentative="1">
      <w:start w:val="1"/>
      <w:numFmt w:val="bullet"/>
      <w:lvlText w:val=""/>
      <w:lvlJc w:val="left"/>
      <w:pPr>
        <w:tabs>
          <w:tab w:val="num" w:pos="2920"/>
        </w:tabs>
        <w:ind w:left="2920" w:hanging="360"/>
      </w:pPr>
      <w:rPr>
        <w:rFonts w:ascii="Wingdings" w:hAnsi="Wingdings" w:hint="default"/>
      </w:rPr>
    </w:lvl>
    <w:lvl w:ilvl="3" w:tplc="04090001" w:tentative="1">
      <w:start w:val="1"/>
      <w:numFmt w:val="bullet"/>
      <w:lvlText w:val=""/>
      <w:lvlJc w:val="left"/>
      <w:pPr>
        <w:tabs>
          <w:tab w:val="num" w:pos="3640"/>
        </w:tabs>
        <w:ind w:left="3640" w:hanging="360"/>
      </w:pPr>
      <w:rPr>
        <w:rFonts w:ascii="Symbol" w:hAnsi="Symbol" w:hint="default"/>
      </w:rPr>
    </w:lvl>
    <w:lvl w:ilvl="4" w:tplc="04090003" w:tentative="1">
      <w:start w:val="1"/>
      <w:numFmt w:val="bullet"/>
      <w:lvlText w:val="o"/>
      <w:lvlJc w:val="left"/>
      <w:pPr>
        <w:tabs>
          <w:tab w:val="num" w:pos="4360"/>
        </w:tabs>
        <w:ind w:left="4360" w:hanging="360"/>
      </w:pPr>
      <w:rPr>
        <w:rFonts w:ascii="Courier New" w:hAnsi="Courier New" w:cs="Courier New" w:hint="default"/>
      </w:rPr>
    </w:lvl>
    <w:lvl w:ilvl="5" w:tplc="04090005" w:tentative="1">
      <w:start w:val="1"/>
      <w:numFmt w:val="bullet"/>
      <w:lvlText w:val=""/>
      <w:lvlJc w:val="left"/>
      <w:pPr>
        <w:tabs>
          <w:tab w:val="num" w:pos="5080"/>
        </w:tabs>
        <w:ind w:left="5080" w:hanging="360"/>
      </w:pPr>
      <w:rPr>
        <w:rFonts w:ascii="Wingdings" w:hAnsi="Wingdings" w:hint="default"/>
      </w:rPr>
    </w:lvl>
    <w:lvl w:ilvl="6" w:tplc="04090001" w:tentative="1">
      <w:start w:val="1"/>
      <w:numFmt w:val="bullet"/>
      <w:lvlText w:val=""/>
      <w:lvlJc w:val="left"/>
      <w:pPr>
        <w:tabs>
          <w:tab w:val="num" w:pos="5800"/>
        </w:tabs>
        <w:ind w:left="5800" w:hanging="360"/>
      </w:pPr>
      <w:rPr>
        <w:rFonts w:ascii="Symbol" w:hAnsi="Symbol" w:hint="default"/>
      </w:rPr>
    </w:lvl>
    <w:lvl w:ilvl="7" w:tplc="04090003" w:tentative="1">
      <w:start w:val="1"/>
      <w:numFmt w:val="bullet"/>
      <w:lvlText w:val="o"/>
      <w:lvlJc w:val="left"/>
      <w:pPr>
        <w:tabs>
          <w:tab w:val="num" w:pos="6520"/>
        </w:tabs>
        <w:ind w:left="6520" w:hanging="360"/>
      </w:pPr>
      <w:rPr>
        <w:rFonts w:ascii="Courier New" w:hAnsi="Courier New" w:cs="Courier New" w:hint="default"/>
      </w:rPr>
    </w:lvl>
    <w:lvl w:ilvl="8" w:tplc="04090005" w:tentative="1">
      <w:start w:val="1"/>
      <w:numFmt w:val="bullet"/>
      <w:lvlText w:val=""/>
      <w:lvlJc w:val="left"/>
      <w:pPr>
        <w:tabs>
          <w:tab w:val="num" w:pos="7240"/>
        </w:tabs>
        <w:ind w:left="7240" w:hanging="360"/>
      </w:pPr>
      <w:rPr>
        <w:rFonts w:ascii="Wingdings" w:hAnsi="Wingdings" w:hint="default"/>
      </w:rPr>
    </w:lvl>
  </w:abstractNum>
  <w:abstractNum w:abstractNumId="26" w15:restartNumberingAfterBreak="0">
    <w:nsid w:val="776A759B"/>
    <w:multiLevelType w:val="hybridMultilevel"/>
    <w:tmpl w:val="293AF0F8"/>
    <w:lvl w:ilvl="0" w:tplc="C6AC6EB6">
      <w:start w:val="1"/>
      <w:numFmt w:val="decimal"/>
      <w:pStyle w:val="Ne1"/>
      <w:lvlText w:val="%1."/>
      <w:lvlJc w:val="left"/>
      <w:pPr>
        <w:tabs>
          <w:tab w:val="num" w:pos="540"/>
        </w:tabs>
        <w:ind w:left="540" w:hanging="540"/>
      </w:pPr>
      <w:rPr>
        <w:rFonts w:hint="default"/>
      </w:rPr>
    </w:lvl>
    <w:lvl w:ilvl="1" w:tplc="0409000F">
      <w:start w:val="1"/>
      <w:numFmt w:val="decimal"/>
      <w:lvlText w:val="%2."/>
      <w:lvlJc w:val="left"/>
      <w:pPr>
        <w:tabs>
          <w:tab w:val="num" w:pos="1440"/>
        </w:tabs>
        <w:ind w:left="1440" w:hanging="360"/>
      </w:pPr>
      <w:rPr>
        <w:rFonts w:hint="default"/>
      </w:rPr>
    </w:lvl>
    <w:lvl w:ilvl="2" w:tplc="E82C7B68">
      <w:start w:val="1"/>
      <w:numFmt w:val="decimal"/>
      <w:lvlText w:val="%3)"/>
      <w:lvlJc w:val="left"/>
      <w:pPr>
        <w:tabs>
          <w:tab w:val="num" w:pos="720"/>
        </w:tabs>
        <w:ind w:left="72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9EC1C0D"/>
    <w:multiLevelType w:val="hybridMultilevel"/>
    <w:tmpl w:val="089A7802"/>
    <w:lvl w:ilvl="0" w:tplc="74E29BD8">
      <w:start w:val="1"/>
      <w:numFmt w:val="lowerLetter"/>
      <w:pStyle w:val="Nadpis5"/>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
  </w:num>
  <w:num w:numId="2">
    <w:abstractNumId w:val="14"/>
  </w:num>
  <w:num w:numId="3">
    <w:abstractNumId w:val="2"/>
  </w:num>
  <w:num w:numId="4">
    <w:abstractNumId w:val="9"/>
  </w:num>
  <w:num w:numId="5">
    <w:abstractNumId w:val="26"/>
  </w:num>
  <w:num w:numId="6">
    <w:abstractNumId w:val="16"/>
  </w:num>
  <w:num w:numId="7">
    <w:abstractNumId w:val="17"/>
  </w:num>
  <w:num w:numId="8">
    <w:abstractNumId w:val="12"/>
  </w:num>
  <w:num w:numId="9">
    <w:abstractNumId w:val="6"/>
  </w:num>
  <w:num w:numId="10">
    <w:abstractNumId w:val="24"/>
  </w:num>
  <w:num w:numId="11">
    <w:abstractNumId w:val="4"/>
  </w:num>
  <w:num w:numId="12">
    <w:abstractNumId w:val="13"/>
  </w:num>
  <w:num w:numId="13">
    <w:abstractNumId w:val="21"/>
  </w:num>
  <w:num w:numId="14">
    <w:abstractNumId w:val="18"/>
  </w:num>
  <w:num w:numId="15">
    <w:abstractNumId w:val="3"/>
  </w:num>
  <w:num w:numId="16">
    <w:abstractNumId w:val="7"/>
  </w:num>
  <w:num w:numId="17">
    <w:abstractNumId w:val="0"/>
  </w:num>
  <w:num w:numId="18">
    <w:abstractNumId w:val="27"/>
  </w:num>
  <w:num w:numId="19">
    <w:abstractNumId w:val="20"/>
  </w:num>
  <w:num w:numId="20">
    <w:abstractNumId w:val="22"/>
  </w:num>
  <w:num w:numId="21">
    <w:abstractNumId w:val="15"/>
  </w:num>
  <w:num w:numId="22">
    <w:abstractNumId w:val="10"/>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5"/>
  </w:num>
  <w:num w:numId="26">
    <w:abstractNumId w:val="5"/>
  </w:num>
  <w:num w:numId="27">
    <w:abstractNumId w:val="11"/>
  </w:num>
  <w:num w:numId="28">
    <w:abstractNumId w:val="23"/>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92F"/>
    <w:rsid w:val="000205B4"/>
    <w:rsid w:val="000270D1"/>
    <w:rsid w:val="00030C4A"/>
    <w:rsid w:val="000546B5"/>
    <w:rsid w:val="000561B4"/>
    <w:rsid w:val="00070630"/>
    <w:rsid w:val="00086BD4"/>
    <w:rsid w:val="00093678"/>
    <w:rsid w:val="000A1596"/>
    <w:rsid w:val="000B2A24"/>
    <w:rsid w:val="000C10BD"/>
    <w:rsid w:val="000C292F"/>
    <w:rsid w:val="000C67C3"/>
    <w:rsid w:val="000D2894"/>
    <w:rsid w:val="000E4C99"/>
    <w:rsid w:val="000E4F25"/>
    <w:rsid w:val="000F1DFC"/>
    <w:rsid w:val="001360D8"/>
    <w:rsid w:val="0016580F"/>
    <w:rsid w:val="001665AD"/>
    <w:rsid w:val="00190491"/>
    <w:rsid w:val="0019138F"/>
    <w:rsid w:val="001921CF"/>
    <w:rsid w:val="0019249F"/>
    <w:rsid w:val="001959D4"/>
    <w:rsid w:val="0019666D"/>
    <w:rsid w:val="00197CDC"/>
    <w:rsid w:val="001A7962"/>
    <w:rsid w:val="001B2228"/>
    <w:rsid w:val="001B447B"/>
    <w:rsid w:val="001B57A9"/>
    <w:rsid w:val="001B6C32"/>
    <w:rsid w:val="001C48FB"/>
    <w:rsid w:val="001C4DEC"/>
    <w:rsid w:val="001D07DB"/>
    <w:rsid w:val="001E35CD"/>
    <w:rsid w:val="001E3FEE"/>
    <w:rsid w:val="001E730F"/>
    <w:rsid w:val="001F1DFE"/>
    <w:rsid w:val="001F7732"/>
    <w:rsid w:val="001F7F70"/>
    <w:rsid w:val="00200BC7"/>
    <w:rsid w:val="0021624F"/>
    <w:rsid w:val="002275BF"/>
    <w:rsid w:val="00240A80"/>
    <w:rsid w:val="00257702"/>
    <w:rsid w:val="00261661"/>
    <w:rsid w:val="00263ADB"/>
    <w:rsid w:val="00282403"/>
    <w:rsid w:val="00283207"/>
    <w:rsid w:val="002841C0"/>
    <w:rsid w:val="002A485E"/>
    <w:rsid w:val="002A79BE"/>
    <w:rsid w:val="002C4FFF"/>
    <w:rsid w:val="002C5238"/>
    <w:rsid w:val="002C796A"/>
    <w:rsid w:val="002D6865"/>
    <w:rsid w:val="002E12F2"/>
    <w:rsid w:val="002E3A91"/>
    <w:rsid w:val="002E69E6"/>
    <w:rsid w:val="002F186C"/>
    <w:rsid w:val="002F5F6C"/>
    <w:rsid w:val="00300C21"/>
    <w:rsid w:val="00313F1C"/>
    <w:rsid w:val="003253FE"/>
    <w:rsid w:val="003349C0"/>
    <w:rsid w:val="003405CE"/>
    <w:rsid w:val="00343592"/>
    <w:rsid w:val="0035058C"/>
    <w:rsid w:val="003776C4"/>
    <w:rsid w:val="003810B6"/>
    <w:rsid w:val="00397601"/>
    <w:rsid w:val="003A76CA"/>
    <w:rsid w:val="003D0A13"/>
    <w:rsid w:val="003D573E"/>
    <w:rsid w:val="003E1D98"/>
    <w:rsid w:val="003E44B9"/>
    <w:rsid w:val="003E75E8"/>
    <w:rsid w:val="003F7BFD"/>
    <w:rsid w:val="00401451"/>
    <w:rsid w:val="00401D77"/>
    <w:rsid w:val="0040773E"/>
    <w:rsid w:val="004150DD"/>
    <w:rsid w:val="00424B97"/>
    <w:rsid w:val="00435B3E"/>
    <w:rsid w:val="0043795F"/>
    <w:rsid w:val="00443D8F"/>
    <w:rsid w:val="00452D1B"/>
    <w:rsid w:val="00455AF0"/>
    <w:rsid w:val="004572E8"/>
    <w:rsid w:val="00457416"/>
    <w:rsid w:val="004620EA"/>
    <w:rsid w:val="00465CC0"/>
    <w:rsid w:val="00471AF8"/>
    <w:rsid w:val="004920EF"/>
    <w:rsid w:val="00493FBC"/>
    <w:rsid w:val="00495CEC"/>
    <w:rsid w:val="00497D37"/>
    <w:rsid w:val="004A7DC5"/>
    <w:rsid w:val="004B0888"/>
    <w:rsid w:val="004B53CC"/>
    <w:rsid w:val="004C18D4"/>
    <w:rsid w:val="004D52B4"/>
    <w:rsid w:val="004F005E"/>
    <w:rsid w:val="004F2568"/>
    <w:rsid w:val="0052686C"/>
    <w:rsid w:val="00530840"/>
    <w:rsid w:val="00543345"/>
    <w:rsid w:val="005450AB"/>
    <w:rsid w:val="00545373"/>
    <w:rsid w:val="0055452E"/>
    <w:rsid w:val="00570190"/>
    <w:rsid w:val="0057719F"/>
    <w:rsid w:val="005771FD"/>
    <w:rsid w:val="0058244A"/>
    <w:rsid w:val="00585CB5"/>
    <w:rsid w:val="00594046"/>
    <w:rsid w:val="005A1AA5"/>
    <w:rsid w:val="005A54C3"/>
    <w:rsid w:val="005B5A11"/>
    <w:rsid w:val="005C05AE"/>
    <w:rsid w:val="005C3F64"/>
    <w:rsid w:val="005D2F51"/>
    <w:rsid w:val="005D3EFB"/>
    <w:rsid w:val="005D63EC"/>
    <w:rsid w:val="006017FB"/>
    <w:rsid w:val="00603330"/>
    <w:rsid w:val="00610ABC"/>
    <w:rsid w:val="006222B2"/>
    <w:rsid w:val="006476F6"/>
    <w:rsid w:val="00665CE4"/>
    <w:rsid w:val="006670C4"/>
    <w:rsid w:val="006829FD"/>
    <w:rsid w:val="0068553C"/>
    <w:rsid w:val="006951E8"/>
    <w:rsid w:val="00695D22"/>
    <w:rsid w:val="006A0F68"/>
    <w:rsid w:val="006A75D4"/>
    <w:rsid w:val="006A7C67"/>
    <w:rsid w:val="006B0457"/>
    <w:rsid w:val="006C048C"/>
    <w:rsid w:val="006C61A8"/>
    <w:rsid w:val="006C6249"/>
    <w:rsid w:val="006C7FB6"/>
    <w:rsid w:val="006D391C"/>
    <w:rsid w:val="006D57EC"/>
    <w:rsid w:val="006D59C0"/>
    <w:rsid w:val="006E2ACC"/>
    <w:rsid w:val="006F1592"/>
    <w:rsid w:val="007021AE"/>
    <w:rsid w:val="00703AEB"/>
    <w:rsid w:val="00714AD4"/>
    <w:rsid w:val="007204D3"/>
    <w:rsid w:val="00725FEC"/>
    <w:rsid w:val="007267FB"/>
    <w:rsid w:val="00727D8B"/>
    <w:rsid w:val="00736620"/>
    <w:rsid w:val="00740B34"/>
    <w:rsid w:val="00761F85"/>
    <w:rsid w:val="00765A3B"/>
    <w:rsid w:val="00770DAB"/>
    <w:rsid w:val="007749FD"/>
    <w:rsid w:val="007903EC"/>
    <w:rsid w:val="00792CBF"/>
    <w:rsid w:val="007967D3"/>
    <w:rsid w:val="007A4D87"/>
    <w:rsid w:val="007B0350"/>
    <w:rsid w:val="007B08E0"/>
    <w:rsid w:val="007B298D"/>
    <w:rsid w:val="007D195B"/>
    <w:rsid w:val="007D7000"/>
    <w:rsid w:val="007E06C4"/>
    <w:rsid w:val="007F212A"/>
    <w:rsid w:val="007F2D23"/>
    <w:rsid w:val="00800D7A"/>
    <w:rsid w:val="00803DB8"/>
    <w:rsid w:val="00816250"/>
    <w:rsid w:val="00830A7E"/>
    <w:rsid w:val="0084611E"/>
    <w:rsid w:val="00846BC1"/>
    <w:rsid w:val="008568D6"/>
    <w:rsid w:val="00857912"/>
    <w:rsid w:val="0086064B"/>
    <w:rsid w:val="008636B9"/>
    <w:rsid w:val="00870025"/>
    <w:rsid w:val="00872463"/>
    <w:rsid w:val="00894B01"/>
    <w:rsid w:val="008978D7"/>
    <w:rsid w:val="008A5609"/>
    <w:rsid w:val="008B4010"/>
    <w:rsid w:val="008B548B"/>
    <w:rsid w:val="008C71E0"/>
    <w:rsid w:val="008D1D7A"/>
    <w:rsid w:val="008D3D4B"/>
    <w:rsid w:val="008D6117"/>
    <w:rsid w:val="008E0DD6"/>
    <w:rsid w:val="008F7991"/>
    <w:rsid w:val="00907A78"/>
    <w:rsid w:val="0092561B"/>
    <w:rsid w:val="00932138"/>
    <w:rsid w:val="00940821"/>
    <w:rsid w:val="00943D10"/>
    <w:rsid w:val="00945301"/>
    <w:rsid w:val="009566C6"/>
    <w:rsid w:val="009602F7"/>
    <w:rsid w:val="009603DE"/>
    <w:rsid w:val="00963902"/>
    <w:rsid w:val="009674E5"/>
    <w:rsid w:val="00972840"/>
    <w:rsid w:val="0099465B"/>
    <w:rsid w:val="009A0991"/>
    <w:rsid w:val="009A2369"/>
    <w:rsid w:val="009A70CA"/>
    <w:rsid w:val="009C76C5"/>
    <w:rsid w:val="009D1C8F"/>
    <w:rsid w:val="009E0F4E"/>
    <w:rsid w:val="009E10D0"/>
    <w:rsid w:val="009F7B49"/>
    <w:rsid w:val="00A057DA"/>
    <w:rsid w:val="00A12AA2"/>
    <w:rsid w:val="00A1545C"/>
    <w:rsid w:val="00A370FC"/>
    <w:rsid w:val="00A446EF"/>
    <w:rsid w:val="00A6035A"/>
    <w:rsid w:val="00A634D5"/>
    <w:rsid w:val="00A703A5"/>
    <w:rsid w:val="00A722A4"/>
    <w:rsid w:val="00A7486A"/>
    <w:rsid w:val="00A76C96"/>
    <w:rsid w:val="00A876B6"/>
    <w:rsid w:val="00A9481B"/>
    <w:rsid w:val="00A94CA4"/>
    <w:rsid w:val="00AA7280"/>
    <w:rsid w:val="00AB6449"/>
    <w:rsid w:val="00AC0DB1"/>
    <w:rsid w:val="00AC6311"/>
    <w:rsid w:val="00AC713D"/>
    <w:rsid w:val="00AD4BE9"/>
    <w:rsid w:val="00AE2774"/>
    <w:rsid w:val="00AF0D63"/>
    <w:rsid w:val="00AF6E81"/>
    <w:rsid w:val="00B041F9"/>
    <w:rsid w:val="00B05CBE"/>
    <w:rsid w:val="00B10965"/>
    <w:rsid w:val="00B173CE"/>
    <w:rsid w:val="00B17DDD"/>
    <w:rsid w:val="00B25107"/>
    <w:rsid w:val="00B30891"/>
    <w:rsid w:val="00B3605A"/>
    <w:rsid w:val="00B43B2C"/>
    <w:rsid w:val="00B667C5"/>
    <w:rsid w:val="00B72821"/>
    <w:rsid w:val="00B87815"/>
    <w:rsid w:val="00BA5DD9"/>
    <w:rsid w:val="00BD28D6"/>
    <w:rsid w:val="00BE1408"/>
    <w:rsid w:val="00BE55D2"/>
    <w:rsid w:val="00BE7891"/>
    <w:rsid w:val="00BF3A56"/>
    <w:rsid w:val="00BF3C3D"/>
    <w:rsid w:val="00C1376F"/>
    <w:rsid w:val="00C21A90"/>
    <w:rsid w:val="00C325FC"/>
    <w:rsid w:val="00C51AF8"/>
    <w:rsid w:val="00C643AC"/>
    <w:rsid w:val="00C77130"/>
    <w:rsid w:val="00C838A4"/>
    <w:rsid w:val="00C84F6F"/>
    <w:rsid w:val="00C90993"/>
    <w:rsid w:val="00C94E56"/>
    <w:rsid w:val="00C96343"/>
    <w:rsid w:val="00C96D75"/>
    <w:rsid w:val="00CA1AF7"/>
    <w:rsid w:val="00CA4DC9"/>
    <w:rsid w:val="00CD65B7"/>
    <w:rsid w:val="00CE23ED"/>
    <w:rsid w:val="00CF36F5"/>
    <w:rsid w:val="00CF50C2"/>
    <w:rsid w:val="00D16E84"/>
    <w:rsid w:val="00D25FA8"/>
    <w:rsid w:val="00D40CA6"/>
    <w:rsid w:val="00D43D2A"/>
    <w:rsid w:val="00D46494"/>
    <w:rsid w:val="00D548ED"/>
    <w:rsid w:val="00D5678B"/>
    <w:rsid w:val="00D614A5"/>
    <w:rsid w:val="00D625E5"/>
    <w:rsid w:val="00D62F44"/>
    <w:rsid w:val="00D63F98"/>
    <w:rsid w:val="00D800A9"/>
    <w:rsid w:val="00DB07EF"/>
    <w:rsid w:val="00DD780A"/>
    <w:rsid w:val="00DF0175"/>
    <w:rsid w:val="00E01C7B"/>
    <w:rsid w:val="00E03E6E"/>
    <w:rsid w:val="00E149E8"/>
    <w:rsid w:val="00E239E6"/>
    <w:rsid w:val="00E37CA8"/>
    <w:rsid w:val="00E4317A"/>
    <w:rsid w:val="00E431E6"/>
    <w:rsid w:val="00E959DA"/>
    <w:rsid w:val="00E9713C"/>
    <w:rsid w:val="00E9781D"/>
    <w:rsid w:val="00EC762C"/>
    <w:rsid w:val="00ED611C"/>
    <w:rsid w:val="00F04A80"/>
    <w:rsid w:val="00F0747D"/>
    <w:rsid w:val="00F14160"/>
    <w:rsid w:val="00F22097"/>
    <w:rsid w:val="00F30136"/>
    <w:rsid w:val="00F31322"/>
    <w:rsid w:val="00F34480"/>
    <w:rsid w:val="00F369AA"/>
    <w:rsid w:val="00F47D66"/>
    <w:rsid w:val="00F47E82"/>
    <w:rsid w:val="00F521E5"/>
    <w:rsid w:val="00F5553D"/>
    <w:rsid w:val="00F56824"/>
    <w:rsid w:val="00F7306C"/>
    <w:rsid w:val="00F74781"/>
    <w:rsid w:val="00F76E9D"/>
    <w:rsid w:val="00F82151"/>
    <w:rsid w:val="00F867CA"/>
    <w:rsid w:val="00F94906"/>
    <w:rsid w:val="00F97A49"/>
    <w:rsid w:val="00FA13FF"/>
    <w:rsid w:val="00FA48FD"/>
    <w:rsid w:val="00FA5E46"/>
    <w:rsid w:val="00FB6777"/>
    <w:rsid w:val="00FC7758"/>
    <w:rsid w:val="00FD1B8F"/>
    <w:rsid w:val="00FD214B"/>
    <w:rsid w:val="00FE1C91"/>
    <w:rsid w:val="00FE73DB"/>
    <w:rsid w:val="00FF0C95"/>
    <w:rsid w:val="00FF5D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04171"/>
  <w15:docId w15:val="{CE2B7178-AF1B-40F0-8925-83F72BA1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A7962"/>
    <w:pPr>
      <w:spacing w:before="100" w:beforeAutospacing="1" w:after="100" w:afterAutospacing="1" w:line="240" w:lineRule="auto"/>
      <w:jc w:val="both"/>
    </w:pPr>
    <w:rPr>
      <w:rFonts w:ascii="Arial" w:eastAsia="Times New Roman" w:hAnsi="Arial" w:cs="Times New Roman"/>
      <w:sz w:val="24"/>
      <w:szCs w:val="24"/>
      <w:lang w:eastAsia="cs-CZ"/>
    </w:rPr>
  </w:style>
  <w:style w:type="paragraph" w:styleId="Nadpis1">
    <w:name w:val="heading 1"/>
    <w:basedOn w:val="Normln"/>
    <w:next w:val="Normln"/>
    <w:link w:val="Nadpis1Char"/>
    <w:qFormat/>
    <w:rsid w:val="001A7962"/>
    <w:pPr>
      <w:keepNext/>
      <w:spacing w:before="0" w:beforeAutospacing="0" w:after="120" w:afterAutospacing="0"/>
      <w:outlineLvl w:val="0"/>
    </w:pPr>
    <w:rPr>
      <w:b/>
      <w:bCs/>
      <w:kern w:val="32"/>
      <w:sz w:val="48"/>
      <w:szCs w:val="48"/>
    </w:rPr>
  </w:style>
  <w:style w:type="paragraph" w:styleId="Nadpis2">
    <w:name w:val="heading 2"/>
    <w:basedOn w:val="Nadpis1"/>
    <w:next w:val="Normln"/>
    <w:link w:val="Nadpis2Char"/>
    <w:qFormat/>
    <w:rsid w:val="001A7962"/>
    <w:pPr>
      <w:outlineLvl w:val="1"/>
    </w:pPr>
    <w:rPr>
      <w:sz w:val="28"/>
      <w:szCs w:val="28"/>
    </w:rPr>
  </w:style>
  <w:style w:type="paragraph" w:styleId="Nadpis3">
    <w:name w:val="heading 3"/>
    <w:basedOn w:val="Normln"/>
    <w:next w:val="Normln"/>
    <w:link w:val="Nadpis3Char"/>
    <w:qFormat/>
    <w:rsid w:val="001A7962"/>
    <w:pPr>
      <w:outlineLvl w:val="2"/>
    </w:pPr>
    <w:rPr>
      <w:b/>
      <w:color w:val="2A7FC6"/>
    </w:rPr>
  </w:style>
  <w:style w:type="paragraph" w:styleId="Nadpis4">
    <w:name w:val="heading 4"/>
    <w:basedOn w:val="Nadpis3"/>
    <w:next w:val="Normln"/>
    <w:link w:val="Nadpis4Char"/>
    <w:qFormat/>
    <w:rsid w:val="000C292F"/>
    <w:pPr>
      <w:outlineLvl w:val="3"/>
    </w:pPr>
  </w:style>
  <w:style w:type="paragraph" w:styleId="Nadpis5">
    <w:name w:val="heading 5"/>
    <w:basedOn w:val="Odstavecseseznamem1"/>
    <w:next w:val="Normln"/>
    <w:link w:val="Nadpis5Char"/>
    <w:qFormat/>
    <w:rsid w:val="00F7306C"/>
    <w:pPr>
      <w:numPr>
        <w:numId w:val="18"/>
      </w:numPr>
      <w:ind w:left="360"/>
      <w:outlineLvl w:val="4"/>
    </w:pPr>
    <w:rPr>
      <w:color w:val="2A7FC6"/>
      <w:sz w:val="24"/>
      <w:szCs w:val="24"/>
    </w:rPr>
  </w:style>
  <w:style w:type="paragraph" w:styleId="Nadpis6">
    <w:name w:val="heading 6"/>
    <w:basedOn w:val="Normln"/>
    <w:next w:val="Normln"/>
    <w:link w:val="Nadpis6Char"/>
    <w:qFormat/>
    <w:rsid w:val="000C292F"/>
    <w:pPr>
      <w:numPr>
        <w:ilvl w:val="5"/>
        <w:numId w:val="1"/>
      </w:numPr>
      <w:spacing w:before="240" w:after="60"/>
      <w:outlineLvl w:val="5"/>
    </w:pPr>
    <w:rPr>
      <w:b/>
      <w:bCs/>
      <w:sz w:val="22"/>
      <w:szCs w:val="22"/>
    </w:rPr>
  </w:style>
  <w:style w:type="paragraph" w:styleId="Nadpis7">
    <w:name w:val="heading 7"/>
    <w:basedOn w:val="Normln"/>
    <w:next w:val="Normln"/>
    <w:link w:val="Nadpis7Char"/>
    <w:qFormat/>
    <w:rsid w:val="000C292F"/>
    <w:pPr>
      <w:numPr>
        <w:ilvl w:val="6"/>
        <w:numId w:val="1"/>
      </w:numPr>
      <w:spacing w:before="240" w:after="60"/>
      <w:outlineLvl w:val="6"/>
    </w:pPr>
  </w:style>
  <w:style w:type="paragraph" w:styleId="Nadpis8">
    <w:name w:val="heading 8"/>
    <w:basedOn w:val="Normln"/>
    <w:next w:val="Normln"/>
    <w:link w:val="Nadpis8Char"/>
    <w:qFormat/>
    <w:rsid w:val="000C292F"/>
    <w:pPr>
      <w:numPr>
        <w:ilvl w:val="7"/>
        <w:numId w:val="1"/>
      </w:numPr>
      <w:spacing w:before="240" w:after="60"/>
      <w:outlineLvl w:val="7"/>
    </w:pPr>
    <w:rPr>
      <w:i/>
      <w:iCs/>
    </w:rPr>
  </w:style>
  <w:style w:type="paragraph" w:styleId="Nadpis9">
    <w:name w:val="heading 9"/>
    <w:basedOn w:val="Normln"/>
    <w:next w:val="Normln"/>
    <w:link w:val="Nadpis9Char"/>
    <w:qFormat/>
    <w:rsid w:val="000C292F"/>
    <w:pPr>
      <w:numPr>
        <w:ilvl w:val="8"/>
        <w:numId w:val="1"/>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A7962"/>
    <w:rPr>
      <w:rFonts w:ascii="Arial" w:eastAsia="Times New Roman" w:hAnsi="Arial" w:cs="Times New Roman"/>
      <w:b/>
      <w:bCs/>
      <w:kern w:val="32"/>
      <w:sz w:val="48"/>
      <w:szCs w:val="48"/>
      <w:lang w:eastAsia="cs-CZ"/>
    </w:rPr>
  </w:style>
  <w:style w:type="character" w:customStyle="1" w:styleId="Nadpis2Char">
    <w:name w:val="Nadpis 2 Char"/>
    <w:basedOn w:val="Standardnpsmoodstavce"/>
    <w:link w:val="Nadpis2"/>
    <w:rsid w:val="001A7962"/>
    <w:rPr>
      <w:rFonts w:ascii="Arial" w:eastAsia="Times New Roman" w:hAnsi="Arial" w:cs="Times New Roman"/>
      <w:b/>
      <w:bCs/>
      <w:kern w:val="32"/>
      <w:sz w:val="28"/>
      <w:szCs w:val="28"/>
      <w:lang w:eastAsia="cs-CZ"/>
    </w:rPr>
  </w:style>
  <w:style w:type="character" w:customStyle="1" w:styleId="Nadpis3Char">
    <w:name w:val="Nadpis 3 Char"/>
    <w:basedOn w:val="Standardnpsmoodstavce"/>
    <w:link w:val="Nadpis3"/>
    <w:rsid w:val="001A7962"/>
    <w:rPr>
      <w:rFonts w:ascii="Arial" w:eastAsia="Times New Roman" w:hAnsi="Arial" w:cs="Times New Roman"/>
      <w:b/>
      <w:color w:val="2A7FC6"/>
      <w:sz w:val="24"/>
      <w:szCs w:val="24"/>
      <w:lang w:eastAsia="cs-CZ"/>
    </w:rPr>
  </w:style>
  <w:style w:type="character" w:customStyle="1" w:styleId="Nadpis4Char">
    <w:name w:val="Nadpis 4 Char"/>
    <w:basedOn w:val="Standardnpsmoodstavce"/>
    <w:link w:val="Nadpis4"/>
    <w:rsid w:val="000C292F"/>
    <w:rPr>
      <w:rFonts w:eastAsia="Times New Roman" w:cs="Times New Roman"/>
      <w:b/>
      <w:color w:val="E2001C"/>
      <w:sz w:val="24"/>
      <w:szCs w:val="24"/>
      <w:lang w:eastAsia="cs-CZ"/>
    </w:rPr>
  </w:style>
  <w:style w:type="character" w:customStyle="1" w:styleId="Nadpis5Char">
    <w:name w:val="Nadpis 5 Char"/>
    <w:basedOn w:val="Standardnpsmoodstavce"/>
    <w:link w:val="Nadpis5"/>
    <w:rsid w:val="00F7306C"/>
    <w:rPr>
      <w:rFonts w:ascii="Calibri" w:eastAsia="Times New Roman" w:hAnsi="Calibri" w:cs="Times New Roman"/>
      <w:color w:val="2A7FC6"/>
      <w:sz w:val="24"/>
      <w:szCs w:val="24"/>
    </w:rPr>
  </w:style>
  <w:style w:type="character" w:customStyle="1" w:styleId="Nadpis6Char">
    <w:name w:val="Nadpis 6 Char"/>
    <w:basedOn w:val="Standardnpsmoodstavce"/>
    <w:link w:val="Nadpis6"/>
    <w:rsid w:val="000C292F"/>
    <w:rPr>
      <w:rFonts w:eastAsia="Times New Roman" w:cs="Times New Roman"/>
      <w:b/>
      <w:bCs/>
      <w:lang w:eastAsia="cs-CZ"/>
    </w:rPr>
  </w:style>
  <w:style w:type="character" w:customStyle="1" w:styleId="Nadpis7Char">
    <w:name w:val="Nadpis 7 Char"/>
    <w:basedOn w:val="Standardnpsmoodstavce"/>
    <w:link w:val="Nadpis7"/>
    <w:rsid w:val="000C292F"/>
    <w:rPr>
      <w:rFonts w:eastAsia="Times New Roman" w:cs="Times New Roman"/>
      <w:sz w:val="24"/>
      <w:szCs w:val="24"/>
      <w:lang w:eastAsia="cs-CZ"/>
    </w:rPr>
  </w:style>
  <w:style w:type="character" w:customStyle="1" w:styleId="Nadpis8Char">
    <w:name w:val="Nadpis 8 Char"/>
    <w:basedOn w:val="Standardnpsmoodstavce"/>
    <w:link w:val="Nadpis8"/>
    <w:rsid w:val="000C292F"/>
    <w:rPr>
      <w:rFonts w:eastAsia="Times New Roman" w:cs="Times New Roman"/>
      <w:i/>
      <w:iCs/>
      <w:sz w:val="24"/>
      <w:szCs w:val="24"/>
      <w:lang w:eastAsia="cs-CZ"/>
    </w:rPr>
  </w:style>
  <w:style w:type="character" w:customStyle="1" w:styleId="Nadpis9Char">
    <w:name w:val="Nadpis 9 Char"/>
    <w:basedOn w:val="Standardnpsmoodstavce"/>
    <w:link w:val="Nadpis9"/>
    <w:rsid w:val="000C292F"/>
    <w:rPr>
      <w:rFonts w:ascii="Arial" w:eastAsia="Times New Roman" w:hAnsi="Arial" w:cs="Arial"/>
      <w:lang w:eastAsia="cs-CZ"/>
    </w:rPr>
  </w:style>
  <w:style w:type="paragraph" w:styleId="Textbubliny">
    <w:name w:val="Balloon Text"/>
    <w:basedOn w:val="Normln"/>
    <w:link w:val="TextbublinyChar"/>
    <w:semiHidden/>
    <w:rsid w:val="000C292F"/>
    <w:rPr>
      <w:rFonts w:ascii="Tahoma" w:hAnsi="Tahoma" w:cs="Tahoma"/>
      <w:sz w:val="16"/>
      <w:szCs w:val="16"/>
    </w:rPr>
  </w:style>
  <w:style w:type="character" w:customStyle="1" w:styleId="TextbublinyChar">
    <w:name w:val="Text bubliny Char"/>
    <w:basedOn w:val="Standardnpsmoodstavce"/>
    <w:link w:val="Textbubliny"/>
    <w:semiHidden/>
    <w:rsid w:val="000C292F"/>
    <w:rPr>
      <w:rFonts w:ascii="Tahoma" w:eastAsia="Times New Roman" w:hAnsi="Tahoma" w:cs="Tahoma"/>
      <w:sz w:val="16"/>
      <w:szCs w:val="16"/>
      <w:lang w:eastAsia="cs-CZ"/>
    </w:rPr>
  </w:style>
  <w:style w:type="paragraph" w:styleId="Zpat">
    <w:name w:val="footer"/>
    <w:basedOn w:val="Normln"/>
    <w:link w:val="ZpatChar"/>
    <w:rsid w:val="000C292F"/>
    <w:pPr>
      <w:tabs>
        <w:tab w:val="center" w:pos="4536"/>
        <w:tab w:val="right" w:pos="9072"/>
      </w:tabs>
    </w:pPr>
  </w:style>
  <w:style w:type="character" w:customStyle="1" w:styleId="ZpatChar">
    <w:name w:val="Zápatí Char"/>
    <w:basedOn w:val="Standardnpsmoodstavce"/>
    <w:link w:val="Zpat"/>
    <w:rsid w:val="000C292F"/>
    <w:rPr>
      <w:rFonts w:eastAsia="Times New Roman" w:cs="Times New Roman"/>
      <w:sz w:val="24"/>
      <w:szCs w:val="24"/>
      <w:lang w:eastAsia="cs-CZ"/>
    </w:rPr>
  </w:style>
  <w:style w:type="character" w:styleId="slostrnky">
    <w:name w:val="page number"/>
    <w:basedOn w:val="Standardnpsmoodstavce"/>
    <w:rsid w:val="000C292F"/>
  </w:style>
  <w:style w:type="character" w:styleId="Hypertextovodkaz">
    <w:name w:val="Hyperlink"/>
    <w:basedOn w:val="Standardnpsmoodstavce"/>
    <w:uiPriority w:val="99"/>
    <w:rsid w:val="000C292F"/>
    <w:rPr>
      <w:color w:val="0000FF"/>
      <w:u w:val="single"/>
    </w:rPr>
  </w:style>
  <w:style w:type="paragraph" w:styleId="Obsah1">
    <w:name w:val="toc 1"/>
    <w:basedOn w:val="Normln"/>
    <w:next w:val="Normln"/>
    <w:autoRedefine/>
    <w:uiPriority w:val="39"/>
    <w:rsid w:val="000C292F"/>
    <w:pPr>
      <w:tabs>
        <w:tab w:val="left" w:pos="480"/>
        <w:tab w:val="right" w:leader="dot" w:pos="9062"/>
      </w:tabs>
    </w:pPr>
    <w:rPr>
      <w:b/>
      <w:noProof/>
      <w:lang w:val="en-GB"/>
    </w:rPr>
  </w:style>
  <w:style w:type="paragraph" w:styleId="Obsah2">
    <w:name w:val="toc 2"/>
    <w:basedOn w:val="Normln"/>
    <w:next w:val="Normln"/>
    <w:autoRedefine/>
    <w:uiPriority w:val="39"/>
    <w:rsid w:val="000C292F"/>
    <w:pPr>
      <w:ind w:left="240"/>
    </w:pPr>
  </w:style>
  <w:style w:type="paragraph" w:styleId="Obsah3">
    <w:name w:val="toc 3"/>
    <w:basedOn w:val="Normln"/>
    <w:next w:val="Normln"/>
    <w:autoRedefine/>
    <w:uiPriority w:val="39"/>
    <w:rsid w:val="000C292F"/>
    <w:pPr>
      <w:ind w:left="480"/>
    </w:pPr>
  </w:style>
  <w:style w:type="paragraph" w:styleId="Normlnweb">
    <w:name w:val="Normal (Web)"/>
    <w:basedOn w:val="Normln"/>
    <w:link w:val="NormlnwebChar"/>
    <w:rsid w:val="000C292F"/>
  </w:style>
  <w:style w:type="character" w:customStyle="1" w:styleId="NormlnwebChar">
    <w:name w:val="Normální (web) Char"/>
    <w:basedOn w:val="Standardnpsmoodstavce"/>
    <w:link w:val="Normlnweb"/>
    <w:rsid w:val="000C292F"/>
    <w:rPr>
      <w:rFonts w:eastAsia="Times New Roman" w:cs="Times New Roman"/>
      <w:sz w:val="24"/>
      <w:szCs w:val="24"/>
      <w:lang w:eastAsia="cs-CZ"/>
    </w:rPr>
  </w:style>
  <w:style w:type="character" w:styleId="Siln">
    <w:name w:val="Strong"/>
    <w:basedOn w:val="Standardnpsmoodstavce"/>
    <w:qFormat/>
    <w:rsid w:val="000C292F"/>
    <w:rPr>
      <w:b/>
      <w:bCs/>
    </w:rPr>
  </w:style>
  <w:style w:type="character" w:styleId="Zdraznn">
    <w:name w:val="Emphasis"/>
    <w:basedOn w:val="Standardnpsmoodstavce"/>
    <w:qFormat/>
    <w:rsid w:val="000C292F"/>
    <w:rPr>
      <w:i/>
      <w:iCs/>
    </w:rPr>
  </w:style>
  <w:style w:type="paragraph" w:styleId="Textpoznpodarou">
    <w:name w:val="footnote text"/>
    <w:basedOn w:val="Normln"/>
    <w:link w:val="TextpoznpodarouChar"/>
    <w:semiHidden/>
    <w:rsid w:val="000C292F"/>
    <w:rPr>
      <w:sz w:val="20"/>
      <w:szCs w:val="20"/>
    </w:rPr>
  </w:style>
  <w:style w:type="character" w:customStyle="1" w:styleId="TextpoznpodarouChar">
    <w:name w:val="Text pozn. pod čarou Char"/>
    <w:basedOn w:val="Standardnpsmoodstavce"/>
    <w:link w:val="Textpoznpodarou"/>
    <w:semiHidden/>
    <w:rsid w:val="000C292F"/>
    <w:rPr>
      <w:rFonts w:eastAsia="Times New Roman" w:cs="Times New Roman"/>
      <w:sz w:val="20"/>
      <w:szCs w:val="20"/>
      <w:lang w:eastAsia="cs-CZ"/>
    </w:rPr>
  </w:style>
  <w:style w:type="character" w:styleId="Znakapoznpodarou">
    <w:name w:val="footnote reference"/>
    <w:basedOn w:val="Standardnpsmoodstavce"/>
    <w:semiHidden/>
    <w:rsid w:val="000C292F"/>
    <w:rPr>
      <w:vertAlign w:val="superscript"/>
    </w:rPr>
  </w:style>
  <w:style w:type="table" w:styleId="Mkatabulky">
    <w:name w:val="Table Grid"/>
    <w:basedOn w:val="Normlntabulka"/>
    <w:rsid w:val="000C292F"/>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ocTxtCharChar">
    <w:name w:val="AODocTxt Char Char"/>
    <w:basedOn w:val="Normln"/>
    <w:link w:val="AODocTxtCharCharChar"/>
    <w:rsid w:val="000C292F"/>
    <w:pPr>
      <w:numPr>
        <w:ilvl w:val="1"/>
        <w:numId w:val="2"/>
      </w:numPr>
      <w:spacing w:before="240" w:line="260" w:lineRule="atLeast"/>
      <w:ind w:left="0"/>
    </w:pPr>
    <w:rPr>
      <w:rFonts w:eastAsia="SimSun"/>
      <w:sz w:val="22"/>
      <w:szCs w:val="22"/>
      <w:lang w:val="en-GB" w:eastAsia="en-US"/>
    </w:rPr>
  </w:style>
  <w:style w:type="character" w:customStyle="1" w:styleId="AODocTxtCharCharChar">
    <w:name w:val="AODocTxt Char Char Char"/>
    <w:basedOn w:val="Standardnpsmoodstavce"/>
    <w:link w:val="AODocTxtCharChar"/>
    <w:rsid w:val="000C292F"/>
    <w:rPr>
      <w:rFonts w:eastAsia="SimSun" w:cs="Times New Roman"/>
      <w:lang w:val="en-GB"/>
    </w:rPr>
  </w:style>
  <w:style w:type="paragraph" w:customStyle="1" w:styleId="AODocTxtL1">
    <w:name w:val="AODocTxtL1"/>
    <w:basedOn w:val="AODocTxtCharChar"/>
    <w:rsid w:val="000C292F"/>
    <w:pPr>
      <w:numPr>
        <w:ilvl w:val="3"/>
      </w:numPr>
      <w:tabs>
        <w:tab w:val="num" w:pos="643"/>
      </w:tabs>
      <w:ind w:left="643" w:hanging="360"/>
    </w:pPr>
  </w:style>
  <w:style w:type="paragraph" w:customStyle="1" w:styleId="AODocTxtL2">
    <w:name w:val="AODocTxtL2"/>
    <w:basedOn w:val="AODocTxtCharChar"/>
    <w:rsid w:val="000C292F"/>
    <w:pPr>
      <w:numPr>
        <w:ilvl w:val="4"/>
      </w:numPr>
      <w:tabs>
        <w:tab w:val="num" w:pos="643"/>
      </w:tabs>
      <w:ind w:left="643" w:hanging="360"/>
    </w:pPr>
  </w:style>
  <w:style w:type="paragraph" w:customStyle="1" w:styleId="AODocTxtL3">
    <w:name w:val="AODocTxtL3"/>
    <w:basedOn w:val="AODocTxtCharChar"/>
    <w:rsid w:val="000C292F"/>
    <w:pPr>
      <w:numPr>
        <w:ilvl w:val="0"/>
        <w:numId w:val="0"/>
      </w:numPr>
      <w:tabs>
        <w:tab w:val="num" w:pos="643"/>
      </w:tabs>
      <w:ind w:left="643" w:hanging="360"/>
    </w:pPr>
  </w:style>
  <w:style w:type="paragraph" w:customStyle="1" w:styleId="AODocTxtL4">
    <w:name w:val="AODocTxtL4"/>
    <w:basedOn w:val="AODocTxtCharChar"/>
    <w:rsid w:val="000C292F"/>
    <w:pPr>
      <w:numPr>
        <w:ilvl w:val="0"/>
        <w:numId w:val="0"/>
      </w:numPr>
      <w:tabs>
        <w:tab w:val="num" w:pos="643"/>
      </w:tabs>
      <w:ind w:left="643" w:hanging="360"/>
    </w:pPr>
  </w:style>
  <w:style w:type="paragraph" w:customStyle="1" w:styleId="AODocTxtL5">
    <w:name w:val="AODocTxtL5"/>
    <w:basedOn w:val="AODocTxtCharChar"/>
    <w:rsid w:val="000C292F"/>
    <w:pPr>
      <w:numPr>
        <w:ilvl w:val="0"/>
        <w:numId w:val="0"/>
      </w:numPr>
      <w:tabs>
        <w:tab w:val="num" w:pos="643"/>
      </w:tabs>
      <w:ind w:left="643" w:hanging="360"/>
    </w:pPr>
  </w:style>
  <w:style w:type="paragraph" w:customStyle="1" w:styleId="AODocTxtL6">
    <w:name w:val="AODocTxtL6"/>
    <w:basedOn w:val="AODocTxtCharChar"/>
    <w:rsid w:val="000C292F"/>
    <w:pPr>
      <w:numPr>
        <w:ilvl w:val="0"/>
        <w:numId w:val="0"/>
      </w:numPr>
      <w:tabs>
        <w:tab w:val="num" w:pos="643"/>
      </w:tabs>
      <w:ind w:left="643" w:hanging="360"/>
    </w:pPr>
  </w:style>
  <w:style w:type="paragraph" w:customStyle="1" w:styleId="AODocTxtL7">
    <w:name w:val="AODocTxtL7"/>
    <w:basedOn w:val="AODocTxtCharChar"/>
    <w:rsid w:val="000C292F"/>
    <w:pPr>
      <w:numPr>
        <w:ilvl w:val="0"/>
        <w:numId w:val="0"/>
      </w:numPr>
      <w:tabs>
        <w:tab w:val="num" w:pos="643"/>
      </w:tabs>
      <w:ind w:left="643" w:hanging="360"/>
    </w:pPr>
  </w:style>
  <w:style w:type="paragraph" w:customStyle="1" w:styleId="AODocTxtL8">
    <w:name w:val="AODocTxtL8"/>
    <w:basedOn w:val="AODocTxtCharChar"/>
    <w:rsid w:val="000C292F"/>
    <w:pPr>
      <w:numPr>
        <w:ilvl w:val="0"/>
        <w:numId w:val="0"/>
      </w:numPr>
      <w:tabs>
        <w:tab w:val="num" w:pos="643"/>
      </w:tabs>
      <w:ind w:left="643" w:hanging="360"/>
    </w:pPr>
  </w:style>
  <w:style w:type="paragraph" w:customStyle="1" w:styleId="AOHeading2">
    <w:name w:val="AOHeading2"/>
    <w:basedOn w:val="Normln"/>
    <w:next w:val="Normln"/>
    <w:rsid w:val="000C292F"/>
    <w:pPr>
      <w:keepNext/>
      <w:spacing w:before="240" w:line="260" w:lineRule="atLeast"/>
      <w:outlineLvl w:val="1"/>
    </w:pPr>
    <w:rPr>
      <w:rFonts w:eastAsia="SimSun"/>
      <w:b/>
      <w:sz w:val="22"/>
      <w:szCs w:val="22"/>
      <w:lang w:val="en-GB" w:eastAsia="en-US"/>
    </w:rPr>
  </w:style>
  <w:style w:type="paragraph" w:customStyle="1" w:styleId="AOHeading6">
    <w:name w:val="AOHeading6"/>
    <w:basedOn w:val="Normln"/>
    <w:next w:val="Normln"/>
    <w:rsid w:val="000C292F"/>
    <w:pPr>
      <w:keepNext/>
      <w:spacing w:before="240" w:line="260" w:lineRule="atLeast"/>
      <w:outlineLvl w:val="5"/>
    </w:pPr>
    <w:rPr>
      <w:rFonts w:eastAsia="SimSun"/>
      <w:b/>
      <w:i/>
      <w:sz w:val="22"/>
      <w:szCs w:val="22"/>
      <w:lang w:val="en-GB" w:eastAsia="en-US"/>
    </w:rPr>
  </w:style>
  <w:style w:type="paragraph" w:customStyle="1" w:styleId="AODocTxt">
    <w:name w:val="AODocTxt"/>
    <w:basedOn w:val="Normln"/>
    <w:rsid w:val="000C292F"/>
    <w:pPr>
      <w:spacing w:before="240" w:line="260" w:lineRule="atLeast"/>
    </w:pPr>
    <w:rPr>
      <w:rFonts w:eastAsia="SimSun"/>
      <w:sz w:val="22"/>
      <w:szCs w:val="22"/>
      <w:lang w:val="en-GB" w:eastAsia="en-US"/>
    </w:rPr>
  </w:style>
  <w:style w:type="paragraph" w:customStyle="1" w:styleId="AONormal">
    <w:name w:val="AONormal"/>
    <w:rsid w:val="000C292F"/>
    <w:pPr>
      <w:spacing w:after="0" w:line="260" w:lineRule="atLeast"/>
    </w:pPr>
    <w:rPr>
      <w:rFonts w:ascii="Times New Roman" w:eastAsia="SimSun" w:hAnsi="Times New Roman" w:cs="Times New Roman"/>
      <w:lang w:val="en-GB"/>
    </w:rPr>
  </w:style>
  <w:style w:type="paragraph" w:customStyle="1" w:styleId="AOListNumber">
    <w:name w:val="AOListNumber"/>
    <w:basedOn w:val="Normln"/>
    <w:rsid w:val="000C292F"/>
    <w:pPr>
      <w:numPr>
        <w:numId w:val="3"/>
      </w:numPr>
      <w:tabs>
        <w:tab w:val="clear" w:pos="720"/>
      </w:tabs>
      <w:spacing w:before="240" w:line="260" w:lineRule="atLeast"/>
    </w:pPr>
    <w:rPr>
      <w:rFonts w:eastAsia="SimSun"/>
      <w:sz w:val="22"/>
      <w:szCs w:val="22"/>
      <w:lang w:val="en-GB" w:eastAsia="en-US"/>
    </w:rPr>
  </w:style>
  <w:style w:type="paragraph" w:customStyle="1" w:styleId="AOBullet">
    <w:name w:val="AOBullet"/>
    <w:basedOn w:val="Normln"/>
    <w:rsid w:val="000C292F"/>
    <w:pPr>
      <w:numPr>
        <w:numId w:val="4"/>
      </w:numPr>
      <w:spacing w:before="240" w:line="260" w:lineRule="atLeast"/>
    </w:pPr>
    <w:rPr>
      <w:rFonts w:eastAsia="SimSun"/>
      <w:sz w:val="22"/>
      <w:szCs w:val="22"/>
      <w:lang w:val="en-GB" w:eastAsia="en-US"/>
    </w:rPr>
  </w:style>
  <w:style w:type="paragraph" w:customStyle="1" w:styleId="AOHeading4">
    <w:name w:val="AOHeading4"/>
    <w:basedOn w:val="Normln"/>
    <w:next w:val="AODocTxt"/>
    <w:rsid w:val="000C292F"/>
    <w:pPr>
      <w:keepNext/>
      <w:spacing w:before="240" w:line="260" w:lineRule="atLeast"/>
      <w:outlineLvl w:val="3"/>
    </w:pPr>
    <w:rPr>
      <w:rFonts w:eastAsia="SimSun"/>
      <w:i/>
      <w:sz w:val="22"/>
      <w:szCs w:val="22"/>
      <w:lang w:val="en-GB" w:eastAsia="en-US"/>
    </w:rPr>
  </w:style>
  <w:style w:type="paragraph" w:styleId="Obsah4">
    <w:name w:val="toc 4"/>
    <w:basedOn w:val="Normln"/>
    <w:next w:val="Normln"/>
    <w:autoRedefine/>
    <w:uiPriority w:val="39"/>
    <w:rsid w:val="000C292F"/>
    <w:pPr>
      <w:ind w:left="720"/>
    </w:pPr>
  </w:style>
  <w:style w:type="character" w:customStyle="1" w:styleId="platne1">
    <w:name w:val="platne1"/>
    <w:basedOn w:val="Standardnpsmoodstavce"/>
    <w:rsid w:val="000C292F"/>
  </w:style>
  <w:style w:type="paragraph" w:styleId="Zkladntext">
    <w:name w:val="Body Text"/>
    <w:basedOn w:val="Normln"/>
    <w:link w:val="ZkladntextChar"/>
    <w:rsid w:val="000C292F"/>
    <w:pPr>
      <w:widowControl w:val="0"/>
      <w:tabs>
        <w:tab w:val="left" w:pos="-24"/>
        <w:tab w:val="left" w:pos="408"/>
        <w:tab w:val="left" w:pos="1128"/>
        <w:tab w:val="left" w:pos="1848"/>
        <w:tab w:val="left" w:pos="2568"/>
        <w:tab w:val="left" w:pos="3288"/>
        <w:tab w:val="left" w:pos="4008"/>
        <w:tab w:val="left" w:pos="4728"/>
        <w:tab w:val="left" w:pos="5016"/>
        <w:tab w:val="left" w:pos="5736"/>
        <w:tab w:val="left" w:pos="6456"/>
        <w:tab w:val="left" w:pos="7176"/>
        <w:tab w:val="left" w:pos="7896"/>
        <w:tab w:val="left" w:pos="8616"/>
      </w:tabs>
      <w:suppressAutoHyphens/>
      <w:autoSpaceDE w:val="0"/>
      <w:autoSpaceDN w:val="0"/>
      <w:adjustRightInd w:val="0"/>
      <w:spacing w:line="240" w:lineRule="atLeast"/>
    </w:pPr>
    <w:rPr>
      <w:rFonts w:ascii="Courier" w:hAnsi="Courier"/>
      <w:spacing w:val="-3"/>
      <w:lang w:eastAsia="en-US"/>
    </w:rPr>
  </w:style>
  <w:style w:type="character" w:customStyle="1" w:styleId="ZkladntextChar">
    <w:name w:val="Základní text Char"/>
    <w:basedOn w:val="Standardnpsmoodstavce"/>
    <w:link w:val="Zkladntext"/>
    <w:rsid w:val="000C292F"/>
    <w:rPr>
      <w:rFonts w:ascii="Courier" w:eastAsia="Times New Roman" w:hAnsi="Courier" w:cs="Times New Roman"/>
      <w:spacing w:val="-3"/>
      <w:sz w:val="24"/>
      <w:szCs w:val="24"/>
    </w:rPr>
  </w:style>
  <w:style w:type="paragraph" w:customStyle="1" w:styleId="euroheading">
    <w:name w:val="euro heading"/>
    <w:basedOn w:val="Normln"/>
    <w:rsid w:val="000C292F"/>
    <w:pPr>
      <w:overflowPunct w:val="0"/>
      <w:autoSpaceDE w:val="0"/>
      <w:autoSpaceDN w:val="0"/>
      <w:adjustRightInd w:val="0"/>
      <w:spacing w:line="260" w:lineRule="atLeast"/>
      <w:textAlignment w:val="baseline"/>
    </w:pPr>
    <w:rPr>
      <w:i/>
      <w:sz w:val="20"/>
      <w:szCs w:val="20"/>
      <w:lang w:val="en-GB" w:eastAsia="en-US"/>
    </w:rPr>
  </w:style>
  <w:style w:type="paragraph" w:customStyle="1" w:styleId="numbertablehead">
    <w:name w:val="number table head"/>
    <w:basedOn w:val="Normln"/>
    <w:rsid w:val="000C292F"/>
    <w:pPr>
      <w:overflowPunct w:val="0"/>
      <w:autoSpaceDE w:val="0"/>
      <w:autoSpaceDN w:val="0"/>
      <w:adjustRightInd w:val="0"/>
      <w:spacing w:line="260" w:lineRule="atLeast"/>
      <w:ind w:right="62"/>
      <w:jc w:val="right"/>
      <w:textAlignment w:val="baseline"/>
    </w:pPr>
    <w:rPr>
      <w:b/>
      <w:sz w:val="20"/>
      <w:szCs w:val="20"/>
      <w:lang w:val="en-GB" w:eastAsia="en-US"/>
    </w:rPr>
  </w:style>
  <w:style w:type="paragraph" w:customStyle="1" w:styleId="numberpositive">
    <w:name w:val="number positive"/>
    <w:basedOn w:val="Normln"/>
    <w:rsid w:val="000C292F"/>
    <w:pPr>
      <w:overflowPunct w:val="0"/>
      <w:autoSpaceDE w:val="0"/>
      <w:autoSpaceDN w:val="0"/>
      <w:adjustRightInd w:val="0"/>
      <w:spacing w:line="260" w:lineRule="atLeast"/>
      <w:ind w:right="62"/>
      <w:jc w:val="right"/>
      <w:textAlignment w:val="baseline"/>
    </w:pPr>
    <w:rPr>
      <w:sz w:val="20"/>
      <w:szCs w:val="20"/>
      <w:lang w:val="en-GB" w:eastAsia="en-US"/>
    </w:rPr>
  </w:style>
  <w:style w:type="paragraph" w:customStyle="1" w:styleId="numbernegative">
    <w:name w:val="number negative"/>
    <w:basedOn w:val="Normln"/>
    <w:rsid w:val="000C292F"/>
    <w:pPr>
      <w:overflowPunct w:val="0"/>
      <w:autoSpaceDE w:val="0"/>
      <w:autoSpaceDN w:val="0"/>
      <w:adjustRightInd w:val="0"/>
      <w:spacing w:line="260" w:lineRule="atLeast"/>
      <w:jc w:val="right"/>
      <w:textAlignment w:val="baseline"/>
    </w:pPr>
    <w:rPr>
      <w:sz w:val="20"/>
      <w:szCs w:val="20"/>
      <w:lang w:val="en-GB" w:eastAsia="en-US"/>
    </w:rPr>
  </w:style>
  <w:style w:type="paragraph" w:customStyle="1" w:styleId="notenumber">
    <w:name w:val="note number"/>
    <w:basedOn w:val="Normln"/>
    <w:rsid w:val="000C292F"/>
    <w:pPr>
      <w:overflowPunct w:val="0"/>
      <w:autoSpaceDE w:val="0"/>
      <w:autoSpaceDN w:val="0"/>
      <w:adjustRightInd w:val="0"/>
      <w:spacing w:line="260" w:lineRule="atLeast"/>
      <w:ind w:right="85"/>
      <w:jc w:val="right"/>
      <w:textAlignment w:val="baseline"/>
    </w:pPr>
    <w:rPr>
      <w:sz w:val="20"/>
      <w:szCs w:val="20"/>
      <w:lang w:val="en-GB" w:eastAsia="en-US"/>
    </w:rPr>
  </w:style>
  <w:style w:type="paragraph" w:styleId="Zhlav">
    <w:name w:val="header"/>
    <w:basedOn w:val="Normln"/>
    <w:link w:val="ZhlavChar"/>
    <w:rsid w:val="000C292F"/>
    <w:pPr>
      <w:tabs>
        <w:tab w:val="center" w:pos="4153"/>
        <w:tab w:val="right" w:pos="8306"/>
      </w:tabs>
      <w:overflowPunct w:val="0"/>
      <w:autoSpaceDE w:val="0"/>
      <w:autoSpaceDN w:val="0"/>
      <w:adjustRightInd w:val="0"/>
      <w:spacing w:line="260" w:lineRule="atLeast"/>
      <w:textAlignment w:val="baseline"/>
    </w:pPr>
    <w:rPr>
      <w:sz w:val="20"/>
      <w:szCs w:val="20"/>
      <w:lang w:val="en-GB" w:eastAsia="en-US"/>
    </w:rPr>
  </w:style>
  <w:style w:type="character" w:customStyle="1" w:styleId="ZhlavChar">
    <w:name w:val="Záhlaví Char"/>
    <w:basedOn w:val="Standardnpsmoodstavce"/>
    <w:link w:val="Zhlav"/>
    <w:rsid w:val="000C292F"/>
    <w:rPr>
      <w:rFonts w:eastAsia="Times New Roman" w:cs="Times New Roman"/>
      <w:sz w:val="20"/>
      <w:szCs w:val="20"/>
      <w:lang w:val="en-GB"/>
    </w:rPr>
  </w:style>
  <w:style w:type="paragraph" w:styleId="Zkladntextodsazen">
    <w:name w:val="Body Text Indent"/>
    <w:basedOn w:val="Normln"/>
    <w:link w:val="ZkladntextodsazenChar"/>
    <w:rsid w:val="000C292F"/>
    <w:pPr>
      <w:spacing w:after="120"/>
      <w:ind w:left="283"/>
    </w:pPr>
  </w:style>
  <w:style w:type="character" w:customStyle="1" w:styleId="ZkladntextodsazenChar">
    <w:name w:val="Základní text odsazený Char"/>
    <w:basedOn w:val="Standardnpsmoodstavce"/>
    <w:link w:val="Zkladntextodsazen"/>
    <w:rsid w:val="000C292F"/>
    <w:rPr>
      <w:rFonts w:eastAsia="Times New Roman" w:cs="Times New Roman"/>
      <w:sz w:val="24"/>
      <w:szCs w:val="24"/>
      <w:lang w:eastAsia="cs-CZ"/>
    </w:rPr>
  </w:style>
  <w:style w:type="paragraph" w:customStyle="1" w:styleId="Ne1">
    <w:name w:val="Ne1"/>
    <w:basedOn w:val="Normln"/>
    <w:next w:val="Ne2"/>
    <w:autoRedefine/>
    <w:rsid w:val="000C292F"/>
    <w:pPr>
      <w:keepNext/>
      <w:keepLines/>
      <w:numPr>
        <w:numId w:val="5"/>
      </w:numPr>
      <w:tabs>
        <w:tab w:val="left" w:pos="8640"/>
      </w:tabs>
      <w:overflowPunct w:val="0"/>
      <w:autoSpaceDE w:val="0"/>
      <w:autoSpaceDN w:val="0"/>
      <w:adjustRightInd w:val="0"/>
      <w:textAlignment w:val="baseline"/>
    </w:pPr>
    <w:rPr>
      <w:rFonts w:cs="Arial"/>
      <w:b/>
      <w:lang w:eastAsia="en-US"/>
    </w:rPr>
  </w:style>
  <w:style w:type="paragraph" w:customStyle="1" w:styleId="Ne2">
    <w:name w:val="Ne2"/>
    <w:basedOn w:val="Ne1"/>
    <w:next w:val="Ne3"/>
    <w:link w:val="Ne2Char"/>
    <w:rsid w:val="000C292F"/>
    <w:pPr>
      <w:tabs>
        <w:tab w:val="left" w:pos="851"/>
      </w:tabs>
      <w:spacing w:before="120" w:line="280" w:lineRule="atLeast"/>
      <w:ind w:left="425"/>
    </w:pPr>
    <w:rPr>
      <w:rFonts w:ascii="Times New Roman" w:hAnsi="Times New Roman"/>
      <w:b w:val="0"/>
      <w:sz w:val="22"/>
    </w:rPr>
  </w:style>
  <w:style w:type="paragraph" w:customStyle="1" w:styleId="Ne3">
    <w:name w:val="Ne3"/>
    <w:basedOn w:val="Ne2"/>
    <w:rsid w:val="000C292F"/>
    <w:pPr>
      <w:tabs>
        <w:tab w:val="clear" w:pos="851"/>
        <w:tab w:val="left" w:pos="-108"/>
      </w:tabs>
      <w:ind w:left="851"/>
    </w:pPr>
  </w:style>
  <w:style w:type="character" w:customStyle="1" w:styleId="Ne2Char">
    <w:name w:val="Ne2 Char"/>
    <w:basedOn w:val="Standardnpsmoodstavce"/>
    <w:link w:val="Ne2"/>
    <w:rsid w:val="000C292F"/>
    <w:rPr>
      <w:rFonts w:ascii="Times New Roman" w:eastAsia="Times New Roman" w:hAnsi="Times New Roman" w:cs="Arial"/>
      <w:szCs w:val="24"/>
    </w:rPr>
  </w:style>
  <w:style w:type="paragraph" w:customStyle="1" w:styleId="Ne4">
    <w:name w:val="Ne4"/>
    <w:basedOn w:val="Ne2"/>
    <w:next w:val="Ne2"/>
    <w:rsid w:val="000C292F"/>
    <w:pPr>
      <w:spacing w:before="240"/>
    </w:pPr>
    <w:rPr>
      <w:i/>
      <w:iCs/>
    </w:rPr>
  </w:style>
  <w:style w:type="paragraph" w:customStyle="1" w:styleId="Ne0">
    <w:name w:val="Ne 0"/>
    <w:basedOn w:val="Ne1"/>
    <w:next w:val="Ne2"/>
    <w:autoRedefine/>
    <w:rsid w:val="000C292F"/>
    <w:pPr>
      <w:keepNext w:val="0"/>
      <w:keepLines w:val="0"/>
      <w:tabs>
        <w:tab w:val="clear" w:pos="540"/>
        <w:tab w:val="left" w:pos="480"/>
      </w:tabs>
      <w:spacing w:before="120"/>
    </w:pPr>
    <w:rPr>
      <w:bCs/>
    </w:rPr>
  </w:style>
  <w:style w:type="paragraph" w:styleId="Zkladntextodsazen2">
    <w:name w:val="Body Text Indent 2"/>
    <w:basedOn w:val="Normln"/>
    <w:link w:val="Zkladntextodsazen2Char"/>
    <w:rsid w:val="000C292F"/>
    <w:pPr>
      <w:overflowPunct w:val="0"/>
      <w:autoSpaceDE w:val="0"/>
      <w:autoSpaceDN w:val="0"/>
      <w:adjustRightInd w:val="0"/>
      <w:spacing w:before="120"/>
      <w:ind w:left="425"/>
      <w:textAlignment w:val="baseline"/>
    </w:pPr>
    <w:rPr>
      <w:rFonts w:ascii="Times" w:hAnsi="Times"/>
      <w:sz w:val="22"/>
      <w:szCs w:val="20"/>
      <w:lang w:val="en-GB" w:eastAsia="en-US"/>
    </w:rPr>
  </w:style>
  <w:style w:type="character" w:customStyle="1" w:styleId="Zkladntextodsazen2Char">
    <w:name w:val="Základní text odsazený 2 Char"/>
    <w:basedOn w:val="Standardnpsmoodstavce"/>
    <w:link w:val="Zkladntextodsazen2"/>
    <w:rsid w:val="000C292F"/>
    <w:rPr>
      <w:rFonts w:ascii="Times" w:eastAsia="Times New Roman" w:hAnsi="Times" w:cs="Times New Roman"/>
      <w:szCs w:val="20"/>
      <w:lang w:val="en-GB"/>
    </w:rPr>
  </w:style>
  <w:style w:type="paragraph" w:styleId="Zkladntextodsazen3">
    <w:name w:val="Body Text Indent 3"/>
    <w:basedOn w:val="Normln"/>
    <w:link w:val="Zkladntextodsazen3Char"/>
    <w:rsid w:val="000C292F"/>
    <w:pPr>
      <w:spacing w:before="120" w:line="240" w:lineRule="atLeast"/>
      <w:ind w:left="426"/>
    </w:pPr>
    <w:rPr>
      <w:szCs w:val="20"/>
      <w:lang w:eastAsia="en-US"/>
    </w:rPr>
  </w:style>
  <w:style w:type="character" w:customStyle="1" w:styleId="Zkladntextodsazen3Char">
    <w:name w:val="Základní text odsazený 3 Char"/>
    <w:basedOn w:val="Standardnpsmoodstavce"/>
    <w:link w:val="Zkladntextodsazen3"/>
    <w:rsid w:val="000C292F"/>
    <w:rPr>
      <w:rFonts w:eastAsia="Times New Roman" w:cs="Times New Roman"/>
      <w:sz w:val="24"/>
      <w:szCs w:val="20"/>
    </w:rPr>
  </w:style>
  <w:style w:type="paragraph" w:customStyle="1" w:styleId="CVtextheader1">
    <w:name w:val="CV text  header 1"/>
    <w:link w:val="CVtextheader1Char"/>
    <w:rsid w:val="000C292F"/>
    <w:pPr>
      <w:spacing w:before="120" w:after="0" w:line="280" w:lineRule="atLeast"/>
      <w:ind w:left="567"/>
      <w:jc w:val="both"/>
    </w:pPr>
    <w:rPr>
      <w:rFonts w:ascii="Times New Roman" w:eastAsia="Times New Roman" w:hAnsi="Times New Roman" w:cs="Times New Roman"/>
      <w:szCs w:val="24"/>
    </w:rPr>
  </w:style>
  <w:style w:type="character" w:customStyle="1" w:styleId="CVtextheader1Char">
    <w:name w:val="CV text  header 1 Char"/>
    <w:basedOn w:val="Standardnpsmoodstavce"/>
    <w:link w:val="CVtextheader1"/>
    <w:rsid w:val="000C292F"/>
    <w:rPr>
      <w:rFonts w:ascii="Times New Roman" w:eastAsia="Times New Roman" w:hAnsi="Times New Roman" w:cs="Times New Roman"/>
      <w:szCs w:val="24"/>
    </w:rPr>
  </w:style>
  <w:style w:type="table" w:customStyle="1" w:styleId="CVtable1header1">
    <w:name w:val="CV table 1 header 1"/>
    <w:basedOn w:val="Normlntabulka"/>
    <w:rsid w:val="000C292F"/>
    <w:pPr>
      <w:spacing w:before="60" w:after="60" w:line="240" w:lineRule="auto"/>
      <w:jc w:val="right"/>
    </w:pPr>
    <w:rPr>
      <w:rFonts w:ascii="Times New Roman" w:eastAsia="Times New Roman" w:hAnsi="Times New Roman" w:cs="Times New Roman"/>
      <w:sz w:val="18"/>
      <w:szCs w:val="20"/>
      <w:lang w:eastAsia="cs-CZ"/>
    </w:rPr>
    <w:tblPr>
      <w:tblStyleRowBandSize w:val="1"/>
      <w:tblStyleColBandSize w:val="1"/>
    </w:tblPr>
    <w:trPr>
      <w:cantSplit/>
    </w:trPr>
    <w:tcPr>
      <w:vAlign w:val="bottom"/>
    </w:tcPr>
    <w:tblStylePr w:type="firstRow">
      <w:pPr>
        <w:wordWrap/>
        <w:spacing w:beforeLines="0" w:beforeAutospacing="0" w:afterLines="0" w:afterAutospacing="0"/>
        <w:ind w:leftChars="0" w:left="0" w:rightChars="0" w:right="0" w:firstLineChars="0" w:firstLine="0"/>
        <w:contextualSpacing w:val="0"/>
        <w:jc w:val="right"/>
      </w:pPr>
      <w:tblPr/>
      <w:tcPr>
        <w:tcBorders>
          <w:top w:val="single" w:sz="12" w:space="0" w:color="auto"/>
          <w:left w:val="nil"/>
          <w:bottom w:val="single" w:sz="4" w:space="0" w:color="auto"/>
          <w:right w:val="nil"/>
          <w:insideH w:val="nil"/>
          <w:insideV w:val="nil"/>
          <w:tl2br w:val="nil"/>
          <w:tr2bl w:val="nil"/>
        </w:tcBorders>
      </w:tcPr>
    </w:tblStylePr>
    <w:tblStylePr w:type="lastRow">
      <w:tblPr/>
      <w:trPr>
        <w:cantSplit w:val="0"/>
      </w:trPr>
      <w:tcPr>
        <w:tcBorders>
          <w:top w:val="single" w:sz="4" w:space="0" w:color="auto"/>
          <w:left w:val="nil"/>
          <w:bottom w:val="single" w:sz="12" w:space="0" w:color="auto"/>
          <w:right w:val="nil"/>
          <w:insideH w:val="nil"/>
          <w:insideV w:val="nil"/>
          <w:tl2br w:val="nil"/>
          <w:tr2bl w:val="nil"/>
        </w:tcBorders>
      </w:tcPr>
    </w:tblStylePr>
    <w:tblStylePr w:type="firstCol">
      <w:pPr>
        <w:wordWrap/>
        <w:ind w:leftChars="0" w:left="0"/>
        <w:jc w:val="left"/>
      </w:pPr>
    </w:tblStylePr>
  </w:style>
  <w:style w:type="paragraph" w:customStyle="1" w:styleId="CVbodytable">
    <w:name w:val="CV body table"/>
    <w:rsid w:val="000C292F"/>
    <w:pPr>
      <w:spacing w:after="0" w:line="240" w:lineRule="auto"/>
    </w:pPr>
    <w:rPr>
      <w:rFonts w:ascii="Times New Roman" w:eastAsia="Times New Roman" w:hAnsi="Times New Roman" w:cs="Times New Roman"/>
      <w:sz w:val="18"/>
      <w:szCs w:val="18"/>
    </w:rPr>
  </w:style>
  <w:style w:type="paragraph" w:customStyle="1" w:styleId="CVbodytablerowheader">
    <w:name w:val="CV body table row header"/>
    <w:rsid w:val="000C292F"/>
    <w:pPr>
      <w:spacing w:after="0" w:line="240" w:lineRule="auto"/>
      <w:jc w:val="right"/>
    </w:pPr>
    <w:rPr>
      <w:rFonts w:ascii="Times New Roman" w:eastAsia="Times New Roman" w:hAnsi="Times New Roman" w:cs="Times New Roman"/>
      <w:sz w:val="18"/>
      <w:szCs w:val="18"/>
    </w:rPr>
  </w:style>
  <w:style w:type="paragraph" w:styleId="Textkomente">
    <w:name w:val="annotation text"/>
    <w:basedOn w:val="Normln"/>
    <w:link w:val="TextkomenteChar"/>
    <w:uiPriority w:val="99"/>
    <w:semiHidden/>
    <w:rsid w:val="000C292F"/>
    <w:rPr>
      <w:sz w:val="20"/>
      <w:szCs w:val="20"/>
    </w:rPr>
  </w:style>
  <w:style w:type="character" w:customStyle="1" w:styleId="TextkomenteChar">
    <w:name w:val="Text komentáře Char"/>
    <w:basedOn w:val="Standardnpsmoodstavce"/>
    <w:link w:val="Textkomente"/>
    <w:uiPriority w:val="99"/>
    <w:semiHidden/>
    <w:rsid w:val="000C292F"/>
    <w:rPr>
      <w:rFonts w:eastAsia="Times New Roman" w:cs="Times New Roman"/>
      <w:sz w:val="20"/>
      <w:szCs w:val="20"/>
      <w:lang w:eastAsia="cs-CZ"/>
    </w:rPr>
  </w:style>
  <w:style w:type="paragraph" w:customStyle="1" w:styleId="SPPbasic">
    <w:name w:val="SPP_basic"/>
    <w:basedOn w:val="Normln"/>
    <w:rsid w:val="000C292F"/>
    <w:pPr>
      <w:suppressAutoHyphens/>
      <w:spacing w:before="240"/>
      <w:ind w:left="567"/>
    </w:pPr>
    <w:rPr>
      <w:sz w:val="22"/>
      <w:szCs w:val="22"/>
      <w:lang w:eastAsia="en-US"/>
    </w:rPr>
  </w:style>
  <w:style w:type="paragraph" w:customStyle="1" w:styleId="BodyText31">
    <w:name w:val="Body Text 31"/>
    <w:basedOn w:val="Normln"/>
    <w:link w:val="BodyText31Char"/>
    <w:rsid w:val="000C292F"/>
    <w:pPr>
      <w:overflowPunct w:val="0"/>
      <w:autoSpaceDE w:val="0"/>
      <w:autoSpaceDN w:val="0"/>
      <w:adjustRightInd w:val="0"/>
      <w:spacing w:before="120" w:line="240" w:lineRule="atLeast"/>
      <w:textAlignment w:val="baseline"/>
    </w:pPr>
  </w:style>
  <w:style w:type="character" w:customStyle="1" w:styleId="BodyText31Char">
    <w:name w:val="Body Text 31 Char"/>
    <w:basedOn w:val="Standardnpsmoodstavce"/>
    <w:link w:val="BodyText31"/>
    <w:rsid w:val="000C292F"/>
    <w:rPr>
      <w:rFonts w:ascii="Arial" w:eastAsia="Times New Roman" w:hAnsi="Arial" w:cs="Times New Roman"/>
      <w:sz w:val="24"/>
      <w:szCs w:val="24"/>
      <w:lang w:eastAsia="cs-CZ"/>
    </w:rPr>
  </w:style>
  <w:style w:type="character" w:styleId="Odkaznakoment">
    <w:name w:val="annotation reference"/>
    <w:basedOn w:val="Standardnpsmoodstavce"/>
    <w:semiHidden/>
    <w:rsid w:val="000C292F"/>
    <w:rPr>
      <w:sz w:val="16"/>
      <w:szCs w:val="16"/>
    </w:rPr>
  </w:style>
  <w:style w:type="character" w:customStyle="1" w:styleId="editace2">
    <w:name w:val="editace2"/>
    <w:basedOn w:val="Standardnpsmoodstavce"/>
    <w:rsid w:val="000C292F"/>
    <w:rPr>
      <w:b/>
      <w:bCs/>
      <w:strike/>
      <w:dstrike w:val="0"/>
      <w:color w:val="FF0000"/>
      <w:vertAlign w:val="baseline"/>
      <w:lang w:val="en-GB"/>
    </w:rPr>
  </w:style>
  <w:style w:type="paragraph" w:customStyle="1" w:styleId="Style1">
    <w:name w:val="Style1"/>
    <w:basedOn w:val="Normln"/>
    <w:next w:val="Normln"/>
    <w:rsid w:val="000C292F"/>
    <w:pPr>
      <w:ind w:left="600"/>
    </w:pPr>
    <w:rPr>
      <w:rFonts w:cs="Arial"/>
      <w:color w:val="000080"/>
      <w:u w:val="single"/>
      <w:lang w:val="en-GB" w:eastAsia="en-US"/>
    </w:rPr>
  </w:style>
  <w:style w:type="paragraph" w:customStyle="1" w:styleId="CVtextheader2italics">
    <w:name w:val="CV text header 2 italics"/>
    <w:rsid w:val="000C292F"/>
    <w:pPr>
      <w:spacing w:before="120" w:after="0" w:line="280" w:lineRule="atLeast"/>
      <w:ind w:left="1134"/>
      <w:jc w:val="both"/>
    </w:pPr>
    <w:rPr>
      <w:rFonts w:ascii="Times New Roman" w:eastAsia="Times New Roman" w:hAnsi="Times New Roman" w:cs="Times New Roman"/>
      <w:i/>
      <w:szCs w:val="20"/>
    </w:rPr>
  </w:style>
  <w:style w:type="paragraph" w:styleId="Pedmtkomente">
    <w:name w:val="annotation subject"/>
    <w:basedOn w:val="Textkomente"/>
    <w:next w:val="Textkomente"/>
    <w:link w:val="PedmtkomenteChar"/>
    <w:semiHidden/>
    <w:rsid w:val="000C292F"/>
    <w:rPr>
      <w:b/>
      <w:bCs/>
      <w:lang w:val="en-US" w:eastAsia="en-US"/>
    </w:rPr>
  </w:style>
  <w:style w:type="character" w:customStyle="1" w:styleId="PedmtkomenteChar">
    <w:name w:val="Předmět komentáře Char"/>
    <w:basedOn w:val="TextkomenteChar"/>
    <w:link w:val="Pedmtkomente"/>
    <w:semiHidden/>
    <w:rsid w:val="000C292F"/>
    <w:rPr>
      <w:rFonts w:eastAsia="Times New Roman" w:cs="Times New Roman"/>
      <w:b/>
      <w:bCs/>
      <w:sz w:val="20"/>
      <w:szCs w:val="20"/>
      <w:lang w:val="en-US" w:eastAsia="cs-CZ"/>
    </w:rPr>
  </w:style>
  <w:style w:type="paragraph" w:customStyle="1" w:styleId="AODocTxtChar">
    <w:name w:val="AODocTxt Char"/>
    <w:basedOn w:val="Normln"/>
    <w:rsid w:val="000C292F"/>
    <w:pPr>
      <w:spacing w:before="240" w:line="260" w:lineRule="atLeast"/>
    </w:pPr>
    <w:rPr>
      <w:rFonts w:eastAsia="SimSun"/>
      <w:sz w:val="22"/>
      <w:szCs w:val="22"/>
      <w:lang w:val="en-GB" w:eastAsia="en-US"/>
    </w:rPr>
  </w:style>
  <w:style w:type="table" w:styleId="Mkatabulky8">
    <w:name w:val="Table Grid 8"/>
    <w:basedOn w:val="Normlntabulka"/>
    <w:rsid w:val="000C292F"/>
    <w:pPr>
      <w:spacing w:after="0" w:line="240" w:lineRule="auto"/>
    </w:pPr>
    <w:rPr>
      <w:rFonts w:ascii="Times New Roman" w:eastAsia="Times New Roman" w:hAnsi="Times New Roman" w:cs="Times New Roman"/>
      <w:sz w:val="20"/>
      <w:szCs w:val="20"/>
      <w:lang w:eastAsia="cs-CZ"/>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O1">
    <w:name w:val="AO(1)"/>
    <w:basedOn w:val="Normln"/>
    <w:next w:val="AODocTxt"/>
    <w:rsid w:val="000C292F"/>
    <w:pPr>
      <w:numPr>
        <w:numId w:val="6"/>
      </w:numPr>
      <w:spacing w:before="240" w:line="260" w:lineRule="atLeast"/>
    </w:pPr>
    <w:rPr>
      <w:rFonts w:eastAsia="SimSun"/>
      <w:sz w:val="22"/>
      <w:szCs w:val="22"/>
      <w:lang w:val="fr-FR" w:eastAsia="en-US"/>
    </w:rPr>
  </w:style>
  <w:style w:type="paragraph" w:customStyle="1" w:styleId="AOHead1">
    <w:name w:val="AOHead1"/>
    <w:basedOn w:val="Normln"/>
    <w:next w:val="AODocTxtL1"/>
    <w:rsid w:val="000C292F"/>
    <w:pPr>
      <w:keepNext/>
      <w:numPr>
        <w:ilvl w:val="1"/>
        <w:numId w:val="7"/>
      </w:numPr>
      <w:tabs>
        <w:tab w:val="clear" w:pos="862"/>
        <w:tab w:val="num" w:pos="720"/>
      </w:tabs>
      <w:spacing w:before="240" w:line="260" w:lineRule="atLeast"/>
      <w:ind w:left="720"/>
      <w:outlineLvl w:val="0"/>
    </w:pPr>
    <w:rPr>
      <w:rFonts w:eastAsia="SimSun"/>
      <w:b/>
      <w:caps/>
      <w:kern w:val="28"/>
      <w:sz w:val="22"/>
      <w:szCs w:val="22"/>
      <w:lang w:val="fr-FR" w:eastAsia="en-US"/>
    </w:rPr>
  </w:style>
  <w:style w:type="paragraph" w:customStyle="1" w:styleId="AOHead2">
    <w:name w:val="AOHead2"/>
    <w:basedOn w:val="Normln"/>
    <w:next w:val="AODocTxtL1"/>
    <w:rsid w:val="000C292F"/>
    <w:pPr>
      <w:keepNext/>
      <w:tabs>
        <w:tab w:val="num" w:pos="862"/>
      </w:tabs>
      <w:spacing w:before="240" w:line="260" w:lineRule="atLeast"/>
      <w:ind w:left="862" w:hanging="720"/>
      <w:outlineLvl w:val="1"/>
    </w:pPr>
    <w:rPr>
      <w:rFonts w:eastAsia="SimSun"/>
      <w:b/>
      <w:sz w:val="22"/>
      <w:szCs w:val="22"/>
      <w:lang w:val="fr-FR" w:eastAsia="en-US"/>
    </w:rPr>
  </w:style>
  <w:style w:type="paragraph" w:customStyle="1" w:styleId="AOHead3">
    <w:name w:val="AOHead3"/>
    <w:basedOn w:val="Normln"/>
    <w:next w:val="AODocTxtL2"/>
    <w:rsid w:val="000C292F"/>
    <w:pPr>
      <w:tabs>
        <w:tab w:val="num" w:pos="1440"/>
      </w:tabs>
      <w:spacing w:before="240" w:line="260" w:lineRule="atLeast"/>
      <w:ind w:left="1440" w:hanging="720"/>
      <w:outlineLvl w:val="2"/>
    </w:pPr>
    <w:rPr>
      <w:rFonts w:eastAsia="SimSun"/>
      <w:sz w:val="22"/>
      <w:szCs w:val="22"/>
      <w:lang w:val="fr-FR" w:eastAsia="en-US"/>
    </w:rPr>
  </w:style>
  <w:style w:type="paragraph" w:customStyle="1" w:styleId="AOHead4">
    <w:name w:val="AOHead4"/>
    <w:basedOn w:val="Normln"/>
    <w:next w:val="AODocTxtL3"/>
    <w:rsid w:val="000C292F"/>
    <w:pPr>
      <w:tabs>
        <w:tab w:val="num" w:pos="2160"/>
      </w:tabs>
      <w:spacing w:before="240" w:line="260" w:lineRule="atLeast"/>
      <w:ind w:left="2160" w:hanging="720"/>
      <w:outlineLvl w:val="3"/>
    </w:pPr>
    <w:rPr>
      <w:rFonts w:eastAsia="SimSun"/>
      <w:sz w:val="22"/>
      <w:szCs w:val="22"/>
      <w:lang w:val="fr-FR" w:eastAsia="en-US"/>
    </w:rPr>
  </w:style>
  <w:style w:type="paragraph" w:customStyle="1" w:styleId="AOHead5">
    <w:name w:val="AOHead5"/>
    <w:basedOn w:val="Normln"/>
    <w:next w:val="AODocTxtL4"/>
    <w:rsid w:val="000C292F"/>
    <w:pPr>
      <w:tabs>
        <w:tab w:val="num" w:pos="2880"/>
      </w:tabs>
      <w:spacing w:before="240" w:line="260" w:lineRule="atLeast"/>
      <w:ind w:left="2880" w:hanging="720"/>
      <w:outlineLvl w:val="4"/>
    </w:pPr>
    <w:rPr>
      <w:rFonts w:eastAsia="SimSun"/>
      <w:sz w:val="22"/>
      <w:szCs w:val="22"/>
      <w:lang w:val="fr-FR" w:eastAsia="en-US"/>
    </w:rPr>
  </w:style>
  <w:style w:type="paragraph" w:customStyle="1" w:styleId="AOHead6">
    <w:name w:val="AOHead6"/>
    <w:basedOn w:val="Normln"/>
    <w:next w:val="AODocTxtL5"/>
    <w:rsid w:val="000C292F"/>
    <w:pPr>
      <w:tabs>
        <w:tab w:val="num" w:pos="3600"/>
      </w:tabs>
      <w:spacing w:before="240" w:line="260" w:lineRule="atLeast"/>
      <w:ind w:left="3600" w:hanging="720"/>
      <w:outlineLvl w:val="5"/>
    </w:pPr>
    <w:rPr>
      <w:rFonts w:eastAsia="SimSun"/>
      <w:sz w:val="22"/>
      <w:szCs w:val="22"/>
      <w:lang w:val="fr-FR" w:eastAsia="en-US"/>
    </w:rPr>
  </w:style>
  <w:style w:type="paragraph" w:styleId="Rozloendokumentu">
    <w:name w:val="Document Map"/>
    <w:basedOn w:val="Normln"/>
    <w:link w:val="RozloendokumentuChar"/>
    <w:semiHidden/>
    <w:rsid w:val="000C292F"/>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0C292F"/>
    <w:rPr>
      <w:rFonts w:ascii="Tahoma" w:eastAsia="Times New Roman" w:hAnsi="Tahoma" w:cs="Tahoma"/>
      <w:sz w:val="24"/>
      <w:szCs w:val="24"/>
      <w:shd w:val="clear" w:color="auto" w:fill="000080"/>
      <w:lang w:eastAsia="cs-CZ"/>
    </w:rPr>
  </w:style>
  <w:style w:type="paragraph" w:customStyle="1" w:styleId="aodoctxt0">
    <w:name w:val="aodoctxt"/>
    <w:basedOn w:val="Normln"/>
    <w:rsid w:val="000C292F"/>
  </w:style>
  <w:style w:type="paragraph" w:styleId="z-Zatekformule">
    <w:name w:val="HTML Top of Form"/>
    <w:basedOn w:val="Normln"/>
    <w:next w:val="Normln"/>
    <w:link w:val="z-ZatekformuleChar"/>
    <w:hidden/>
    <w:rsid w:val="000C292F"/>
    <w:pPr>
      <w:pBdr>
        <w:bottom w:val="single" w:sz="6" w:space="1" w:color="auto"/>
      </w:pBdr>
      <w:jc w:val="center"/>
    </w:pPr>
    <w:rPr>
      <w:rFonts w:cs="Arial"/>
      <w:vanish/>
      <w:sz w:val="16"/>
      <w:szCs w:val="16"/>
    </w:rPr>
  </w:style>
  <w:style w:type="character" w:customStyle="1" w:styleId="z-ZatekformuleChar">
    <w:name w:val="z-Začátek formuláře Char"/>
    <w:basedOn w:val="Standardnpsmoodstavce"/>
    <w:link w:val="z-Zatekformule"/>
    <w:rsid w:val="000C292F"/>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rsid w:val="000C292F"/>
    <w:pPr>
      <w:pBdr>
        <w:top w:val="single" w:sz="6" w:space="1" w:color="auto"/>
      </w:pBdr>
      <w:jc w:val="center"/>
    </w:pPr>
    <w:rPr>
      <w:rFonts w:cs="Arial"/>
      <w:vanish/>
      <w:sz w:val="16"/>
      <w:szCs w:val="16"/>
    </w:rPr>
  </w:style>
  <w:style w:type="character" w:customStyle="1" w:styleId="z-KonecformuleChar">
    <w:name w:val="z-Konec formuláře Char"/>
    <w:basedOn w:val="Standardnpsmoodstavce"/>
    <w:link w:val="z-Konecformule"/>
    <w:rsid w:val="000C292F"/>
    <w:rPr>
      <w:rFonts w:ascii="Arial" w:eastAsia="Times New Roman" w:hAnsi="Arial" w:cs="Arial"/>
      <w:vanish/>
      <w:sz w:val="16"/>
      <w:szCs w:val="16"/>
      <w:lang w:eastAsia="cs-CZ"/>
    </w:rPr>
  </w:style>
  <w:style w:type="character" w:customStyle="1" w:styleId="vcblt1">
    <w:name w:val="vcb_lt1"/>
    <w:basedOn w:val="Standardnpsmoodstavce"/>
    <w:rsid w:val="000C292F"/>
    <w:rPr>
      <w:rFonts w:ascii="Arial" w:hAnsi="Arial" w:cs="Arial" w:hint="default"/>
      <w:b w:val="0"/>
      <w:bCs w:val="0"/>
      <w:strike w:val="0"/>
      <w:dstrike w:val="0"/>
      <w:color w:val="0000FF"/>
      <w:sz w:val="20"/>
      <w:szCs w:val="20"/>
      <w:u w:val="none"/>
      <w:effect w:val="none"/>
    </w:rPr>
  </w:style>
  <w:style w:type="character" w:customStyle="1" w:styleId="vcbrt1">
    <w:name w:val="vcb_rt1"/>
    <w:basedOn w:val="Standardnpsmoodstavce"/>
    <w:rsid w:val="000C292F"/>
    <w:rPr>
      <w:rFonts w:ascii="Arial" w:hAnsi="Arial" w:cs="Arial" w:hint="default"/>
      <w:b w:val="0"/>
      <w:bCs w:val="0"/>
      <w:strike w:val="0"/>
      <w:dstrike w:val="0"/>
      <w:color w:val="008000"/>
      <w:sz w:val="20"/>
      <w:szCs w:val="20"/>
      <w:u w:val="none"/>
      <w:effect w:val="none"/>
    </w:rPr>
  </w:style>
  <w:style w:type="character" w:customStyle="1" w:styleId="DeltaViewInsertion">
    <w:name w:val="DeltaView Insertion"/>
    <w:rsid w:val="000C292F"/>
    <w:rPr>
      <w:color w:val="0000FF"/>
      <w:spacing w:val="0"/>
      <w:u w:val="double"/>
    </w:rPr>
  </w:style>
  <w:style w:type="paragraph" w:customStyle="1" w:styleId="CM38">
    <w:name w:val="CM38"/>
    <w:basedOn w:val="Normln"/>
    <w:next w:val="Normln"/>
    <w:uiPriority w:val="99"/>
    <w:rsid w:val="000C292F"/>
    <w:pPr>
      <w:widowControl w:val="0"/>
      <w:autoSpaceDE w:val="0"/>
      <w:autoSpaceDN w:val="0"/>
      <w:adjustRightInd w:val="0"/>
    </w:pPr>
    <w:rPr>
      <w:rFonts w:ascii="EurostileTEEBla" w:hAnsi="EurostileTEEBla"/>
    </w:rPr>
  </w:style>
  <w:style w:type="paragraph" w:customStyle="1" w:styleId="CM42">
    <w:name w:val="CM42"/>
    <w:basedOn w:val="Normln"/>
    <w:next w:val="Normln"/>
    <w:uiPriority w:val="99"/>
    <w:rsid w:val="000C292F"/>
    <w:pPr>
      <w:widowControl w:val="0"/>
      <w:autoSpaceDE w:val="0"/>
      <w:autoSpaceDN w:val="0"/>
      <w:adjustRightInd w:val="0"/>
    </w:pPr>
    <w:rPr>
      <w:rFonts w:ascii="EurostileTEEBla" w:hAnsi="EurostileTEEBla"/>
    </w:rPr>
  </w:style>
  <w:style w:type="character" w:styleId="Sledovanodkaz">
    <w:name w:val="FollowedHyperlink"/>
    <w:basedOn w:val="Standardnpsmoodstavce"/>
    <w:rsid w:val="000C292F"/>
    <w:rPr>
      <w:color w:val="800080"/>
      <w:u w:val="single"/>
    </w:rPr>
  </w:style>
  <w:style w:type="paragraph" w:customStyle="1" w:styleId="Odstavecseseznamem1">
    <w:name w:val="Odstavec se seznamem1"/>
    <w:basedOn w:val="Normln"/>
    <w:rsid w:val="000C292F"/>
    <w:pPr>
      <w:spacing w:after="200" w:line="276" w:lineRule="auto"/>
      <w:ind w:left="720"/>
      <w:contextualSpacing/>
    </w:pPr>
    <w:rPr>
      <w:rFonts w:ascii="Calibri" w:hAnsi="Calibri"/>
      <w:sz w:val="22"/>
      <w:szCs w:val="22"/>
      <w:lang w:eastAsia="en-US"/>
    </w:rPr>
  </w:style>
  <w:style w:type="paragraph" w:styleId="Nadpisobsahu">
    <w:name w:val="TOC Heading"/>
    <w:basedOn w:val="Nadpis1"/>
    <w:next w:val="Normln"/>
    <w:uiPriority w:val="39"/>
    <w:unhideWhenUsed/>
    <w:qFormat/>
    <w:rsid w:val="000C292F"/>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eastAsia="en-US"/>
    </w:rPr>
  </w:style>
  <w:style w:type="paragraph" w:styleId="Bezmezer">
    <w:name w:val="No Spacing"/>
    <w:link w:val="BezmezerChar"/>
    <w:uiPriority w:val="1"/>
    <w:qFormat/>
    <w:rsid w:val="000C292F"/>
    <w:pPr>
      <w:spacing w:after="0" w:line="240" w:lineRule="auto"/>
    </w:pPr>
    <w:rPr>
      <w:rFonts w:eastAsiaTheme="minorEastAsia"/>
    </w:rPr>
  </w:style>
  <w:style w:type="character" w:customStyle="1" w:styleId="BezmezerChar">
    <w:name w:val="Bez mezer Char"/>
    <w:basedOn w:val="Standardnpsmoodstavce"/>
    <w:link w:val="Bezmezer"/>
    <w:uiPriority w:val="1"/>
    <w:rsid w:val="000C292F"/>
    <w:rPr>
      <w:rFonts w:eastAsiaTheme="minorEastAsia"/>
    </w:rPr>
  </w:style>
  <w:style w:type="paragraph" w:styleId="Odstavecseseznamem">
    <w:name w:val="List Paragraph"/>
    <w:basedOn w:val="Normln"/>
    <w:uiPriority w:val="34"/>
    <w:qFormat/>
    <w:rsid w:val="000C292F"/>
    <w:pPr>
      <w:ind w:left="720"/>
      <w:contextualSpacing/>
    </w:pPr>
  </w:style>
  <w:style w:type="paragraph" w:styleId="Revize">
    <w:name w:val="Revision"/>
    <w:hidden/>
    <w:uiPriority w:val="99"/>
    <w:semiHidden/>
    <w:rsid w:val="000C292F"/>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017048">
      <w:bodyDiv w:val="1"/>
      <w:marLeft w:val="0"/>
      <w:marRight w:val="0"/>
      <w:marTop w:val="0"/>
      <w:marBottom w:val="0"/>
      <w:divBdr>
        <w:top w:val="none" w:sz="0" w:space="0" w:color="auto"/>
        <w:left w:val="none" w:sz="0" w:space="0" w:color="auto"/>
        <w:bottom w:val="none" w:sz="0" w:space="0" w:color="auto"/>
        <w:right w:val="none" w:sz="0" w:space="0" w:color="auto"/>
      </w:divBdr>
    </w:div>
    <w:div w:id="421030854">
      <w:bodyDiv w:val="1"/>
      <w:marLeft w:val="0"/>
      <w:marRight w:val="0"/>
      <w:marTop w:val="0"/>
      <w:marBottom w:val="0"/>
      <w:divBdr>
        <w:top w:val="none" w:sz="0" w:space="0" w:color="auto"/>
        <w:left w:val="none" w:sz="0" w:space="0" w:color="auto"/>
        <w:bottom w:val="none" w:sz="0" w:space="0" w:color="auto"/>
        <w:right w:val="none" w:sz="0" w:space="0" w:color="auto"/>
      </w:divBdr>
    </w:div>
    <w:div w:id="689529828">
      <w:bodyDiv w:val="1"/>
      <w:marLeft w:val="0"/>
      <w:marRight w:val="0"/>
      <w:marTop w:val="0"/>
      <w:marBottom w:val="0"/>
      <w:divBdr>
        <w:top w:val="none" w:sz="0" w:space="0" w:color="auto"/>
        <w:left w:val="none" w:sz="0" w:space="0" w:color="auto"/>
        <w:bottom w:val="none" w:sz="0" w:space="0" w:color="auto"/>
        <w:right w:val="none" w:sz="0" w:space="0" w:color="auto"/>
      </w:divBdr>
    </w:div>
    <w:div w:id="780224453">
      <w:bodyDiv w:val="1"/>
      <w:marLeft w:val="0"/>
      <w:marRight w:val="0"/>
      <w:marTop w:val="0"/>
      <w:marBottom w:val="0"/>
      <w:divBdr>
        <w:top w:val="none" w:sz="0" w:space="0" w:color="auto"/>
        <w:left w:val="none" w:sz="0" w:space="0" w:color="auto"/>
        <w:bottom w:val="none" w:sz="0" w:space="0" w:color="auto"/>
        <w:right w:val="none" w:sz="0" w:space="0" w:color="auto"/>
      </w:divBdr>
    </w:div>
    <w:div w:id="844520153">
      <w:bodyDiv w:val="1"/>
      <w:marLeft w:val="0"/>
      <w:marRight w:val="0"/>
      <w:marTop w:val="0"/>
      <w:marBottom w:val="0"/>
      <w:divBdr>
        <w:top w:val="none" w:sz="0" w:space="0" w:color="auto"/>
        <w:left w:val="none" w:sz="0" w:space="0" w:color="auto"/>
        <w:bottom w:val="none" w:sz="0" w:space="0" w:color="auto"/>
        <w:right w:val="none" w:sz="0" w:space="0" w:color="auto"/>
      </w:divBdr>
    </w:div>
    <w:div w:id="884869173">
      <w:bodyDiv w:val="1"/>
      <w:marLeft w:val="0"/>
      <w:marRight w:val="0"/>
      <w:marTop w:val="0"/>
      <w:marBottom w:val="0"/>
      <w:divBdr>
        <w:top w:val="none" w:sz="0" w:space="0" w:color="auto"/>
        <w:left w:val="none" w:sz="0" w:space="0" w:color="auto"/>
        <w:bottom w:val="none" w:sz="0" w:space="0" w:color="auto"/>
        <w:right w:val="none" w:sz="0" w:space="0" w:color="auto"/>
      </w:divBdr>
    </w:div>
    <w:div w:id="1098866791">
      <w:bodyDiv w:val="1"/>
      <w:marLeft w:val="0"/>
      <w:marRight w:val="0"/>
      <w:marTop w:val="0"/>
      <w:marBottom w:val="0"/>
      <w:divBdr>
        <w:top w:val="none" w:sz="0" w:space="0" w:color="auto"/>
        <w:left w:val="none" w:sz="0" w:space="0" w:color="auto"/>
        <w:bottom w:val="none" w:sz="0" w:space="0" w:color="auto"/>
        <w:right w:val="none" w:sz="0" w:space="0" w:color="auto"/>
      </w:divBdr>
    </w:div>
    <w:div w:id="1143087212">
      <w:bodyDiv w:val="1"/>
      <w:marLeft w:val="0"/>
      <w:marRight w:val="0"/>
      <w:marTop w:val="0"/>
      <w:marBottom w:val="0"/>
      <w:divBdr>
        <w:top w:val="none" w:sz="0" w:space="0" w:color="auto"/>
        <w:left w:val="none" w:sz="0" w:space="0" w:color="auto"/>
        <w:bottom w:val="none" w:sz="0" w:space="0" w:color="auto"/>
        <w:right w:val="none" w:sz="0" w:space="0" w:color="auto"/>
      </w:divBdr>
    </w:div>
    <w:div w:id="1156990049">
      <w:bodyDiv w:val="1"/>
      <w:marLeft w:val="0"/>
      <w:marRight w:val="0"/>
      <w:marTop w:val="0"/>
      <w:marBottom w:val="0"/>
      <w:divBdr>
        <w:top w:val="none" w:sz="0" w:space="0" w:color="auto"/>
        <w:left w:val="none" w:sz="0" w:space="0" w:color="auto"/>
        <w:bottom w:val="none" w:sz="0" w:space="0" w:color="auto"/>
        <w:right w:val="none" w:sz="0" w:space="0" w:color="auto"/>
      </w:divBdr>
    </w:div>
    <w:div w:id="1534926520">
      <w:bodyDiv w:val="1"/>
      <w:marLeft w:val="0"/>
      <w:marRight w:val="0"/>
      <w:marTop w:val="0"/>
      <w:marBottom w:val="0"/>
      <w:divBdr>
        <w:top w:val="none" w:sz="0" w:space="0" w:color="auto"/>
        <w:left w:val="none" w:sz="0" w:space="0" w:color="auto"/>
        <w:bottom w:val="none" w:sz="0" w:space="0" w:color="auto"/>
        <w:right w:val="none" w:sz="0" w:space="0" w:color="auto"/>
      </w:divBdr>
    </w:div>
    <w:div w:id="1575894877">
      <w:bodyDiv w:val="1"/>
      <w:marLeft w:val="0"/>
      <w:marRight w:val="0"/>
      <w:marTop w:val="0"/>
      <w:marBottom w:val="0"/>
      <w:divBdr>
        <w:top w:val="none" w:sz="0" w:space="0" w:color="auto"/>
        <w:left w:val="none" w:sz="0" w:space="0" w:color="auto"/>
        <w:bottom w:val="none" w:sz="0" w:space="0" w:color="auto"/>
        <w:right w:val="none" w:sz="0" w:space="0" w:color="auto"/>
      </w:divBdr>
    </w:div>
    <w:div w:id="1743524165">
      <w:bodyDiv w:val="1"/>
      <w:marLeft w:val="0"/>
      <w:marRight w:val="0"/>
      <w:marTop w:val="0"/>
      <w:marBottom w:val="0"/>
      <w:divBdr>
        <w:top w:val="none" w:sz="0" w:space="0" w:color="auto"/>
        <w:left w:val="none" w:sz="0" w:space="0" w:color="auto"/>
        <w:bottom w:val="none" w:sz="0" w:space="0" w:color="auto"/>
        <w:right w:val="none" w:sz="0" w:space="0" w:color="auto"/>
      </w:divBdr>
    </w:div>
    <w:div w:id="1838567394">
      <w:bodyDiv w:val="1"/>
      <w:marLeft w:val="0"/>
      <w:marRight w:val="0"/>
      <w:marTop w:val="0"/>
      <w:marBottom w:val="0"/>
      <w:divBdr>
        <w:top w:val="none" w:sz="0" w:space="0" w:color="auto"/>
        <w:left w:val="none" w:sz="0" w:space="0" w:color="auto"/>
        <w:bottom w:val="none" w:sz="0" w:space="0" w:color="auto"/>
        <w:right w:val="none" w:sz="0" w:space="0" w:color="auto"/>
      </w:divBdr>
    </w:div>
    <w:div w:id="202258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1C21B-3C63-4571-9CCA-2DF33D4A5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7520</Words>
  <Characters>44368</Characters>
  <Application>Microsoft Office Word</Application>
  <DocSecurity>0</DocSecurity>
  <Lines>369</Lines>
  <Paragraphs>103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ATC</Company>
  <LinksUpToDate>false</LinksUpToDate>
  <CharactersWithSpaces>51785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Ministrova</dc:creator>
  <cp:keywords/>
  <dc:description/>
  <cp:lastModifiedBy>Lenka Ministrova</cp:lastModifiedBy>
  <cp:revision>2</cp:revision>
  <cp:lastPrinted>2019-08-20T13:58:00Z</cp:lastPrinted>
  <dcterms:created xsi:type="dcterms:W3CDTF">2020-08-28T15:38:00Z</dcterms:created>
  <dcterms:modified xsi:type="dcterms:W3CDTF">2020-08-28T15:38:00Z</dcterms:modified>
</cp:coreProperties>
</file>