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rPr>
        <w:id w:val="14554255"/>
        <w:docPartObj>
          <w:docPartGallery w:val="Cover Pages"/>
          <w:docPartUnique/>
        </w:docPartObj>
      </w:sdtPr>
      <w:sdtEndPr>
        <w:rPr>
          <w:b w:val="0"/>
          <w:bCs w:val="0"/>
        </w:rPr>
      </w:sdtEndPr>
      <w:sdtContent>
        <w:p w14:paraId="3A9371E9" w14:textId="77777777" w:rsidR="000C292F" w:rsidRPr="006C048C" w:rsidRDefault="000C292F" w:rsidP="000C292F">
          <w:r w:rsidRPr="006C048C">
            <w:rPr>
              <w:noProof/>
            </w:rPr>
            <w:drawing>
              <wp:anchor distT="0" distB="0" distL="114300" distR="114300" simplePos="0" relativeHeight="251661312" behindDoc="1" locked="0" layoutInCell="1" allowOverlap="1" wp14:anchorId="63238558" wp14:editId="7621C926">
                <wp:simplePos x="0" y="0"/>
                <wp:positionH relativeFrom="margin">
                  <wp:align>right</wp:align>
                </wp:positionH>
                <wp:positionV relativeFrom="paragraph">
                  <wp:posOffset>81280</wp:posOffset>
                </wp:positionV>
                <wp:extent cx="2564130" cy="457200"/>
                <wp:effectExtent l="0" t="0" r="7620" b="0"/>
                <wp:wrapTight wrapText="bothSides">
                  <wp:wrapPolygon edited="0">
                    <wp:start x="0" y="0"/>
                    <wp:lineTo x="0" y="20700"/>
                    <wp:lineTo x="21504" y="20700"/>
                    <wp:lineTo x="21504"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689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641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5C8B8" w14:textId="77777777" w:rsidR="000C292F" w:rsidRPr="006C048C" w:rsidRDefault="000C292F" w:rsidP="000C292F"/>
        <w:p w14:paraId="387202DA" w14:textId="77777777" w:rsidR="000C292F" w:rsidRPr="006C048C" w:rsidRDefault="000C292F" w:rsidP="000C292F"/>
        <w:p w14:paraId="08E42E08" w14:textId="77777777" w:rsidR="000C292F" w:rsidRPr="006C048C" w:rsidRDefault="000C292F" w:rsidP="000C292F"/>
        <w:p w14:paraId="34C68B4D" w14:textId="77777777" w:rsidR="000C292F" w:rsidRPr="006C048C" w:rsidRDefault="000C292F" w:rsidP="000C292F"/>
        <w:p w14:paraId="3FDACAC3" w14:textId="77777777" w:rsidR="000C292F" w:rsidRPr="006C048C" w:rsidRDefault="000C292F" w:rsidP="000C292F"/>
        <w:p w14:paraId="47A160BF" w14:textId="77777777" w:rsidR="000C292F" w:rsidRPr="006C048C" w:rsidRDefault="000C292F" w:rsidP="000C292F"/>
        <w:p w14:paraId="15096B49" w14:textId="77777777" w:rsidR="000C292F" w:rsidRPr="006C048C" w:rsidRDefault="000C292F" w:rsidP="000C292F"/>
        <w:p w14:paraId="25659894" w14:textId="77777777" w:rsidR="000C292F" w:rsidRPr="006C048C" w:rsidRDefault="000C292F" w:rsidP="000C292F">
          <w:pPr>
            <w:jc w:val="right"/>
            <w:rPr>
              <w:rStyle w:val="Zdraznn"/>
              <w:b/>
              <w:i w:val="0"/>
              <w:sz w:val="56"/>
              <w:szCs w:val="56"/>
            </w:rPr>
          </w:pPr>
          <w:r w:rsidRPr="006C048C">
            <w:rPr>
              <w:rStyle w:val="Zdraznn"/>
              <w:b/>
              <w:sz w:val="56"/>
              <w:szCs w:val="56"/>
            </w:rPr>
            <w:t>PFNonwovens a.s.</w:t>
          </w:r>
        </w:p>
        <w:p w14:paraId="459B1D10" w14:textId="77777777" w:rsidR="000C292F" w:rsidRPr="006C048C" w:rsidRDefault="000C292F" w:rsidP="000C292F">
          <w:pPr>
            <w:jc w:val="right"/>
            <w:rPr>
              <w:rStyle w:val="Zdraznn"/>
              <w:b/>
              <w:i w:val="0"/>
              <w:sz w:val="40"/>
              <w:szCs w:val="40"/>
            </w:rPr>
          </w:pPr>
          <w:r w:rsidRPr="006C048C">
            <w:rPr>
              <w:rStyle w:val="Zdraznn"/>
              <w:b/>
              <w:sz w:val="40"/>
              <w:szCs w:val="40"/>
            </w:rPr>
            <w:t>POLOLETNÍ ZPRÁVA</w:t>
          </w:r>
        </w:p>
        <w:p w14:paraId="6AB6CA99" w14:textId="77777777" w:rsidR="000C292F" w:rsidRPr="006C048C" w:rsidRDefault="000C292F" w:rsidP="000C292F">
          <w:pPr>
            <w:jc w:val="right"/>
            <w:rPr>
              <w:rStyle w:val="Zdraznn"/>
              <w:b/>
              <w:i w:val="0"/>
            </w:rPr>
          </w:pPr>
          <w:r w:rsidRPr="006C048C">
            <w:rPr>
              <w:rStyle w:val="Zdraznn"/>
              <w:b/>
              <w:sz w:val="40"/>
              <w:szCs w:val="40"/>
            </w:rPr>
            <w:t>2018</w:t>
          </w:r>
        </w:p>
        <w:p w14:paraId="01873CFB" w14:textId="77777777" w:rsidR="000C292F" w:rsidRPr="006C048C" w:rsidRDefault="000C292F" w:rsidP="000C292F">
          <w:pPr>
            <w:jc w:val="right"/>
          </w:pPr>
        </w:p>
        <w:p w14:paraId="3C3B2427" w14:textId="77777777" w:rsidR="000C292F" w:rsidRPr="006C048C" w:rsidRDefault="000C292F" w:rsidP="000C292F">
          <w:pPr>
            <w:jc w:val="right"/>
          </w:pPr>
        </w:p>
        <w:p w14:paraId="43E6C423" w14:textId="77777777" w:rsidR="000C292F" w:rsidRPr="006C048C" w:rsidRDefault="000C292F" w:rsidP="000C292F">
          <w:pPr>
            <w:jc w:val="right"/>
          </w:pPr>
        </w:p>
        <w:p w14:paraId="06FF3B19" w14:textId="77777777" w:rsidR="000C292F" w:rsidRPr="006C048C" w:rsidRDefault="000C292F" w:rsidP="000C292F">
          <w:pPr>
            <w:jc w:val="right"/>
          </w:pPr>
        </w:p>
        <w:p w14:paraId="088AF365" w14:textId="77777777" w:rsidR="000C292F" w:rsidRPr="006C048C" w:rsidRDefault="000C292F" w:rsidP="000C292F">
          <w:pPr>
            <w:jc w:val="right"/>
            <w:rPr>
              <w:rFonts w:cs="Arial"/>
            </w:rPr>
          </w:pPr>
        </w:p>
        <w:p w14:paraId="55A81DD7" w14:textId="77777777" w:rsidR="000C292F" w:rsidRPr="006C048C" w:rsidRDefault="000C292F" w:rsidP="000C292F">
          <w:pPr>
            <w:jc w:val="right"/>
            <w:rPr>
              <w:rFonts w:cs="Arial"/>
            </w:rPr>
          </w:pPr>
        </w:p>
        <w:p w14:paraId="2D8DAB21" w14:textId="77777777" w:rsidR="000C292F" w:rsidRPr="006C048C" w:rsidRDefault="000C292F" w:rsidP="000C292F">
          <w:pPr>
            <w:jc w:val="right"/>
            <w:rPr>
              <w:rFonts w:cs="Arial"/>
            </w:rPr>
          </w:pPr>
        </w:p>
        <w:p w14:paraId="2EEAEBA7" w14:textId="77777777" w:rsidR="000C292F" w:rsidRPr="006C048C" w:rsidRDefault="000C292F" w:rsidP="000C292F">
          <w:pPr>
            <w:jc w:val="right"/>
          </w:pPr>
          <w:r w:rsidRPr="006C048C">
            <w:rPr>
              <w:rFonts w:cs="Arial"/>
            </w:rPr>
            <w:t xml:space="preserve">23. </w:t>
          </w:r>
          <w:r w:rsidRPr="006C048C">
            <w:t>srpna</w:t>
          </w:r>
          <w:r w:rsidRPr="006C048C">
            <w:rPr>
              <w:rFonts w:cs="Arial"/>
            </w:rPr>
            <w:t xml:space="preserve"> 2018</w:t>
          </w:r>
          <w:r w:rsidRPr="006C048C">
            <w:br w:type="page"/>
          </w:r>
        </w:p>
      </w:sdtContent>
    </w:sdt>
    <w:p w14:paraId="055F3745" w14:textId="77777777" w:rsidR="000C292F" w:rsidRPr="006C048C" w:rsidRDefault="000C292F" w:rsidP="000C292F"/>
    <w:sdt>
      <w:sdtPr>
        <w:rPr>
          <w:rFonts w:asciiTheme="minorHAnsi" w:eastAsia="Times New Roman" w:hAnsiTheme="minorHAnsi" w:cs="Times New Roman"/>
          <w:b w:val="0"/>
          <w:bCs w:val="0"/>
          <w:color w:val="auto"/>
          <w:sz w:val="24"/>
          <w:szCs w:val="24"/>
          <w:lang w:eastAsia="cs-CZ"/>
        </w:rPr>
        <w:id w:val="1866167944"/>
        <w:docPartObj>
          <w:docPartGallery w:val="Table of Contents"/>
          <w:docPartUnique/>
        </w:docPartObj>
      </w:sdtPr>
      <w:sdtEndPr>
        <w:rPr>
          <w:noProof/>
        </w:rPr>
      </w:sdtEndPr>
      <w:sdtContent>
        <w:p w14:paraId="30D7FE20" w14:textId="7F87D6D7" w:rsidR="000C292F" w:rsidRPr="006C048C" w:rsidRDefault="000C292F" w:rsidP="00E01C7B">
          <w:pPr>
            <w:pStyle w:val="Nadpisobsahu"/>
            <w:spacing w:before="0" w:line="240" w:lineRule="auto"/>
            <w:rPr>
              <w:rFonts w:asciiTheme="minorHAnsi" w:hAnsiTheme="minorHAnsi"/>
              <w:color w:val="auto"/>
              <w:sz w:val="48"/>
              <w:szCs w:val="48"/>
            </w:rPr>
          </w:pPr>
          <w:r w:rsidRPr="006C048C">
            <w:rPr>
              <w:rFonts w:asciiTheme="minorHAnsi" w:hAnsiTheme="minorHAnsi"/>
              <w:color w:val="auto"/>
              <w:sz w:val="48"/>
              <w:szCs w:val="48"/>
            </w:rPr>
            <w:t>Obsah</w:t>
          </w:r>
        </w:p>
        <w:p w14:paraId="211C28FE" w14:textId="1D5F6B28" w:rsidR="005C3F64" w:rsidRDefault="000C292F" w:rsidP="002A79BE">
          <w:pPr>
            <w:pStyle w:val="Obsah1"/>
            <w:spacing w:before="0" w:beforeAutospacing="0" w:after="0" w:afterAutospacing="0"/>
            <w:rPr>
              <w:rFonts w:eastAsiaTheme="minorEastAsia" w:cstheme="minorBidi"/>
              <w:b w:val="0"/>
              <w:sz w:val="22"/>
              <w:szCs w:val="22"/>
              <w:lang w:val="cs-CZ"/>
            </w:rPr>
          </w:pPr>
          <w:r w:rsidRPr="006C048C">
            <w:rPr>
              <w:lang w:val="cs-CZ"/>
            </w:rPr>
            <w:fldChar w:fldCharType="begin"/>
          </w:r>
          <w:r w:rsidRPr="006C048C">
            <w:rPr>
              <w:lang w:val="cs-CZ"/>
            </w:rPr>
            <w:instrText xml:space="preserve"> TOC \o "1-3" \h \z \u </w:instrText>
          </w:r>
          <w:r w:rsidRPr="006C048C">
            <w:rPr>
              <w:lang w:val="cs-CZ"/>
            </w:rPr>
            <w:fldChar w:fldCharType="separate"/>
          </w:r>
          <w:hyperlink w:anchor="_Toc522086603" w:history="1">
            <w:r w:rsidR="005C3F64" w:rsidRPr="00511B0F">
              <w:rPr>
                <w:rStyle w:val="Hypertextovodkaz"/>
                <w:i/>
                <w:iCs/>
              </w:rPr>
              <w:t>Úvod</w:t>
            </w:r>
            <w:r w:rsidR="005C3F64">
              <w:rPr>
                <w:webHidden/>
              </w:rPr>
              <w:tab/>
            </w:r>
            <w:r w:rsidR="005C3F64">
              <w:rPr>
                <w:webHidden/>
              </w:rPr>
              <w:fldChar w:fldCharType="begin"/>
            </w:r>
            <w:r w:rsidR="005C3F64">
              <w:rPr>
                <w:webHidden/>
              </w:rPr>
              <w:instrText xml:space="preserve"> PAGEREF _Toc522086603 \h </w:instrText>
            </w:r>
            <w:r w:rsidR="005C3F64">
              <w:rPr>
                <w:webHidden/>
              </w:rPr>
            </w:r>
            <w:r w:rsidR="005C3F64">
              <w:rPr>
                <w:webHidden/>
              </w:rPr>
              <w:fldChar w:fldCharType="separate"/>
            </w:r>
            <w:r w:rsidR="003F7BFD">
              <w:rPr>
                <w:webHidden/>
              </w:rPr>
              <w:t>3</w:t>
            </w:r>
            <w:r w:rsidR="005C3F64">
              <w:rPr>
                <w:webHidden/>
              </w:rPr>
              <w:fldChar w:fldCharType="end"/>
            </w:r>
          </w:hyperlink>
        </w:p>
        <w:p w14:paraId="505D5DF5" w14:textId="1D2D6713"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04" w:history="1">
            <w:r w:rsidR="005C3F64" w:rsidRPr="00511B0F">
              <w:rPr>
                <w:rStyle w:val="Hypertextovodkaz"/>
              </w:rPr>
              <w:t>Hlavní údaje za první pololetí 2018</w:t>
            </w:r>
            <w:r w:rsidR="005C3F64">
              <w:rPr>
                <w:webHidden/>
              </w:rPr>
              <w:tab/>
            </w:r>
            <w:r w:rsidR="005C3F64">
              <w:rPr>
                <w:webHidden/>
              </w:rPr>
              <w:fldChar w:fldCharType="begin"/>
            </w:r>
            <w:r w:rsidR="005C3F64">
              <w:rPr>
                <w:webHidden/>
              </w:rPr>
              <w:instrText xml:space="preserve"> PAGEREF _Toc522086604 \h </w:instrText>
            </w:r>
            <w:r w:rsidR="005C3F64">
              <w:rPr>
                <w:webHidden/>
              </w:rPr>
            </w:r>
            <w:r w:rsidR="005C3F64">
              <w:rPr>
                <w:webHidden/>
              </w:rPr>
              <w:fldChar w:fldCharType="separate"/>
            </w:r>
            <w:r w:rsidR="003F7BFD">
              <w:rPr>
                <w:webHidden/>
              </w:rPr>
              <w:t>4</w:t>
            </w:r>
            <w:r w:rsidR="005C3F64">
              <w:rPr>
                <w:webHidden/>
              </w:rPr>
              <w:fldChar w:fldCharType="end"/>
            </w:r>
          </w:hyperlink>
        </w:p>
        <w:p w14:paraId="28EA56FF" w14:textId="087BB069"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05" w:history="1">
            <w:r w:rsidR="005C3F64" w:rsidRPr="00511B0F">
              <w:rPr>
                <w:rStyle w:val="Hypertextovodkaz"/>
              </w:rPr>
              <w:t>Mezitímní zpráva o podnikání za první pololetí 2018</w:t>
            </w:r>
            <w:r w:rsidR="005C3F64">
              <w:rPr>
                <w:webHidden/>
              </w:rPr>
              <w:tab/>
            </w:r>
            <w:r w:rsidR="005C3F64">
              <w:rPr>
                <w:webHidden/>
              </w:rPr>
              <w:fldChar w:fldCharType="begin"/>
            </w:r>
            <w:r w:rsidR="005C3F64">
              <w:rPr>
                <w:webHidden/>
              </w:rPr>
              <w:instrText xml:space="preserve"> PAGEREF _Toc522086605 \h </w:instrText>
            </w:r>
            <w:r w:rsidR="005C3F64">
              <w:rPr>
                <w:webHidden/>
              </w:rPr>
            </w:r>
            <w:r w:rsidR="005C3F64">
              <w:rPr>
                <w:webHidden/>
              </w:rPr>
              <w:fldChar w:fldCharType="separate"/>
            </w:r>
            <w:r w:rsidR="003F7BFD">
              <w:rPr>
                <w:webHidden/>
              </w:rPr>
              <w:t>6</w:t>
            </w:r>
            <w:r w:rsidR="005C3F64">
              <w:rPr>
                <w:webHidden/>
              </w:rPr>
              <w:fldChar w:fldCharType="end"/>
            </w:r>
          </w:hyperlink>
        </w:p>
        <w:p w14:paraId="41184A0E" w14:textId="760EB34B"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06" w:history="1">
            <w:r w:rsidR="005C3F64" w:rsidRPr="00511B0F">
              <w:rPr>
                <w:rStyle w:val="Hypertextovodkaz"/>
                <w:noProof/>
              </w:rPr>
              <w:t>Finanční výsledky za první pololetí 2018</w:t>
            </w:r>
            <w:r w:rsidR="005C3F64">
              <w:rPr>
                <w:noProof/>
                <w:webHidden/>
              </w:rPr>
              <w:tab/>
            </w:r>
            <w:r w:rsidR="005C3F64">
              <w:rPr>
                <w:noProof/>
                <w:webHidden/>
              </w:rPr>
              <w:fldChar w:fldCharType="begin"/>
            </w:r>
            <w:r w:rsidR="005C3F64">
              <w:rPr>
                <w:noProof/>
                <w:webHidden/>
              </w:rPr>
              <w:instrText xml:space="preserve"> PAGEREF _Toc522086606 \h </w:instrText>
            </w:r>
            <w:r w:rsidR="005C3F64">
              <w:rPr>
                <w:noProof/>
                <w:webHidden/>
              </w:rPr>
            </w:r>
            <w:r w:rsidR="005C3F64">
              <w:rPr>
                <w:noProof/>
                <w:webHidden/>
              </w:rPr>
              <w:fldChar w:fldCharType="separate"/>
            </w:r>
            <w:r w:rsidR="003F7BFD">
              <w:rPr>
                <w:noProof/>
                <w:webHidden/>
              </w:rPr>
              <w:t>6</w:t>
            </w:r>
            <w:r w:rsidR="005C3F64">
              <w:rPr>
                <w:noProof/>
                <w:webHidden/>
              </w:rPr>
              <w:fldChar w:fldCharType="end"/>
            </w:r>
          </w:hyperlink>
        </w:p>
        <w:p w14:paraId="5BDDD79F" w14:textId="24BD00C0"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07" w:history="1">
            <w:r w:rsidR="005C3F64" w:rsidRPr="00511B0F">
              <w:rPr>
                <w:rStyle w:val="Hypertextovodkaz"/>
                <w:noProof/>
              </w:rPr>
              <w:t>Přehled hospodaření Společnosti v prvním pololetí 2018</w:t>
            </w:r>
            <w:r w:rsidR="005C3F64">
              <w:rPr>
                <w:noProof/>
                <w:webHidden/>
              </w:rPr>
              <w:tab/>
            </w:r>
            <w:r w:rsidR="005C3F64">
              <w:rPr>
                <w:noProof/>
                <w:webHidden/>
              </w:rPr>
              <w:fldChar w:fldCharType="begin"/>
            </w:r>
            <w:r w:rsidR="005C3F64">
              <w:rPr>
                <w:noProof/>
                <w:webHidden/>
              </w:rPr>
              <w:instrText xml:space="preserve"> PAGEREF _Toc522086607 \h </w:instrText>
            </w:r>
            <w:r w:rsidR="005C3F64">
              <w:rPr>
                <w:noProof/>
                <w:webHidden/>
              </w:rPr>
            </w:r>
            <w:r w:rsidR="005C3F64">
              <w:rPr>
                <w:noProof/>
                <w:webHidden/>
              </w:rPr>
              <w:fldChar w:fldCharType="separate"/>
            </w:r>
            <w:r w:rsidR="003F7BFD">
              <w:rPr>
                <w:noProof/>
                <w:webHidden/>
              </w:rPr>
              <w:t>9</w:t>
            </w:r>
            <w:r w:rsidR="005C3F64">
              <w:rPr>
                <w:noProof/>
                <w:webHidden/>
              </w:rPr>
              <w:fldChar w:fldCharType="end"/>
            </w:r>
          </w:hyperlink>
        </w:p>
        <w:p w14:paraId="68A5D51D" w14:textId="0586B4F5"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08" w:history="1">
            <w:r w:rsidR="005C3F64" w:rsidRPr="00511B0F">
              <w:rPr>
                <w:rStyle w:val="Hypertextovodkaz"/>
                <w:noProof/>
              </w:rPr>
              <w:t>Výzkum a vývoj</w:t>
            </w:r>
            <w:r w:rsidR="005C3F64">
              <w:rPr>
                <w:noProof/>
                <w:webHidden/>
              </w:rPr>
              <w:tab/>
            </w:r>
            <w:r w:rsidR="005C3F64">
              <w:rPr>
                <w:noProof/>
                <w:webHidden/>
              </w:rPr>
              <w:fldChar w:fldCharType="begin"/>
            </w:r>
            <w:r w:rsidR="005C3F64">
              <w:rPr>
                <w:noProof/>
                <w:webHidden/>
              </w:rPr>
              <w:instrText xml:space="preserve"> PAGEREF _Toc522086608 \h </w:instrText>
            </w:r>
            <w:r w:rsidR="005C3F64">
              <w:rPr>
                <w:noProof/>
                <w:webHidden/>
              </w:rPr>
            </w:r>
            <w:r w:rsidR="005C3F64">
              <w:rPr>
                <w:noProof/>
                <w:webHidden/>
              </w:rPr>
              <w:fldChar w:fldCharType="separate"/>
            </w:r>
            <w:r w:rsidR="003F7BFD">
              <w:rPr>
                <w:noProof/>
                <w:webHidden/>
              </w:rPr>
              <w:t>9</w:t>
            </w:r>
            <w:r w:rsidR="005C3F64">
              <w:rPr>
                <w:noProof/>
                <w:webHidden/>
              </w:rPr>
              <w:fldChar w:fldCharType="end"/>
            </w:r>
          </w:hyperlink>
        </w:p>
        <w:p w14:paraId="3CED9805" w14:textId="67FD4745"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09" w:history="1">
            <w:r w:rsidR="005C3F64" w:rsidRPr="00511B0F">
              <w:rPr>
                <w:rStyle w:val="Hypertextovodkaz"/>
                <w:noProof/>
              </w:rPr>
              <w:t>Rizikové faktory</w:t>
            </w:r>
            <w:r w:rsidR="005C3F64">
              <w:rPr>
                <w:noProof/>
                <w:webHidden/>
              </w:rPr>
              <w:tab/>
            </w:r>
            <w:r w:rsidR="005C3F64">
              <w:rPr>
                <w:noProof/>
                <w:webHidden/>
              </w:rPr>
              <w:fldChar w:fldCharType="begin"/>
            </w:r>
            <w:r w:rsidR="005C3F64">
              <w:rPr>
                <w:noProof/>
                <w:webHidden/>
              </w:rPr>
              <w:instrText xml:space="preserve"> PAGEREF _Toc522086609 \h </w:instrText>
            </w:r>
            <w:r w:rsidR="005C3F64">
              <w:rPr>
                <w:noProof/>
                <w:webHidden/>
              </w:rPr>
            </w:r>
            <w:r w:rsidR="005C3F64">
              <w:rPr>
                <w:noProof/>
                <w:webHidden/>
              </w:rPr>
              <w:fldChar w:fldCharType="separate"/>
            </w:r>
            <w:r w:rsidR="003F7BFD">
              <w:rPr>
                <w:noProof/>
                <w:webHidden/>
              </w:rPr>
              <w:t>9</w:t>
            </w:r>
            <w:r w:rsidR="005C3F64">
              <w:rPr>
                <w:noProof/>
                <w:webHidden/>
              </w:rPr>
              <w:fldChar w:fldCharType="end"/>
            </w:r>
          </w:hyperlink>
        </w:p>
        <w:p w14:paraId="01EDD388" w14:textId="01C5A0AE"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10" w:history="1">
            <w:r w:rsidR="005C3F64" w:rsidRPr="00511B0F">
              <w:rPr>
                <w:rStyle w:val="Hypertextovodkaz"/>
                <w:noProof/>
              </w:rPr>
              <w:t>Očekáváný vývoj finanční situace, podnikatelské činnosti a výsledků hospodaření v 2. pololetí 2018</w:t>
            </w:r>
            <w:r w:rsidR="005C3F64">
              <w:rPr>
                <w:noProof/>
                <w:webHidden/>
              </w:rPr>
              <w:tab/>
            </w:r>
            <w:r w:rsidR="005C3F64">
              <w:rPr>
                <w:noProof/>
                <w:webHidden/>
              </w:rPr>
              <w:fldChar w:fldCharType="begin"/>
            </w:r>
            <w:r w:rsidR="005C3F64">
              <w:rPr>
                <w:noProof/>
                <w:webHidden/>
              </w:rPr>
              <w:instrText xml:space="preserve"> PAGEREF _Toc522086610 \h </w:instrText>
            </w:r>
            <w:r w:rsidR="005C3F64">
              <w:rPr>
                <w:noProof/>
                <w:webHidden/>
              </w:rPr>
            </w:r>
            <w:r w:rsidR="005C3F64">
              <w:rPr>
                <w:noProof/>
                <w:webHidden/>
              </w:rPr>
              <w:fldChar w:fldCharType="separate"/>
            </w:r>
            <w:r w:rsidR="003F7BFD">
              <w:rPr>
                <w:noProof/>
                <w:webHidden/>
              </w:rPr>
              <w:t>9</w:t>
            </w:r>
            <w:r w:rsidR="005C3F64">
              <w:rPr>
                <w:noProof/>
                <w:webHidden/>
              </w:rPr>
              <w:fldChar w:fldCharType="end"/>
            </w:r>
          </w:hyperlink>
        </w:p>
        <w:p w14:paraId="1BD8C879" w14:textId="656A39EB"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11" w:history="1">
            <w:r w:rsidR="005C3F64" w:rsidRPr="00511B0F">
              <w:rPr>
                <w:rStyle w:val="Hypertextovodkaz"/>
              </w:rPr>
              <w:t>Akcie a akcionářská struktura</w:t>
            </w:r>
            <w:r w:rsidR="005C3F64">
              <w:rPr>
                <w:webHidden/>
              </w:rPr>
              <w:tab/>
            </w:r>
            <w:r w:rsidR="005C3F64">
              <w:rPr>
                <w:webHidden/>
              </w:rPr>
              <w:fldChar w:fldCharType="begin"/>
            </w:r>
            <w:r w:rsidR="005C3F64">
              <w:rPr>
                <w:webHidden/>
              </w:rPr>
              <w:instrText xml:space="preserve"> PAGEREF _Toc522086611 \h </w:instrText>
            </w:r>
            <w:r w:rsidR="005C3F64">
              <w:rPr>
                <w:webHidden/>
              </w:rPr>
            </w:r>
            <w:r w:rsidR="005C3F64">
              <w:rPr>
                <w:webHidden/>
              </w:rPr>
              <w:fldChar w:fldCharType="separate"/>
            </w:r>
            <w:r w:rsidR="003F7BFD">
              <w:rPr>
                <w:webHidden/>
              </w:rPr>
              <w:t>11</w:t>
            </w:r>
            <w:r w:rsidR="005C3F64">
              <w:rPr>
                <w:webHidden/>
              </w:rPr>
              <w:fldChar w:fldCharType="end"/>
            </w:r>
          </w:hyperlink>
        </w:p>
        <w:p w14:paraId="668F890C" w14:textId="36807E42"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12" w:history="1">
            <w:r w:rsidR="005C3F64" w:rsidRPr="00511B0F">
              <w:rPr>
                <w:rStyle w:val="Hypertextovodkaz"/>
              </w:rPr>
              <w:t>Dividendová politika</w:t>
            </w:r>
            <w:r w:rsidR="005C3F64">
              <w:rPr>
                <w:webHidden/>
              </w:rPr>
              <w:tab/>
            </w:r>
            <w:r w:rsidR="005C3F64">
              <w:rPr>
                <w:webHidden/>
              </w:rPr>
              <w:fldChar w:fldCharType="begin"/>
            </w:r>
            <w:r w:rsidR="005C3F64">
              <w:rPr>
                <w:webHidden/>
              </w:rPr>
              <w:instrText xml:space="preserve"> PAGEREF _Toc522086612 \h </w:instrText>
            </w:r>
            <w:r w:rsidR="005C3F64">
              <w:rPr>
                <w:webHidden/>
              </w:rPr>
            </w:r>
            <w:r w:rsidR="005C3F64">
              <w:rPr>
                <w:webHidden/>
              </w:rPr>
              <w:fldChar w:fldCharType="separate"/>
            </w:r>
            <w:r w:rsidR="003F7BFD">
              <w:rPr>
                <w:webHidden/>
              </w:rPr>
              <w:t>13</w:t>
            </w:r>
            <w:r w:rsidR="005C3F64">
              <w:rPr>
                <w:webHidden/>
              </w:rPr>
              <w:fldChar w:fldCharType="end"/>
            </w:r>
          </w:hyperlink>
        </w:p>
        <w:p w14:paraId="2B897FF5" w14:textId="7A2F7412"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13" w:history="1">
            <w:r w:rsidR="005C3F64" w:rsidRPr="00511B0F">
              <w:rPr>
                <w:rStyle w:val="Hypertextovodkaz"/>
              </w:rPr>
              <w:t>Správa a řízení Společnosti</w:t>
            </w:r>
            <w:r w:rsidR="005C3F64">
              <w:rPr>
                <w:webHidden/>
              </w:rPr>
              <w:tab/>
            </w:r>
            <w:r w:rsidR="005C3F64">
              <w:rPr>
                <w:webHidden/>
              </w:rPr>
              <w:fldChar w:fldCharType="begin"/>
            </w:r>
            <w:r w:rsidR="005C3F64">
              <w:rPr>
                <w:webHidden/>
              </w:rPr>
              <w:instrText xml:space="preserve"> PAGEREF _Toc522086613 \h </w:instrText>
            </w:r>
            <w:r w:rsidR="005C3F64">
              <w:rPr>
                <w:webHidden/>
              </w:rPr>
            </w:r>
            <w:r w:rsidR="005C3F64">
              <w:rPr>
                <w:webHidden/>
              </w:rPr>
              <w:fldChar w:fldCharType="separate"/>
            </w:r>
            <w:r w:rsidR="003F7BFD">
              <w:rPr>
                <w:webHidden/>
              </w:rPr>
              <w:t>13</w:t>
            </w:r>
            <w:r w:rsidR="005C3F64">
              <w:rPr>
                <w:webHidden/>
              </w:rPr>
              <w:fldChar w:fldCharType="end"/>
            </w:r>
          </w:hyperlink>
        </w:p>
        <w:p w14:paraId="54FE9160" w14:textId="490F3EAF"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14" w:history="1">
            <w:r w:rsidR="005C3F64" w:rsidRPr="00511B0F">
              <w:rPr>
                <w:rStyle w:val="Hypertextovodkaz"/>
              </w:rPr>
              <w:t>Mezitímní neauditovaná konsolidovaná účetní závěrka</w:t>
            </w:r>
            <w:r w:rsidR="005C3F64">
              <w:rPr>
                <w:webHidden/>
              </w:rPr>
              <w:tab/>
            </w:r>
            <w:r w:rsidR="005C3F64">
              <w:rPr>
                <w:webHidden/>
              </w:rPr>
              <w:fldChar w:fldCharType="begin"/>
            </w:r>
            <w:r w:rsidR="005C3F64">
              <w:rPr>
                <w:webHidden/>
              </w:rPr>
              <w:instrText xml:space="preserve"> PAGEREF _Toc522086614 \h </w:instrText>
            </w:r>
            <w:r w:rsidR="005C3F64">
              <w:rPr>
                <w:webHidden/>
              </w:rPr>
            </w:r>
            <w:r w:rsidR="005C3F64">
              <w:rPr>
                <w:webHidden/>
              </w:rPr>
              <w:fldChar w:fldCharType="separate"/>
            </w:r>
            <w:r w:rsidR="003F7BFD">
              <w:rPr>
                <w:webHidden/>
              </w:rPr>
              <w:t>17</w:t>
            </w:r>
            <w:r w:rsidR="005C3F64">
              <w:rPr>
                <w:webHidden/>
              </w:rPr>
              <w:fldChar w:fldCharType="end"/>
            </w:r>
          </w:hyperlink>
        </w:p>
        <w:p w14:paraId="451BF2A1" w14:textId="23AAB705"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15" w:history="1">
            <w:r w:rsidR="005C3F64" w:rsidRPr="00511B0F">
              <w:rPr>
                <w:rStyle w:val="Hypertextovodkaz"/>
                <w:noProof/>
              </w:rPr>
              <w:t>Konsolidovaný výkaz o úplném výsledku ve zkrácené podobě za období šesti měsíců</w:t>
            </w:r>
            <w:r w:rsidR="005C3F64">
              <w:rPr>
                <w:noProof/>
                <w:webHidden/>
              </w:rPr>
              <w:tab/>
            </w:r>
            <w:r w:rsidR="005C3F64">
              <w:rPr>
                <w:noProof/>
                <w:webHidden/>
              </w:rPr>
              <w:fldChar w:fldCharType="begin"/>
            </w:r>
            <w:r w:rsidR="005C3F64">
              <w:rPr>
                <w:noProof/>
                <w:webHidden/>
              </w:rPr>
              <w:instrText xml:space="preserve"> PAGEREF _Toc522086615 \h </w:instrText>
            </w:r>
            <w:r w:rsidR="005C3F64">
              <w:rPr>
                <w:noProof/>
                <w:webHidden/>
              </w:rPr>
            </w:r>
            <w:r w:rsidR="005C3F64">
              <w:rPr>
                <w:noProof/>
                <w:webHidden/>
              </w:rPr>
              <w:fldChar w:fldCharType="separate"/>
            </w:r>
            <w:r w:rsidR="003F7BFD">
              <w:rPr>
                <w:noProof/>
                <w:webHidden/>
              </w:rPr>
              <w:t>18</w:t>
            </w:r>
            <w:r w:rsidR="005C3F64">
              <w:rPr>
                <w:noProof/>
                <w:webHidden/>
              </w:rPr>
              <w:fldChar w:fldCharType="end"/>
            </w:r>
          </w:hyperlink>
        </w:p>
        <w:p w14:paraId="5C37F3C3" w14:textId="03F784FA"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16" w:history="1">
            <w:r w:rsidR="005C3F64" w:rsidRPr="00511B0F">
              <w:rPr>
                <w:rStyle w:val="Hypertextovodkaz"/>
                <w:noProof/>
              </w:rPr>
              <w:t>Konsolidovaný výkaz o úplném výsledku ve zkrácené podobě za období tří měsíců</w:t>
            </w:r>
            <w:r w:rsidR="005C3F64">
              <w:rPr>
                <w:noProof/>
                <w:webHidden/>
              </w:rPr>
              <w:tab/>
            </w:r>
            <w:r w:rsidR="005C3F64">
              <w:rPr>
                <w:noProof/>
                <w:webHidden/>
              </w:rPr>
              <w:fldChar w:fldCharType="begin"/>
            </w:r>
            <w:r w:rsidR="005C3F64">
              <w:rPr>
                <w:noProof/>
                <w:webHidden/>
              </w:rPr>
              <w:instrText xml:space="preserve"> PAGEREF _Toc522086616 \h </w:instrText>
            </w:r>
            <w:r w:rsidR="005C3F64">
              <w:rPr>
                <w:noProof/>
                <w:webHidden/>
              </w:rPr>
            </w:r>
            <w:r w:rsidR="005C3F64">
              <w:rPr>
                <w:noProof/>
                <w:webHidden/>
              </w:rPr>
              <w:fldChar w:fldCharType="separate"/>
            </w:r>
            <w:r w:rsidR="003F7BFD">
              <w:rPr>
                <w:noProof/>
                <w:webHidden/>
              </w:rPr>
              <w:t>19</w:t>
            </w:r>
            <w:r w:rsidR="005C3F64">
              <w:rPr>
                <w:noProof/>
                <w:webHidden/>
              </w:rPr>
              <w:fldChar w:fldCharType="end"/>
            </w:r>
          </w:hyperlink>
        </w:p>
        <w:p w14:paraId="698F618B" w14:textId="46F5DD26"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17" w:history="1">
            <w:r w:rsidR="005C3F64" w:rsidRPr="00511B0F">
              <w:rPr>
                <w:rStyle w:val="Hypertextovodkaz"/>
                <w:noProof/>
              </w:rPr>
              <w:t>Konsolidovaný výkaz o finanční situaci ve zkrácené podobě</w:t>
            </w:r>
            <w:r w:rsidR="005C3F64">
              <w:rPr>
                <w:noProof/>
                <w:webHidden/>
              </w:rPr>
              <w:tab/>
            </w:r>
            <w:r w:rsidR="005C3F64">
              <w:rPr>
                <w:noProof/>
                <w:webHidden/>
              </w:rPr>
              <w:fldChar w:fldCharType="begin"/>
            </w:r>
            <w:r w:rsidR="005C3F64">
              <w:rPr>
                <w:noProof/>
                <w:webHidden/>
              </w:rPr>
              <w:instrText xml:space="preserve"> PAGEREF _Toc522086617 \h </w:instrText>
            </w:r>
            <w:r w:rsidR="005C3F64">
              <w:rPr>
                <w:noProof/>
                <w:webHidden/>
              </w:rPr>
            </w:r>
            <w:r w:rsidR="005C3F64">
              <w:rPr>
                <w:noProof/>
                <w:webHidden/>
              </w:rPr>
              <w:fldChar w:fldCharType="separate"/>
            </w:r>
            <w:r w:rsidR="003F7BFD">
              <w:rPr>
                <w:noProof/>
                <w:webHidden/>
              </w:rPr>
              <w:t>20</w:t>
            </w:r>
            <w:r w:rsidR="005C3F64">
              <w:rPr>
                <w:noProof/>
                <w:webHidden/>
              </w:rPr>
              <w:fldChar w:fldCharType="end"/>
            </w:r>
          </w:hyperlink>
        </w:p>
        <w:p w14:paraId="3C9E0C4E" w14:textId="4F7B3254"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18" w:history="1">
            <w:r w:rsidR="005C3F64" w:rsidRPr="00511B0F">
              <w:rPr>
                <w:rStyle w:val="Hypertextovodkaz"/>
                <w:noProof/>
              </w:rPr>
              <w:t>Konsolidovaný přehled o peněžních tocích ve zkrácené podobě</w:t>
            </w:r>
            <w:r w:rsidR="005C3F64">
              <w:rPr>
                <w:noProof/>
                <w:webHidden/>
              </w:rPr>
              <w:tab/>
            </w:r>
            <w:r w:rsidR="005C3F64">
              <w:rPr>
                <w:noProof/>
                <w:webHidden/>
              </w:rPr>
              <w:fldChar w:fldCharType="begin"/>
            </w:r>
            <w:r w:rsidR="005C3F64">
              <w:rPr>
                <w:noProof/>
                <w:webHidden/>
              </w:rPr>
              <w:instrText xml:space="preserve"> PAGEREF _Toc522086618 \h </w:instrText>
            </w:r>
            <w:r w:rsidR="005C3F64">
              <w:rPr>
                <w:noProof/>
                <w:webHidden/>
              </w:rPr>
            </w:r>
            <w:r w:rsidR="005C3F64">
              <w:rPr>
                <w:noProof/>
                <w:webHidden/>
              </w:rPr>
              <w:fldChar w:fldCharType="separate"/>
            </w:r>
            <w:r w:rsidR="003F7BFD">
              <w:rPr>
                <w:noProof/>
                <w:webHidden/>
              </w:rPr>
              <w:t>21</w:t>
            </w:r>
            <w:r w:rsidR="005C3F64">
              <w:rPr>
                <w:noProof/>
                <w:webHidden/>
              </w:rPr>
              <w:fldChar w:fldCharType="end"/>
            </w:r>
          </w:hyperlink>
        </w:p>
        <w:p w14:paraId="164ADB03" w14:textId="6503B690"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19" w:history="1">
            <w:r w:rsidR="005C3F64" w:rsidRPr="00511B0F">
              <w:rPr>
                <w:rStyle w:val="Hypertextovodkaz"/>
                <w:noProof/>
              </w:rPr>
              <w:t>Konsolidovaný přehled o změnách vlastního kapitálu ve zkrácené podobě</w:t>
            </w:r>
            <w:r w:rsidR="005C3F64">
              <w:rPr>
                <w:noProof/>
                <w:webHidden/>
              </w:rPr>
              <w:tab/>
            </w:r>
            <w:r w:rsidR="005C3F64">
              <w:rPr>
                <w:noProof/>
                <w:webHidden/>
              </w:rPr>
              <w:fldChar w:fldCharType="begin"/>
            </w:r>
            <w:r w:rsidR="005C3F64">
              <w:rPr>
                <w:noProof/>
                <w:webHidden/>
              </w:rPr>
              <w:instrText xml:space="preserve"> PAGEREF _Toc522086619 \h </w:instrText>
            </w:r>
            <w:r w:rsidR="005C3F64">
              <w:rPr>
                <w:noProof/>
                <w:webHidden/>
              </w:rPr>
            </w:r>
            <w:r w:rsidR="005C3F64">
              <w:rPr>
                <w:noProof/>
                <w:webHidden/>
              </w:rPr>
              <w:fldChar w:fldCharType="separate"/>
            </w:r>
            <w:r w:rsidR="003F7BFD">
              <w:rPr>
                <w:noProof/>
                <w:webHidden/>
              </w:rPr>
              <w:t>22</w:t>
            </w:r>
            <w:r w:rsidR="005C3F64">
              <w:rPr>
                <w:noProof/>
                <w:webHidden/>
              </w:rPr>
              <w:fldChar w:fldCharType="end"/>
            </w:r>
          </w:hyperlink>
        </w:p>
        <w:p w14:paraId="50C0D14A" w14:textId="6D6980B9"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20" w:history="1">
            <w:r w:rsidR="005C3F64" w:rsidRPr="00511B0F">
              <w:rPr>
                <w:rStyle w:val="Hypertextovodkaz"/>
                <w:noProof/>
              </w:rPr>
              <w:t>Vybrané vysvětlující poznámky k mezitímní konsolidované účetní závěrce</w:t>
            </w:r>
            <w:r w:rsidR="005C3F64">
              <w:rPr>
                <w:noProof/>
                <w:webHidden/>
              </w:rPr>
              <w:tab/>
            </w:r>
            <w:r w:rsidR="005C3F64">
              <w:rPr>
                <w:noProof/>
                <w:webHidden/>
              </w:rPr>
              <w:fldChar w:fldCharType="begin"/>
            </w:r>
            <w:r w:rsidR="005C3F64">
              <w:rPr>
                <w:noProof/>
                <w:webHidden/>
              </w:rPr>
              <w:instrText xml:space="preserve"> PAGEREF _Toc522086620 \h </w:instrText>
            </w:r>
            <w:r w:rsidR="005C3F64">
              <w:rPr>
                <w:noProof/>
                <w:webHidden/>
              </w:rPr>
            </w:r>
            <w:r w:rsidR="005C3F64">
              <w:rPr>
                <w:noProof/>
                <w:webHidden/>
              </w:rPr>
              <w:fldChar w:fldCharType="separate"/>
            </w:r>
            <w:r w:rsidR="003F7BFD">
              <w:rPr>
                <w:noProof/>
                <w:webHidden/>
              </w:rPr>
              <w:t>23</w:t>
            </w:r>
            <w:r w:rsidR="005C3F64">
              <w:rPr>
                <w:noProof/>
                <w:webHidden/>
              </w:rPr>
              <w:fldChar w:fldCharType="end"/>
            </w:r>
          </w:hyperlink>
        </w:p>
        <w:p w14:paraId="1029DD80" w14:textId="4ADC5A8E"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21" w:history="1">
            <w:r w:rsidR="005C3F64" w:rsidRPr="00511B0F">
              <w:rPr>
                <w:rStyle w:val="Hypertextovodkaz"/>
              </w:rPr>
              <w:t>Prohlášení</w:t>
            </w:r>
            <w:r w:rsidR="005C3F64">
              <w:rPr>
                <w:webHidden/>
              </w:rPr>
              <w:tab/>
            </w:r>
            <w:r w:rsidR="005C3F64">
              <w:rPr>
                <w:webHidden/>
              </w:rPr>
              <w:fldChar w:fldCharType="begin"/>
            </w:r>
            <w:r w:rsidR="005C3F64">
              <w:rPr>
                <w:webHidden/>
              </w:rPr>
              <w:instrText xml:space="preserve"> PAGEREF _Toc522086621 \h </w:instrText>
            </w:r>
            <w:r w:rsidR="005C3F64">
              <w:rPr>
                <w:webHidden/>
              </w:rPr>
            </w:r>
            <w:r w:rsidR="005C3F64">
              <w:rPr>
                <w:webHidden/>
              </w:rPr>
              <w:fldChar w:fldCharType="separate"/>
            </w:r>
            <w:r w:rsidR="003F7BFD">
              <w:rPr>
                <w:webHidden/>
              </w:rPr>
              <w:t>31</w:t>
            </w:r>
            <w:r w:rsidR="005C3F64">
              <w:rPr>
                <w:webHidden/>
              </w:rPr>
              <w:fldChar w:fldCharType="end"/>
            </w:r>
          </w:hyperlink>
        </w:p>
        <w:p w14:paraId="31233445" w14:textId="24845B43"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22" w:history="1">
            <w:r w:rsidR="005C3F64" w:rsidRPr="00511B0F">
              <w:rPr>
                <w:rStyle w:val="Hypertextovodkaz"/>
              </w:rPr>
              <w:t>Kontakty</w:t>
            </w:r>
            <w:r w:rsidR="005C3F64">
              <w:rPr>
                <w:webHidden/>
              </w:rPr>
              <w:tab/>
            </w:r>
            <w:r w:rsidR="005C3F64">
              <w:rPr>
                <w:webHidden/>
              </w:rPr>
              <w:fldChar w:fldCharType="begin"/>
            </w:r>
            <w:r w:rsidR="005C3F64">
              <w:rPr>
                <w:webHidden/>
              </w:rPr>
              <w:instrText xml:space="preserve"> PAGEREF _Toc522086622 \h </w:instrText>
            </w:r>
            <w:r w:rsidR="005C3F64">
              <w:rPr>
                <w:webHidden/>
              </w:rPr>
            </w:r>
            <w:r w:rsidR="005C3F64">
              <w:rPr>
                <w:webHidden/>
              </w:rPr>
              <w:fldChar w:fldCharType="separate"/>
            </w:r>
            <w:r w:rsidR="003F7BFD">
              <w:rPr>
                <w:webHidden/>
              </w:rPr>
              <w:t>32</w:t>
            </w:r>
            <w:r w:rsidR="005C3F64">
              <w:rPr>
                <w:webHidden/>
              </w:rPr>
              <w:fldChar w:fldCharType="end"/>
            </w:r>
          </w:hyperlink>
        </w:p>
        <w:p w14:paraId="2E98FA75" w14:textId="1BB9A98B"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23" w:history="1">
            <w:r w:rsidR="005C3F64" w:rsidRPr="00511B0F">
              <w:rPr>
                <w:rStyle w:val="Hypertextovodkaz"/>
              </w:rPr>
              <w:t>Výklad pojmů a zkratek</w:t>
            </w:r>
            <w:r w:rsidR="005C3F64">
              <w:rPr>
                <w:webHidden/>
              </w:rPr>
              <w:tab/>
            </w:r>
            <w:r w:rsidR="005C3F64">
              <w:rPr>
                <w:webHidden/>
              </w:rPr>
              <w:fldChar w:fldCharType="begin"/>
            </w:r>
            <w:r w:rsidR="005C3F64">
              <w:rPr>
                <w:webHidden/>
              </w:rPr>
              <w:instrText xml:space="preserve"> PAGEREF _Toc522086623 \h </w:instrText>
            </w:r>
            <w:r w:rsidR="005C3F64">
              <w:rPr>
                <w:webHidden/>
              </w:rPr>
            </w:r>
            <w:r w:rsidR="005C3F64">
              <w:rPr>
                <w:webHidden/>
              </w:rPr>
              <w:fldChar w:fldCharType="separate"/>
            </w:r>
            <w:r w:rsidR="003F7BFD">
              <w:rPr>
                <w:webHidden/>
              </w:rPr>
              <w:t>33</w:t>
            </w:r>
            <w:r w:rsidR="005C3F64">
              <w:rPr>
                <w:webHidden/>
              </w:rPr>
              <w:fldChar w:fldCharType="end"/>
            </w:r>
          </w:hyperlink>
        </w:p>
        <w:p w14:paraId="3DCD279B" w14:textId="5D652498" w:rsidR="005C3F64" w:rsidRDefault="00A057DA" w:rsidP="002A79BE">
          <w:pPr>
            <w:pStyle w:val="Obsah2"/>
            <w:tabs>
              <w:tab w:val="right" w:leader="dot" w:pos="9062"/>
            </w:tabs>
            <w:spacing w:before="0" w:beforeAutospacing="0" w:after="0" w:afterAutospacing="0"/>
            <w:rPr>
              <w:rFonts w:eastAsiaTheme="minorEastAsia" w:cstheme="minorBidi"/>
              <w:noProof/>
              <w:sz w:val="22"/>
              <w:szCs w:val="22"/>
            </w:rPr>
          </w:pPr>
          <w:hyperlink w:anchor="_Toc522086624" w:history="1">
            <w:r w:rsidR="005C3F64" w:rsidRPr="00511B0F">
              <w:rPr>
                <w:rStyle w:val="Hypertextovodkaz"/>
                <w:noProof/>
              </w:rPr>
              <w:t>Alternativní měřítka výkonnosti</w:t>
            </w:r>
            <w:r w:rsidR="005C3F64">
              <w:rPr>
                <w:noProof/>
                <w:webHidden/>
              </w:rPr>
              <w:tab/>
            </w:r>
            <w:r w:rsidR="005C3F64">
              <w:rPr>
                <w:noProof/>
                <w:webHidden/>
              </w:rPr>
              <w:fldChar w:fldCharType="begin"/>
            </w:r>
            <w:r w:rsidR="005C3F64">
              <w:rPr>
                <w:noProof/>
                <w:webHidden/>
              </w:rPr>
              <w:instrText xml:space="preserve"> PAGEREF _Toc522086624 \h </w:instrText>
            </w:r>
            <w:r w:rsidR="005C3F64">
              <w:rPr>
                <w:noProof/>
                <w:webHidden/>
              </w:rPr>
            </w:r>
            <w:r w:rsidR="005C3F64">
              <w:rPr>
                <w:noProof/>
                <w:webHidden/>
              </w:rPr>
              <w:fldChar w:fldCharType="separate"/>
            </w:r>
            <w:r w:rsidR="003F7BFD">
              <w:rPr>
                <w:noProof/>
                <w:webHidden/>
              </w:rPr>
              <w:t>35</w:t>
            </w:r>
            <w:r w:rsidR="005C3F64">
              <w:rPr>
                <w:noProof/>
                <w:webHidden/>
              </w:rPr>
              <w:fldChar w:fldCharType="end"/>
            </w:r>
          </w:hyperlink>
        </w:p>
        <w:p w14:paraId="02753BA1" w14:textId="1EF4BA54" w:rsidR="005C3F64" w:rsidRDefault="00A057DA" w:rsidP="002A79BE">
          <w:pPr>
            <w:pStyle w:val="Obsah1"/>
            <w:spacing w:before="0" w:beforeAutospacing="0" w:after="0" w:afterAutospacing="0"/>
            <w:rPr>
              <w:rFonts w:eastAsiaTheme="minorEastAsia" w:cstheme="minorBidi"/>
              <w:b w:val="0"/>
              <w:sz w:val="22"/>
              <w:szCs w:val="22"/>
              <w:lang w:val="cs-CZ"/>
            </w:rPr>
          </w:pPr>
          <w:hyperlink w:anchor="_Toc522086625" w:history="1">
            <w:r w:rsidR="005C3F64" w:rsidRPr="00511B0F">
              <w:rPr>
                <w:rStyle w:val="Hypertextovodkaz"/>
              </w:rPr>
              <w:t>Ostatní informace</w:t>
            </w:r>
            <w:r w:rsidR="005C3F64">
              <w:rPr>
                <w:webHidden/>
              </w:rPr>
              <w:tab/>
            </w:r>
            <w:r w:rsidR="005C3F64">
              <w:rPr>
                <w:webHidden/>
              </w:rPr>
              <w:fldChar w:fldCharType="begin"/>
            </w:r>
            <w:r w:rsidR="005C3F64">
              <w:rPr>
                <w:webHidden/>
              </w:rPr>
              <w:instrText xml:space="preserve"> PAGEREF _Toc522086625 \h </w:instrText>
            </w:r>
            <w:r w:rsidR="005C3F64">
              <w:rPr>
                <w:webHidden/>
              </w:rPr>
            </w:r>
            <w:r w:rsidR="005C3F64">
              <w:rPr>
                <w:webHidden/>
              </w:rPr>
              <w:fldChar w:fldCharType="separate"/>
            </w:r>
            <w:r w:rsidR="003F7BFD">
              <w:rPr>
                <w:webHidden/>
              </w:rPr>
              <w:t>37</w:t>
            </w:r>
            <w:r w:rsidR="005C3F64">
              <w:rPr>
                <w:webHidden/>
              </w:rPr>
              <w:fldChar w:fldCharType="end"/>
            </w:r>
          </w:hyperlink>
        </w:p>
        <w:p w14:paraId="2A47C48F" w14:textId="73C6468A" w:rsidR="000C292F" w:rsidRPr="006C048C" w:rsidRDefault="000C292F" w:rsidP="002A79BE">
          <w:pPr>
            <w:spacing w:before="0" w:beforeAutospacing="0" w:after="0" w:afterAutospacing="0"/>
            <w:rPr>
              <w:noProof/>
            </w:rPr>
          </w:pPr>
          <w:r w:rsidRPr="006C048C">
            <w:rPr>
              <w:b/>
              <w:bCs/>
              <w:noProof/>
            </w:rPr>
            <w:fldChar w:fldCharType="end"/>
          </w:r>
        </w:p>
      </w:sdtContent>
    </w:sdt>
    <w:bookmarkStart w:id="0" w:name="_Toc269907484" w:displacedByCustomXml="prev"/>
    <w:p w14:paraId="1E4C5CD8" w14:textId="77777777" w:rsidR="000C292F" w:rsidRPr="006C048C" w:rsidRDefault="000C292F" w:rsidP="000C292F">
      <w:pPr>
        <w:spacing w:before="0" w:beforeAutospacing="0" w:after="0" w:afterAutospacing="0"/>
        <w:jc w:val="left"/>
        <w:rPr>
          <w:rStyle w:val="Zdraznn"/>
          <w:b/>
          <w:bCs/>
          <w:i w:val="0"/>
          <w:iCs w:val="0"/>
          <w:kern w:val="32"/>
          <w:sz w:val="48"/>
          <w:szCs w:val="48"/>
        </w:rPr>
      </w:pPr>
      <w:r w:rsidRPr="006C048C">
        <w:rPr>
          <w:rStyle w:val="Zdraznn"/>
        </w:rPr>
        <w:br w:type="page"/>
      </w:r>
    </w:p>
    <w:p w14:paraId="72929B77" w14:textId="77777777" w:rsidR="000C292F" w:rsidRPr="006C048C" w:rsidRDefault="000C292F" w:rsidP="000C292F">
      <w:pPr>
        <w:pStyle w:val="Nadpis1"/>
        <w:rPr>
          <w:rStyle w:val="Zdraznn"/>
          <w:i w:val="0"/>
          <w:iCs w:val="0"/>
        </w:rPr>
      </w:pPr>
      <w:bookmarkStart w:id="1" w:name="_Toc522086603"/>
      <w:r w:rsidRPr="006C048C">
        <w:rPr>
          <w:rStyle w:val="Zdraznn"/>
        </w:rPr>
        <w:lastRenderedPageBreak/>
        <w:t>Ú</w:t>
      </w:r>
      <w:bookmarkEnd w:id="0"/>
      <w:r w:rsidRPr="006C048C">
        <w:rPr>
          <w:rStyle w:val="Zdraznn"/>
        </w:rPr>
        <w:t>vod</w:t>
      </w:r>
      <w:bookmarkEnd w:id="1"/>
    </w:p>
    <w:p w14:paraId="7D630BA1" w14:textId="025B5848" w:rsidR="000C292F" w:rsidRDefault="000C292F" w:rsidP="000C292F">
      <w:r w:rsidRPr="006C048C">
        <w:t xml:space="preserve">PFNonwovens a.s. (dále jen </w:t>
      </w:r>
      <w:r w:rsidRPr="006C048C">
        <w:rPr>
          <w:rFonts w:ascii="Arial" w:hAnsi="Arial" w:cs="Arial"/>
        </w:rPr>
        <w:t>„</w:t>
      </w:r>
      <w:r w:rsidRPr="006C048C">
        <w:t>Společnost</w:t>
      </w:r>
      <w:r w:rsidRPr="006C048C">
        <w:rPr>
          <w:rFonts w:ascii="Arial" w:hAnsi="Arial" w:cs="Arial"/>
        </w:rPr>
        <w:t>“</w:t>
      </w:r>
      <w:r w:rsidRPr="006C048C">
        <w:t xml:space="preserve">) </w:t>
      </w:r>
      <w:r w:rsidR="00D62F44">
        <w:t xml:space="preserve">a její dceřiné </w:t>
      </w:r>
      <w:r w:rsidR="00D62F44" w:rsidRPr="00FA5E46">
        <w:t xml:space="preserve">společnosti (dále jen </w:t>
      </w:r>
      <w:r w:rsidR="00D62F44" w:rsidRPr="00FA5E46">
        <w:rPr>
          <w:rFonts w:ascii="Arial" w:hAnsi="Arial" w:cs="Arial"/>
        </w:rPr>
        <w:t>„</w:t>
      </w:r>
      <w:r w:rsidR="00D62F44" w:rsidRPr="00FA5E46">
        <w:t>Skupina</w:t>
      </w:r>
      <w:r w:rsidR="004C18D4" w:rsidRPr="00FA5E46">
        <w:t>“</w:t>
      </w:r>
      <w:r w:rsidR="00D62F44" w:rsidRPr="00FA5E46">
        <w:t>)</w:t>
      </w:r>
      <w:r w:rsidR="00D62F44">
        <w:t xml:space="preserve"> </w:t>
      </w:r>
      <w:r w:rsidRPr="006C048C">
        <w:t>j</w:t>
      </w:r>
      <w:r w:rsidR="00D62F44">
        <w:t>sou</w:t>
      </w:r>
      <w:r w:rsidRPr="006C048C">
        <w:t xml:space="preserve"> jedním z předních výrobců netkaných textilií v</w:t>
      </w:r>
      <w:r w:rsidR="00FF0C95">
        <w:t> </w:t>
      </w:r>
      <w:r w:rsidRPr="006C048C">
        <w:t xml:space="preserve">EMEA regionu (Evropa, Střední východ a Afrika) používaných zejména na trhu osobních hygienických výrobků. </w:t>
      </w:r>
    </w:p>
    <w:p w14:paraId="5702AFA3" w14:textId="0CE424D4" w:rsidR="00D62F44" w:rsidRPr="006C048C" w:rsidRDefault="00D62F44" w:rsidP="000C292F">
      <w:r w:rsidRPr="00FA5E46">
        <w:t>Majoritním akcionářem Společnosti se v roce 2017 stala společnost R2G Rohan Czech s.r.o. (od 13. června 2018 PFNonwovens Holding s.r.o.). Společnost PFNonwovens a.s. a společnosti jí ovládané</w:t>
      </w:r>
      <w:r w:rsidR="00AC0DB1" w:rsidRPr="00FA5E46">
        <w:t>, tedy Skupina,</w:t>
      </w:r>
      <w:r w:rsidRPr="00FA5E46">
        <w:t xml:space="preserve"> jsou členy </w:t>
      </w:r>
      <w:r w:rsidR="00BF3C3D">
        <w:t xml:space="preserve">globálního </w:t>
      </w:r>
      <w:r w:rsidRPr="00FA5E46">
        <w:t>koncernu PFNonwovens</w:t>
      </w:r>
      <w:r w:rsidR="00665CE4">
        <w:t xml:space="preserve"> (dále jen „PFN“)</w:t>
      </w:r>
      <w:r w:rsidR="00BF3C3D">
        <w:t>. PFNonwovens a.s. tedy</w:t>
      </w:r>
      <w:r w:rsidRPr="00FA5E46">
        <w:t xml:space="preserve"> podléh</w:t>
      </w:r>
      <w:r w:rsidR="00BF3C3D">
        <w:t>á</w:t>
      </w:r>
      <w:r w:rsidRPr="00FA5E46">
        <w:t xml:space="preserve"> jednotnému </w:t>
      </w:r>
      <w:r w:rsidR="00BF3C3D">
        <w:t xml:space="preserve">koncernovému </w:t>
      </w:r>
      <w:r w:rsidRPr="00FA5E46">
        <w:t xml:space="preserve">řízení společnosti PFNonwovens Holding s.r.o. </w:t>
      </w:r>
      <w:r w:rsidR="00BF3C3D">
        <w:t>Mezinárodní management koncernu PFN se skládá z manažerů s dlouhodobou zkušeností z odvětví netkaných textilií, kteří pro dceřiné společnosti koncernu dlouhodobě pracují. Generálním ředitelem koncernu PFN je Allen Bodford, který v minulosti řídil operace First Quality Nonwovens v USA a Číně. František Řezáč je Globálním ředitelem pro rozvoj obchodu. František Klaška je Globálním produktovým a technickým ředitelem a Marian Rašík je Globálním finančním ředitelem.</w:t>
      </w:r>
    </w:p>
    <w:p w14:paraId="5BC212CD" w14:textId="110D3D27" w:rsidR="000C292F" w:rsidRPr="006C048C" w:rsidRDefault="00D62F44" w:rsidP="000C292F">
      <w:r w:rsidRPr="00FA5E46">
        <w:t xml:space="preserve">Skupina, za kterou je tato pololetní správa vyhotovena, </w:t>
      </w:r>
      <w:r w:rsidR="000C292F" w:rsidRPr="00FA5E46">
        <w:t>se</w:t>
      </w:r>
      <w:r w:rsidRPr="00FA5E46">
        <w:t>stává</w:t>
      </w:r>
      <w:r w:rsidR="000C292F" w:rsidRPr="00FA5E46">
        <w:t xml:space="preserve"> z holdingové společnosti PFNonwovens a.s. se sídlem v České republice a čtyř provozních společností, jimiž jsou PEGAS NONWOVENS Czech s.r.o., PEGAS – NW a.s., PEGAS – NS a.s. a PEGAS – GIC a.s., všechny se sídlem v České republice. V roce 2010 byla za účelem realizace potenciálních investičních příležitostí založena společnost PEGAS NONWOVENS International s.r.o. a následně, v červnu 2011, společnost</w:t>
      </w:r>
      <w:r w:rsidR="000C292F" w:rsidRPr="00FA5E46" w:rsidDel="00675CFB">
        <w:t xml:space="preserve"> </w:t>
      </w:r>
      <w:r w:rsidR="000C292F" w:rsidRPr="00FA5E46">
        <w:t xml:space="preserve">PEGAS NONWOVENS EGYPT LLC, která realizuje investici v Egyptě. V červenci 2016 byla založena dceřiná společnost PEGAS NONWOVENS RSA (PTY) LTD za účelem realizace investičního záměru v Jihoafrické republice. K 30. červnu 2018 Skupina zaměstnávala </w:t>
      </w:r>
      <w:r w:rsidR="00FF0C95" w:rsidRPr="00FA5E46">
        <w:t xml:space="preserve">593 </w:t>
      </w:r>
      <w:r w:rsidR="000C292F" w:rsidRPr="00FA5E46">
        <w:t>lidí.</w:t>
      </w:r>
    </w:p>
    <w:p w14:paraId="3F58314B" w14:textId="05566334" w:rsidR="000C292F" w:rsidRPr="006C048C" w:rsidRDefault="0052686C" w:rsidP="000C292F">
      <w:r>
        <w:t>Skupina</w:t>
      </w:r>
      <w:r w:rsidR="004C18D4">
        <w:t xml:space="preserve"> </w:t>
      </w:r>
      <w:r w:rsidR="000C292F" w:rsidRPr="006C048C">
        <w:t xml:space="preserve">dodává svým zákazníkům spunbond a meltblown (dohromady, </w:t>
      </w:r>
      <w:r w:rsidR="000C292F" w:rsidRPr="006C048C">
        <w:rPr>
          <w:rFonts w:ascii="Arial" w:hAnsi="Arial" w:cs="Arial"/>
        </w:rPr>
        <w:t>„</w:t>
      </w:r>
      <w:r w:rsidR="000C292F" w:rsidRPr="006C048C">
        <w:t>spunmelt</w:t>
      </w:r>
      <w:r w:rsidR="000C292F" w:rsidRPr="006C048C">
        <w:rPr>
          <w:rFonts w:ascii="Arial" w:hAnsi="Arial" w:cs="Arial"/>
        </w:rPr>
        <w:t>“</w:t>
      </w:r>
      <w:r w:rsidR="000C292F" w:rsidRPr="006C048C">
        <w:t>) textilie na bázi polypropylenu a polyetylenu (</w:t>
      </w:r>
      <w:r w:rsidR="000C292F" w:rsidRPr="006C048C">
        <w:rPr>
          <w:rFonts w:ascii="Arial" w:hAnsi="Arial" w:cs="Arial"/>
        </w:rPr>
        <w:t>„</w:t>
      </w:r>
      <w:r w:rsidR="000C292F" w:rsidRPr="006C048C">
        <w:t>PP</w:t>
      </w:r>
      <w:r w:rsidR="000C292F" w:rsidRPr="006C048C">
        <w:rPr>
          <w:rFonts w:ascii="Arial" w:hAnsi="Arial" w:cs="Arial"/>
        </w:rPr>
        <w:t>“</w:t>
      </w:r>
      <w:r w:rsidR="000C292F" w:rsidRPr="006C048C">
        <w:t xml:space="preserve"> a </w:t>
      </w:r>
      <w:r w:rsidR="000C292F" w:rsidRPr="006C048C">
        <w:rPr>
          <w:rFonts w:ascii="Arial" w:hAnsi="Arial" w:cs="Arial"/>
        </w:rPr>
        <w:t>„</w:t>
      </w:r>
      <w:r w:rsidR="000C292F" w:rsidRPr="006C048C">
        <w:t>PP/PE</w:t>
      </w:r>
      <w:r w:rsidR="000C292F" w:rsidRPr="006C048C">
        <w:rPr>
          <w:rFonts w:ascii="Arial" w:hAnsi="Arial" w:cs="Arial"/>
        </w:rPr>
        <w:t>“</w:t>
      </w:r>
      <w:r w:rsidR="000C292F" w:rsidRPr="006C048C">
        <w:t>) převážně pro účely výroby jednorázových hygienických produktů (jako jsou dětské plenky, výrobky pro inkontinenci dospělých a dámské hygienické výrobky) a dále, v menší míře, do stavebnictví, zemědělství a lékařských aplikací.</w:t>
      </w:r>
    </w:p>
    <w:p w14:paraId="3567D686" w14:textId="07FD287F" w:rsidR="000C292F" w:rsidRPr="006C048C" w:rsidRDefault="000C292F" w:rsidP="000C292F">
      <w:r w:rsidRPr="006C048C">
        <w:t>Od svého založení v roce 1990 Skupina za téměř třicet let vyrostla v jednoho z</w:t>
      </w:r>
      <w:r w:rsidR="00FF0C95">
        <w:t> </w:t>
      </w:r>
      <w:r w:rsidRPr="006C048C">
        <w:t>největších výrobců netkaných spunmelt textilií v EMEA regionu (měřeno výrobní kapacitou v roce 2017). Skupina v současné době provozuje devět výrobních linek v České republice a jednu výrobní linku v Egyptě. Celková výrobní kapacita Skupiny za rok je v</w:t>
      </w:r>
      <w:r w:rsidR="00FF0C95">
        <w:t> </w:t>
      </w:r>
      <w:r w:rsidRPr="006C048C">
        <w:t xml:space="preserve">současnosti do 100 tisíc tun netkaných textilií v České republice a do 20 tisíc tun v Egyptě. </w:t>
      </w:r>
    </w:p>
    <w:p w14:paraId="6B9DA912" w14:textId="53F2B507" w:rsidR="000C292F" w:rsidRPr="006C048C" w:rsidRDefault="000C292F" w:rsidP="000C292F">
      <w:r w:rsidRPr="006C048C">
        <w:t xml:space="preserve">Po uvedení na akciový trh v prosinci 2006 jsou akcie Společnosti kotovány na Burze cenných papírů v Praze. </w:t>
      </w:r>
    </w:p>
    <w:p w14:paraId="1A6C01F1" w14:textId="047877F4" w:rsidR="000C292F" w:rsidRPr="006C048C" w:rsidRDefault="000C292F" w:rsidP="000C292F">
      <w:r w:rsidRPr="006C048C">
        <w:t>Skupina je členem European Disposables and Nonwovens Association (EDANA).</w:t>
      </w:r>
    </w:p>
    <w:p w14:paraId="3C932B54" w14:textId="77777777" w:rsidR="000C292F" w:rsidRPr="006C048C" w:rsidRDefault="000C292F" w:rsidP="000C292F">
      <w:pPr>
        <w:pStyle w:val="Nadpis1"/>
        <w:sectPr w:rsidR="000C292F" w:rsidRPr="006C048C" w:rsidSect="00E431E6">
          <w:footerReference w:type="even" r:id="rId9"/>
          <w:footerReference w:type="default" r:id="rId10"/>
          <w:pgSz w:w="11906" w:h="16838"/>
          <w:pgMar w:top="1417" w:right="1417" w:bottom="1417" w:left="1417" w:header="708" w:footer="708" w:gutter="0"/>
          <w:cols w:space="708"/>
          <w:titlePg/>
          <w:docGrid w:linePitch="360"/>
        </w:sectPr>
      </w:pPr>
    </w:p>
    <w:p w14:paraId="74F218DE" w14:textId="77777777" w:rsidR="000C292F" w:rsidRPr="006C048C" w:rsidRDefault="000C292F" w:rsidP="000C292F">
      <w:pPr>
        <w:pStyle w:val="Nadpis1"/>
      </w:pPr>
      <w:bookmarkStart w:id="2" w:name="_Toc269111112"/>
      <w:bookmarkStart w:id="3" w:name="_Toc269118384"/>
      <w:bookmarkStart w:id="4" w:name="_Toc269139283"/>
      <w:bookmarkStart w:id="5" w:name="_Toc269111114"/>
      <w:bookmarkStart w:id="6" w:name="_Toc269118386"/>
      <w:bookmarkStart w:id="7" w:name="_Toc269139285"/>
      <w:bookmarkStart w:id="8" w:name="_Toc269907485"/>
      <w:bookmarkStart w:id="9" w:name="_Toc522086604"/>
      <w:bookmarkEnd w:id="2"/>
      <w:bookmarkEnd w:id="3"/>
      <w:bookmarkEnd w:id="4"/>
      <w:bookmarkEnd w:id="5"/>
      <w:bookmarkEnd w:id="6"/>
      <w:bookmarkEnd w:id="7"/>
      <w:r w:rsidRPr="006C048C">
        <w:lastRenderedPageBreak/>
        <w:t>Hlavní údaje za první pololetí 201</w:t>
      </w:r>
      <w:bookmarkEnd w:id="8"/>
      <w:r w:rsidRPr="006C048C">
        <w:t>8</w:t>
      </w:r>
      <w:bookmarkEnd w:id="9"/>
    </w:p>
    <w:tbl>
      <w:tblPr>
        <w:tblW w:w="0" w:type="auto"/>
        <w:tblCellMar>
          <w:left w:w="70" w:type="dxa"/>
          <w:right w:w="70" w:type="dxa"/>
        </w:tblCellMar>
        <w:tblLook w:val="04A0" w:firstRow="1" w:lastRow="0" w:firstColumn="1" w:lastColumn="0" w:noHBand="0" w:noVBand="1"/>
      </w:tblPr>
      <w:tblGrid>
        <w:gridCol w:w="4951"/>
        <w:gridCol w:w="1004"/>
        <w:gridCol w:w="1003"/>
        <w:gridCol w:w="1004"/>
        <w:gridCol w:w="1003"/>
      </w:tblGrid>
      <w:tr w:rsidR="001C48FB" w:rsidRPr="001C48FB" w14:paraId="4655AD80" w14:textId="77777777" w:rsidTr="001C48FB">
        <w:trPr>
          <w:trHeight w:val="319"/>
        </w:trPr>
        <w:tc>
          <w:tcPr>
            <w:tcW w:w="0" w:type="auto"/>
            <w:tcBorders>
              <w:top w:val="nil"/>
              <w:left w:val="nil"/>
              <w:bottom w:val="nil"/>
              <w:right w:val="nil"/>
            </w:tcBorders>
            <w:shd w:val="clear" w:color="000000" w:fill="2A7FC6"/>
            <w:noWrap/>
            <w:vAlign w:val="bottom"/>
            <w:hideMark/>
          </w:tcPr>
          <w:p w14:paraId="2D8DC8BE" w14:textId="77777777" w:rsidR="001C48FB" w:rsidRPr="001C48FB" w:rsidRDefault="001C48FB" w:rsidP="001C48FB">
            <w:pPr>
              <w:spacing w:before="0" w:beforeAutospacing="0" w:after="0" w:afterAutospacing="0"/>
              <w:jc w:val="left"/>
              <w:rPr>
                <w:rFonts w:ascii="Calibri" w:hAnsi="Calibri" w:cs="Arial"/>
                <w:b/>
                <w:bCs/>
                <w:color w:val="FFFFFF"/>
                <w:sz w:val="20"/>
                <w:szCs w:val="20"/>
              </w:rPr>
            </w:pPr>
            <w:r w:rsidRPr="001C48FB">
              <w:rPr>
                <w:rFonts w:ascii="Calibri" w:hAnsi="Calibri" w:cs="Arial"/>
                <w:b/>
                <w:bCs/>
                <w:color w:val="FFFFFF"/>
                <w:sz w:val="20"/>
                <w:szCs w:val="20"/>
              </w:rPr>
              <w:t> </w:t>
            </w:r>
          </w:p>
        </w:tc>
        <w:tc>
          <w:tcPr>
            <w:tcW w:w="0" w:type="auto"/>
            <w:gridSpan w:val="2"/>
            <w:tcBorders>
              <w:top w:val="nil"/>
              <w:left w:val="nil"/>
              <w:bottom w:val="nil"/>
              <w:right w:val="nil"/>
            </w:tcBorders>
            <w:shd w:val="clear" w:color="000000" w:fill="2A7FC6"/>
            <w:noWrap/>
            <w:vAlign w:val="bottom"/>
            <w:hideMark/>
          </w:tcPr>
          <w:p w14:paraId="335AD9E5" w14:textId="51C3D8F5" w:rsidR="001C48FB" w:rsidRPr="001C48FB" w:rsidRDefault="005C3F64" w:rsidP="001C48FB">
            <w:pPr>
              <w:spacing w:before="0" w:beforeAutospacing="0" w:after="0" w:afterAutospacing="0"/>
              <w:jc w:val="center"/>
              <w:rPr>
                <w:rFonts w:ascii="Calibri" w:hAnsi="Calibri" w:cs="Arial"/>
                <w:b/>
                <w:bCs/>
                <w:color w:val="FFFFFF"/>
                <w:sz w:val="20"/>
                <w:szCs w:val="20"/>
              </w:rPr>
            </w:pPr>
            <w:r>
              <w:rPr>
                <w:rFonts w:ascii="Calibri" w:hAnsi="Calibri" w:cs="Arial"/>
                <w:b/>
                <w:bCs/>
                <w:color w:val="FFFFFF"/>
                <w:sz w:val="20"/>
                <w:szCs w:val="20"/>
              </w:rPr>
              <w:t>l</w:t>
            </w:r>
            <w:r w:rsidR="001C48FB" w:rsidRPr="001C48FB">
              <w:rPr>
                <w:rFonts w:ascii="Calibri" w:hAnsi="Calibri" w:cs="Arial"/>
                <w:b/>
                <w:bCs/>
                <w:color w:val="FFFFFF"/>
                <w:sz w:val="20"/>
                <w:szCs w:val="20"/>
              </w:rPr>
              <w:t>eden – červen 2018</w:t>
            </w:r>
          </w:p>
        </w:tc>
        <w:tc>
          <w:tcPr>
            <w:tcW w:w="0" w:type="auto"/>
            <w:gridSpan w:val="2"/>
            <w:tcBorders>
              <w:top w:val="nil"/>
              <w:left w:val="nil"/>
              <w:bottom w:val="nil"/>
              <w:right w:val="nil"/>
            </w:tcBorders>
            <w:shd w:val="clear" w:color="000000" w:fill="2A7FC6"/>
            <w:noWrap/>
            <w:vAlign w:val="bottom"/>
            <w:hideMark/>
          </w:tcPr>
          <w:p w14:paraId="3F65FADC" w14:textId="77777777" w:rsidR="001C48FB" w:rsidRPr="001C48FB" w:rsidRDefault="001C48FB" w:rsidP="001C48FB">
            <w:pPr>
              <w:spacing w:before="0" w:beforeAutospacing="0" w:after="0" w:afterAutospacing="0"/>
              <w:jc w:val="center"/>
              <w:rPr>
                <w:rFonts w:ascii="Calibri" w:hAnsi="Calibri" w:cs="Arial"/>
                <w:b/>
                <w:bCs/>
                <w:color w:val="FFFFFF"/>
                <w:sz w:val="20"/>
                <w:szCs w:val="20"/>
              </w:rPr>
            </w:pPr>
            <w:r w:rsidRPr="001C48FB">
              <w:rPr>
                <w:rFonts w:ascii="Calibri" w:hAnsi="Calibri" w:cs="Arial"/>
                <w:b/>
                <w:bCs/>
                <w:color w:val="FFFFFF"/>
                <w:sz w:val="20"/>
                <w:szCs w:val="20"/>
              </w:rPr>
              <w:t>duben - červen 2018</w:t>
            </w:r>
          </w:p>
        </w:tc>
      </w:tr>
      <w:tr w:rsidR="001C48FB" w:rsidRPr="001C48FB" w14:paraId="18170A5F" w14:textId="77777777" w:rsidTr="001C48FB">
        <w:trPr>
          <w:trHeight w:val="330"/>
        </w:trPr>
        <w:tc>
          <w:tcPr>
            <w:tcW w:w="0" w:type="auto"/>
            <w:tcBorders>
              <w:top w:val="nil"/>
              <w:left w:val="nil"/>
              <w:bottom w:val="nil"/>
              <w:right w:val="nil"/>
            </w:tcBorders>
            <w:shd w:val="clear" w:color="000000" w:fill="2A7FC6"/>
            <w:noWrap/>
            <w:vAlign w:val="center"/>
            <w:hideMark/>
          </w:tcPr>
          <w:p w14:paraId="5FEDF0B3" w14:textId="77777777" w:rsidR="001C48FB" w:rsidRPr="001C48FB" w:rsidRDefault="001C48FB" w:rsidP="001C48FB">
            <w:pPr>
              <w:spacing w:before="0" w:beforeAutospacing="0" w:after="0" w:afterAutospacing="0"/>
              <w:jc w:val="left"/>
              <w:rPr>
                <w:rFonts w:ascii="Calibri" w:hAnsi="Calibri" w:cs="Arial"/>
                <w:b/>
                <w:bCs/>
                <w:color w:val="FFFFFF"/>
                <w:sz w:val="20"/>
                <w:szCs w:val="20"/>
              </w:rPr>
            </w:pPr>
            <w:r w:rsidRPr="001C48FB">
              <w:rPr>
                <w:rFonts w:ascii="Calibri" w:hAnsi="Calibri" w:cs="Arial"/>
                <w:b/>
                <w:bCs/>
                <w:color w:val="FFFFFF"/>
                <w:sz w:val="20"/>
                <w:szCs w:val="20"/>
              </w:rPr>
              <w:t> </w:t>
            </w:r>
          </w:p>
        </w:tc>
        <w:tc>
          <w:tcPr>
            <w:tcW w:w="0" w:type="auto"/>
            <w:tcBorders>
              <w:top w:val="nil"/>
              <w:left w:val="nil"/>
              <w:bottom w:val="nil"/>
              <w:right w:val="nil"/>
            </w:tcBorders>
            <w:shd w:val="clear" w:color="000000" w:fill="2A7FC6"/>
            <w:noWrap/>
            <w:vAlign w:val="center"/>
            <w:hideMark/>
          </w:tcPr>
          <w:p w14:paraId="4637DDC4" w14:textId="77777777" w:rsidR="001C48FB" w:rsidRPr="001C48FB" w:rsidRDefault="001C48FB" w:rsidP="001C48FB">
            <w:pPr>
              <w:spacing w:before="0" w:beforeAutospacing="0" w:after="0" w:afterAutospacing="0"/>
              <w:jc w:val="left"/>
              <w:rPr>
                <w:rFonts w:ascii="Calibri" w:hAnsi="Calibri" w:cs="Arial"/>
                <w:b/>
                <w:bCs/>
                <w:color w:val="FFFFFF"/>
                <w:sz w:val="20"/>
                <w:szCs w:val="20"/>
              </w:rPr>
            </w:pPr>
            <w:r w:rsidRPr="001C48FB">
              <w:rPr>
                <w:rFonts w:ascii="Calibri" w:hAnsi="Calibri" w:cs="Arial"/>
                <w:b/>
                <w:bCs/>
                <w:color w:val="FFFFFF"/>
                <w:sz w:val="20"/>
                <w:szCs w:val="20"/>
              </w:rPr>
              <w:t> </w:t>
            </w:r>
          </w:p>
        </w:tc>
        <w:tc>
          <w:tcPr>
            <w:tcW w:w="0" w:type="auto"/>
            <w:tcBorders>
              <w:top w:val="nil"/>
              <w:left w:val="nil"/>
              <w:bottom w:val="nil"/>
              <w:right w:val="nil"/>
            </w:tcBorders>
            <w:shd w:val="clear" w:color="000000" w:fill="2A7FC6"/>
            <w:noWrap/>
            <w:vAlign w:val="center"/>
            <w:hideMark/>
          </w:tcPr>
          <w:p w14:paraId="684380C4" w14:textId="77777777" w:rsidR="001C48FB" w:rsidRPr="001C48FB" w:rsidRDefault="001C48FB" w:rsidP="001C48FB">
            <w:pPr>
              <w:spacing w:before="0" w:beforeAutospacing="0" w:after="0" w:afterAutospacing="0"/>
              <w:jc w:val="center"/>
              <w:rPr>
                <w:rFonts w:ascii="Calibri" w:hAnsi="Calibri" w:cs="Arial"/>
                <w:b/>
                <w:bCs/>
                <w:color w:val="FFFFFF"/>
                <w:sz w:val="20"/>
                <w:szCs w:val="20"/>
              </w:rPr>
            </w:pPr>
            <w:r w:rsidRPr="001C48FB">
              <w:rPr>
                <w:rFonts w:ascii="Calibri" w:hAnsi="Calibri" w:cs="Arial"/>
                <w:b/>
                <w:bCs/>
                <w:color w:val="FFFFFF"/>
                <w:sz w:val="20"/>
                <w:szCs w:val="20"/>
              </w:rPr>
              <w:t>meziročně</w:t>
            </w:r>
          </w:p>
        </w:tc>
        <w:tc>
          <w:tcPr>
            <w:tcW w:w="0" w:type="auto"/>
            <w:tcBorders>
              <w:top w:val="nil"/>
              <w:left w:val="nil"/>
              <w:bottom w:val="nil"/>
              <w:right w:val="nil"/>
            </w:tcBorders>
            <w:shd w:val="clear" w:color="000000" w:fill="2A7FC6"/>
            <w:noWrap/>
            <w:vAlign w:val="center"/>
            <w:hideMark/>
          </w:tcPr>
          <w:p w14:paraId="00AFD3DF" w14:textId="77777777" w:rsidR="001C48FB" w:rsidRPr="001C48FB" w:rsidRDefault="001C48FB" w:rsidP="001C48FB">
            <w:pPr>
              <w:spacing w:before="0" w:beforeAutospacing="0" w:after="0" w:afterAutospacing="0"/>
              <w:jc w:val="left"/>
              <w:rPr>
                <w:rFonts w:ascii="Calibri" w:hAnsi="Calibri" w:cs="Arial"/>
                <w:b/>
                <w:bCs/>
                <w:color w:val="FFFFFF"/>
                <w:sz w:val="20"/>
                <w:szCs w:val="20"/>
              </w:rPr>
            </w:pPr>
            <w:r w:rsidRPr="001C48FB">
              <w:rPr>
                <w:rFonts w:ascii="Calibri" w:hAnsi="Calibri" w:cs="Arial"/>
                <w:b/>
                <w:bCs/>
                <w:color w:val="FFFFFF"/>
                <w:sz w:val="20"/>
                <w:szCs w:val="20"/>
              </w:rPr>
              <w:t> </w:t>
            </w:r>
          </w:p>
        </w:tc>
        <w:tc>
          <w:tcPr>
            <w:tcW w:w="0" w:type="auto"/>
            <w:tcBorders>
              <w:top w:val="nil"/>
              <w:left w:val="nil"/>
              <w:bottom w:val="nil"/>
              <w:right w:val="nil"/>
            </w:tcBorders>
            <w:shd w:val="clear" w:color="000000" w:fill="2A7FC6"/>
            <w:noWrap/>
            <w:vAlign w:val="center"/>
            <w:hideMark/>
          </w:tcPr>
          <w:p w14:paraId="745FBE5E" w14:textId="77777777" w:rsidR="001C48FB" w:rsidRPr="001C48FB" w:rsidRDefault="001C48FB" w:rsidP="001C48FB">
            <w:pPr>
              <w:spacing w:before="0" w:beforeAutospacing="0" w:after="0" w:afterAutospacing="0"/>
              <w:jc w:val="center"/>
              <w:rPr>
                <w:rFonts w:ascii="Calibri" w:hAnsi="Calibri" w:cs="Arial"/>
                <w:b/>
                <w:bCs/>
                <w:color w:val="FFFFFF"/>
                <w:sz w:val="20"/>
                <w:szCs w:val="20"/>
              </w:rPr>
            </w:pPr>
            <w:r w:rsidRPr="001C48FB">
              <w:rPr>
                <w:rFonts w:ascii="Calibri" w:hAnsi="Calibri" w:cs="Arial"/>
                <w:b/>
                <w:bCs/>
                <w:color w:val="FFFFFF"/>
                <w:sz w:val="20"/>
                <w:szCs w:val="20"/>
              </w:rPr>
              <w:t>meziročně</w:t>
            </w:r>
          </w:p>
        </w:tc>
      </w:tr>
      <w:tr w:rsidR="001C48FB" w:rsidRPr="001C48FB" w14:paraId="32564A77" w14:textId="77777777" w:rsidTr="001C48FB">
        <w:trPr>
          <w:trHeight w:val="109"/>
        </w:trPr>
        <w:tc>
          <w:tcPr>
            <w:tcW w:w="0" w:type="auto"/>
            <w:tcBorders>
              <w:top w:val="nil"/>
              <w:left w:val="nil"/>
              <w:bottom w:val="nil"/>
              <w:right w:val="nil"/>
            </w:tcBorders>
            <w:shd w:val="clear" w:color="auto" w:fill="auto"/>
            <w:noWrap/>
            <w:vAlign w:val="center"/>
            <w:hideMark/>
          </w:tcPr>
          <w:p w14:paraId="46F5A505" w14:textId="77777777" w:rsidR="001C48FB" w:rsidRPr="001C48FB" w:rsidRDefault="001C48FB" w:rsidP="001C48FB">
            <w:pPr>
              <w:spacing w:before="0" w:beforeAutospacing="0" w:after="0" w:afterAutospacing="0"/>
              <w:jc w:val="center"/>
              <w:rPr>
                <w:rFonts w:ascii="Calibri" w:hAnsi="Calibri" w:cs="Arial"/>
                <w:b/>
                <w:bCs/>
                <w:color w:val="FFFFFF"/>
                <w:sz w:val="20"/>
                <w:szCs w:val="20"/>
              </w:rPr>
            </w:pPr>
          </w:p>
        </w:tc>
        <w:tc>
          <w:tcPr>
            <w:tcW w:w="0" w:type="auto"/>
            <w:tcBorders>
              <w:top w:val="nil"/>
              <w:left w:val="nil"/>
              <w:bottom w:val="nil"/>
              <w:right w:val="nil"/>
            </w:tcBorders>
            <w:shd w:val="clear" w:color="auto" w:fill="auto"/>
            <w:noWrap/>
            <w:vAlign w:val="center"/>
            <w:hideMark/>
          </w:tcPr>
          <w:p w14:paraId="58C887BB" w14:textId="77777777" w:rsidR="001C48FB" w:rsidRPr="001C48FB" w:rsidRDefault="001C48FB" w:rsidP="001C48FB">
            <w:pPr>
              <w:spacing w:before="0" w:beforeAutospacing="0" w:after="0" w:afterAutospacing="0"/>
              <w:jc w:val="lef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200C05C0" w14:textId="77777777" w:rsidR="001C48FB" w:rsidRPr="001C48FB" w:rsidRDefault="001C48FB" w:rsidP="001C48FB">
            <w:pPr>
              <w:spacing w:before="0" w:beforeAutospacing="0" w:after="0" w:afterAutospacing="0"/>
              <w:jc w:val="lef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0845510C" w14:textId="77777777" w:rsidR="001C48FB" w:rsidRPr="001C48FB" w:rsidRDefault="001C48FB" w:rsidP="001C48FB">
            <w:pPr>
              <w:spacing w:before="0" w:beforeAutospacing="0" w:after="0" w:afterAutospacing="0"/>
              <w:jc w:val="center"/>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6642F8F9" w14:textId="77777777" w:rsidR="001C48FB" w:rsidRPr="001C48FB" w:rsidRDefault="001C48FB" w:rsidP="001C48FB">
            <w:pPr>
              <w:spacing w:before="0" w:beforeAutospacing="0" w:after="0" w:afterAutospacing="0"/>
              <w:jc w:val="left"/>
              <w:rPr>
                <w:rFonts w:ascii="Times New Roman" w:hAnsi="Times New Roman"/>
                <w:sz w:val="20"/>
                <w:szCs w:val="20"/>
              </w:rPr>
            </w:pPr>
          </w:p>
        </w:tc>
      </w:tr>
      <w:tr w:rsidR="001C48FB" w:rsidRPr="001C48FB" w14:paraId="03B57C66" w14:textId="77777777" w:rsidTr="001C48FB">
        <w:trPr>
          <w:trHeight w:val="330"/>
        </w:trPr>
        <w:tc>
          <w:tcPr>
            <w:tcW w:w="0" w:type="auto"/>
            <w:tcBorders>
              <w:top w:val="nil"/>
              <w:left w:val="nil"/>
              <w:bottom w:val="nil"/>
              <w:right w:val="nil"/>
            </w:tcBorders>
            <w:shd w:val="clear" w:color="000000" w:fill="9C9D9F"/>
            <w:vAlign w:val="center"/>
            <w:hideMark/>
          </w:tcPr>
          <w:p w14:paraId="33738130"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Finanční ukazatele (v mil. Kč)</w:t>
            </w:r>
          </w:p>
        </w:tc>
        <w:tc>
          <w:tcPr>
            <w:tcW w:w="0" w:type="auto"/>
            <w:tcBorders>
              <w:top w:val="nil"/>
              <w:left w:val="nil"/>
              <w:bottom w:val="nil"/>
              <w:right w:val="nil"/>
            </w:tcBorders>
            <w:shd w:val="clear" w:color="000000" w:fill="9C9D9F"/>
            <w:noWrap/>
            <w:vAlign w:val="center"/>
            <w:hideMark/>
          </w:tcPr>
          <w:p w14:paraId="712FCCA0"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51CA0D2F"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4F68B60A"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7F1C8208"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r>
      <w:tr w:rsidR="001C48FB" w:rsidRPr="001C48FB" w14:paraId="4DACD265"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64720289"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Výnosy</w:t>
            </w:r>
          </w:p>
        </w:tc>
        <w:tc>
          <w:tcPr>
            <w:tcW w:w="0" w:type="auto"/>
            <w:tcBorders>
              <w:top w:val="nil"/>
              <w:left w:val="nil"/>
              <w:bottom w:val="single" w:sz="4" w:space="0" w:color="9C9D9F"/>
              <w:right w:val="nil"/>
            </w:tcBorders>
            <w:shd w:val="clear" w:color="auto" w:fill="auto"/>
            <w:noWrap/>
            <w:vAlign w:val="center"/>
            <w:hideMark/>
          </w:tcPr>
          <w:p w14:paraId="04D8256E"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2 984,2</w:t>
            </w:r>
          </w:p>
        </w:tc>
        <w:tc>
          <w:tcPr>
            <w:tcW w:w="0" w:type="auto"/>
            <w:tcBorders>
              <w:top w:val="nil"/>
              <w:left w:val="nil"/>
              <w:bottom w:val="single" w:sz="4" w:space="0" w:color="9C9D9F"/>
              <w:right w:val="nil"/>
            </w:tcBorders>
            <w:shd w:val="clear" w:color="auto" w:fill="auto"/>
            <w:noWrap/>
            <w:vAlign w:val="center"/>
            <w:hideMark/>
          </w:tcPr>
          <w:p w14:paraId="73209066"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-0,3%</w:t>
            </w:r>
          </w:p>
        </w:tc>
        <w:tc>
          <w:tcPr>
            <w:tcW w:w="0" w:type="auto"/>
            <w:tcBorders>
              <w:top w:val="nil"/>
              <w:left w:val="nil"/>
              <w:bottom w:val="single" w:sz="4" w:space="0" w:color="9C9D9F"/>
              <w:right w:val="nil"/>
            </w:tcBorders>
            <w:shd w:val="clear" w:color="auto" w:fill="auto"/>
            <w:noWrap/>
            <w:vAlign w:val="center"/>
            <w:hideMark/>
          </w:tcPr>
          <w:p w14:paraId="43509609"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1 523,9</w:t>
            </w:r>
          </w:p>
        </w:tc>
        <w:tc>
          <w:tcPr>
            <w:tcW w:w="0" w:type="auto"/>
            <w:tcBorders>
              <w:top w:val="nil"/>
              <w:left w:val="nil"/>
              <w:bottom w:val="single" w:sz="4" w:space="0" w:color="9C9D9F"/>
              <w:right w:val="nil"/>
            </w:tcBorders>
            <w:shd w:val="clear" w:color="auto" w:fill="auto"/>
            <w:noWrap/>
            <w:vAlign w:val="center"/>
            <w:hideMark/>
          </w:tcPr>
          <w:p w14:paraId="0598B037"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2,6%</w:t>
            </w:r>
          </w:p>
        </w:tc>
      </w:tr>
      <w:tr w:rsidR="001C48FB" w:rsidRPr="001C48FB" w14:paraId="73623D9F"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7A10512B"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Provozní náklady bez odpisů</w:t>
            </w:r>
          </w:p>
        </w:tc>
        <w:tc>
          <w:tcPr>
            <w:tcW w:w="0" w:type="auto"/>
            <w:tcBorders>
              <w:top w:val="nil"/>
              <w:left w:val="nil"/>
              <w:bottom w:val="single" w:sz="4" w:space="0" w:color="9C9D9F"/>
              <w:right w:val="nil"/>
            </w:tcBorders>
            <w:shd w:val="clear" w:color="auto" w:fill="auto"/>
            <w:noWrap/>
            <w:vAlign w:val="center"/>
            <w:hideMark/>
          </w:tcPr>
          <w:p w14:paraId="5F06CEB6"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-2 322,1</w:t>
            </w:r>
          </w:p>
        </w:tc>
        <w:tc>
          <w:tcPr>
            <w:tcW w:w="0" w:type="auto"/>
            <w:tcBorders>
              <w:top w:val="nil"/>
              <w:left w:val="nil"/>
              <w:bottom w:val="single" w:sz="4" w:space="0" w:color="9C9D9F"/>
              <w:right w:val="nil"/>
            </w:tcBorders>
            <w:shd w:val="clear" w:color="auto" w:fill="auto"/>
            <w:noWrap/>
            <w:vAlign w:val="center"/>
            <w:hideMark/>
          </w:tcPr>
          <w:p w14:paraId="23351222"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-4,7%</w:t>
            </w:r>
          </w:p>
        </w:tc>
        <w:tc>
          <w:tcPr>
            <w:tcW w:w="0" w:type="auto"/>
            <w:tcBorders>
              <w:top w:val="nil"/>
              <w:left w:val="nil"/>
              <w:bottom w:val="single" w:sz="4" w:space="0" w:color="9C9D9F"/>
              <w:right w:val="nil"/>
            </w:tcBorders>
            <w:shd w:val="clear" w:color="auto" w:fill="auto"/>
            <w:noWrap/>
            <w:vAlign w:val="center"/>
            <w:hideMark/>
          </w:tcPr>
          <w:p w14:paraId="4605590D"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-1 188,9</w:t>
            </w:r>
          </w:p>
        </w:tc>
        <w:tc>
          <w:tcPr>
            <w:tcW w:w="0" w:type="auto"/>
            <w:tcBorders>
              <w:top w:val="nil"/>
              <w:left w:val="nil"/>
              <w:bottom w:val="single" w:sz="4" w:space="0" w:color="9C9D9F"/>
              <w:right w:val="nil"/>
            </w:tcBorders>
            <w:shd w:val="clear" w:color="auto" w:fill="auto"/>
            <w:noWrap/>
            <w:vAlign w:val="center"/>
            <w:hideMark/>
          </w:tcPr>
          <w:p w14:paraId="5636122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-3,7%</w:t>
            </w:r>
          </w:p>
        </w:tc>
      </w:tr>
      <w:tr w:rsidR="001C48FB" w:rsidRPr="001C48FB" w14:paraId="18C2EF60"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1AE30176"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EBITDA</w:t>
            </w:r>
          </w:p>
        </w:tc>
        <w:tc>
          <w:tcPr>
            <w:tcW w:w="0" w:type="auto"/>
            <w:tcBorders>
              <w:top w:val="nil"/>
              <w:left w:val="nil"/>
              <w:bottom w:val="single" w:sz="4" w:space="0" w:color="9C9D9F"/>
              <w:right w:val="nil"/>
            </w:tcBorders>
            <w:shd w:val="clear" w:color="auto" w:fill="auto"/>
            <w:noWrap/>
            <w:vAlign w:val="center"/>
            <w:hideMark/>
          </w:tcPr>
          <w:p w14:paraId="11BBD9B9"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662,1</w:t>
            </w:r>
          </w:p>
        </w:tc>
        <w:tc>
          <w:tcPr>
            <w:tcW w:w="0" w:type="auto"/>
            <w:tcBorders>
              <w:top w:val="nil"/>
              <w:left w:val="nil"/>
              <w:bottom w:val="single" w:sz="4" w:space="0" w:color="9C9D9F"/>
              <w:right w:val="nil"/>
            </w:tcBorders>
            <w:shd w:val="clear" w:color="auto" w:fill="auto"/>
            <w:noWrap/>
            <w:vAlign w:val="center"/>
            <w:hideMark/>
          </w:tcPr>
          <w:p w14:paraId="6E9C371E"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19,3%</w:t>
            </w:r>
          </w:p>
        </w:tc>
        <w:tc>
          <w:tcPr>
            <w:tcW w:w="0" w:type="auto"/>
            <w:tcBorders>
              <w:top w:val="nil"/>
              <w:left w:val="nil"/>
              <w:bottom w:val="single" w:sz="4" w:space="0" w:color="9C9D9F"/>
              <w:right w:val="nil"/>
            </w:tcBorders>
            <w:shd w:val="clear" w:color="auto" w:fill="auto"/>
            <w:noWrap/>
            <w:vAlign w:val="center"/>
            <w:hideMark/>
          </w:tcPr>
          <w:p w14:paraId="79FB5A7A"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335,0</w:t>
            </w:r>
          </w:p>
        </w:tc>
        <w:tc>
          <w:tcPr>
            <w:tcW w:w="0" w:type="auto"/>
            <w:tcBorders>
              <w:top w:val="nil"/>
              <w:left w:val="nil"/>
              <w:bottom w:val="single" w:sz="4" w:space="0" w:color="9C9D9F"/>
              <w:right w:val="nil"/>
            </w:tcBorders>
            <w:shd w:val="clear" w:color="auto" w:fill="auto"/>
            <w:noWrap/>
            <w:vAlign w:val="center"/>
            <w:hideMark/>
          </w:tcPr>
          <w:p w14:paraId="3ACAFFC5"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33,5%</w:t>
            </w:r>
          </w:p>
        </w:tc>
      </w:tr>
      <w:tr w:rsidR="001C48FB" w:rsidRPr="001C48FB" w14:paraId="0A441D2C"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0966024E"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Odpisy</w:t>
            </w:r>
          </w:p>
        </w:tc>
        <w:tc>
          <w:tcPr>
            <w:tcW w:w="0" w:type="auto"/>
            <w:tcBorders>
              <w:top w:val="nil"/>
              <w:left w:val="nil"/>
              <w:bottom w:val="single" w:sz="4" w:space="0" w:color="9C9D9F"/>
              <w:right w:val="nil"/>
            </w:tcBorders>
            <w:shd w:val="clear" w:color="auto" w:fill="auto"/>
            <w:noWrap/>
            <w:vAlign w:val="center"/>
            <w:hideMark/>
          </w:tcPr>
          <w:p w14:paraId="2973284E"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-231,1</w:t>
            </w:r>
          </w:p>
        </w:tc>
        <w:tc>
          <w:tcPr>
            <w:tcW w:w="0" w:type="auto"/>
            <w:tcBorders>
              <w:top w:val="nil"/>
              <w:left w:val="nil"/>
              <w:bottom w:val="single" w:sz="4" w:space="0" w:color="9C9D9F"/>
              <w:right w:val="nil"/>
            </w:tcBorders>
            <w:shd w:val="clear" w:color="auto" w:fill="auto"/>
            <w:noWrap/>
            <w:vAlign w:val="center"/>
            <w:hideMark/>
          </w:tcPr>
          <w:p w14:paraId="41DDF421"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4,0%</w:t>
            </w:r>
          </w:p>
        </w:tc>
        <w:tc>
          <w:tcPr>
            <w:tcW w:w="0" w:type="auto"/>
            <w:tcBorders>
              <w:top w:val="nil"/>
              <w:left w:val="nil"/>
              <w:bottom w:val="single" w:sz="4" w:space="0" w:color="9C9D9F"/>
              <w:right w:val="nil"/>
            </w:tcBorders>
            <w:shd w:val="clear" w:color="auto" w:fill="auto"/>
            <w:noWrap/>
            <w:vAlign w:val="center"/>
            <w:hideMark/>
          </w:tcPr>
          <w:p w14:paraId="7AEB6DE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-116,1</w:t>
            </w:r>
          </w:p>
        </w:tc>
        <w:tc>
          <w:tcPr>
            <w:tcW w:w="0" w:type="auto"/>
            <w:tcBorders>
              <w:top w:val="nil"/>
              <w:left w:val="nil"/>
              <w:bottom w:val="single" w:sz="4" w:space="0" w:color="9C9D9F"/>
              <w:right w:val="nil"/>
            </w:tcBorders>
            <w:shd w:val="clear" w:color="auto" w:fill="auto"/>
            <w:noWrap/>
            <w:vAlign w:val="center"/>
            <w:hideMark/>
          </w:tcPr>
          <w:p w14:paraId="34E32D0D"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4,8%</w:t>
            </w:r>
          </w:p>
        </w:tc>
      </w:tr>
      <w:tr w:rsidR="001C48FB" w:rsidRPr="001C48FB" w14:paraId="7907F236"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721FE577"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Provozní hospodářský výsledek (EBIT)</w:t>
            </w:r>
          </w:p>
        </w:tc>
        <w:tc>
          <w:tcPr>
            <w:tcW w:w="0" w:type="auto"/>
            <w:tcBorders>
              <w:top w:val="nil"/>
              <w:left w:val="nil"/>
              <w:bottom w:val="single" w:sz="4" w:space="0" w:color="9C9D9F"/>
              <w:right w:val="nil"/>
            </w:tcBorders>
            <w:shd w:val="clear" w:color="auto" w:fill="auto"/>
            <w:noWrap/>
            <w:vAlign w:val="center"/>
            <w:hideMark/>
          </w:tcPr>
          <w:p w14:paraId="4CB3072E"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431,0</w:t>
            </w:r>
          </w:p>
        </w:tc>
        <w:tc>
          <w:tcPr>
            <w:tcW w:w="0" w:type="auto"/>
            <w:tcBorders>
              <w:top w:val="nil"/>
              <w:left w:val="nil"/>
              <w:bottom w:val="single" w:sz="4" w:space="0" w:color="9C9D9F"/>
              <w:right w:val="nil"/>
            </w:tcBorders>
            <w:shd w:val="clear" w:color="auto" w:fill="auto"/>
            <w:noWrap/>
            <w:vAlign w:val="center"/>
            <w:hideMark/>
          </w:tcPr>
          <w:p w14:paraId="0B2760C8"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29,5%</w:t>
            </w:r>
          </w:p>
        </w:tc>
        <w:tc>
          <w:tcPr>
            <w:tcW w:w="0" w:type="auto"/>
            <w:tcBorders>
              <w:top w:val="nil"/>
              <w:left w:val="nil"/>
              <w:bottom w:val="single" w:sz="4" w:space="0" w:color="9C9D9F"/>
              <w:right w:val="nil"/>
            </w:tcBorders>
            <w:shd w:val="clear" w:color="auto" w:fill="auto"/>
            <w:noWrap/>
            <w:vAlign w:val="center"/>
            <w:hideMark/>
          </w:tcPr>
          <w:p w14:paraId="00B88FCF"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218,9</w:t>
            </w:r>
          </w:p>
        </w:tc>
        <w:tc>
          <w:tcPr>
            <w:tcW w:w="0" w:type="auto"/>
            <w:tcBorders>
              <w:top w:val="nil"/>
              <w:left w:val="nil"/>
              <w:bottom w:val="single" w:sz="4" w:space="0" w:color="9C9D9F"/>
              <w:right w:val="nil"/>
            </w:tcBorders>
            <w:shd w:val="clear" w:color="auto" w:fill="auto"/>
            <w:noWrap/>
            <w:vAlign w:val="center"/>
            <w:hideMark/>
          </w:tcPr>
          <w:p w14:paraId="43719FB0"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56,2%</w:t>
            </w:r>
          </w:p>
        </w:tc>
      </w:tr>
      <w:tr w:rsidR="001C48FB" w:rsidRPr="001C48FB" w14:paraId="6DC3B5B2" w14:textId="77777777" w:rsidTr="001C48FB">
        <w:trPr>
          <w:trHeight w:val="278"/>
        </w:trPr>
        <w:tc>
          <w:tcPr>
            <w:tcW w:w="0" w:type="auto"/>
            <w:tcBorders>
              <w:top w:val="nil"/>
              <w:left w:val="nil"/>
              <w:bottom w:val="single" w:sz="4" w:space="0" w:color="9C9D9F"/>
              <w:right w:val="nil"/>
            </w:tcBorders>
            <w:shd w:val="clear" w:color="auto" w:fill="auto"/>
            <w:vAlign w:val="center"/>
            <w:hideMark/>
          </w:tcPr>
          <w:p w14:paraId="40E3EDAA"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Kurzové změny a ostatní finanční výnosy / (náklady) (netto)</w:t>
            </w:r>
          </w:p>
        </w:tc>
        <w:tc>
          <w:tcPr>
            <w:tcW w:w="0" w:type="auto"/>
            <w:tcBorders>
              <w:top w:val="nil"/>
              <w:left w:val="nil"/>
              <w:bottom w:val="single" w:sz="4" w:space="0" w:color="9C9D9F"/>
              <w:right w:val="nil"/>
            </w:tcBorders>
            <w:shd w:val="clear" w:color="auto" w:fill="auto"/>
            <w:noWrap/>
            <w:vAlign w:val="center"/>
            <w:hideMark/>
          </w:tcPr>
          <w:p w14:paraId="032169E7" w14:textId="41FE6E76" w:rsidR="001C48FB" w:rsidRPr="001C48FB" w:rsidRDefault="001C48FB" w:rsidP="00714AD4">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w:t>
            </w:r>
            <w:r w:rsidR="00714AD4">
              <w:rPr>
                <w:rFonts w:ascii="Calibri" w:hAnsi="Calibri" w:cs="Arial"/>
                <w:sz w:val="20"/>
                <w:szCs w:val="20"/>
              </w:rPr>
              <w:t>21</w:t>
            </w:r>
            <w:r w:rsidRPr="001C48FB">
              <w:rPr>
                <w:rFonts w:ascii="Calibri" w:hAnsi="Calibri" w:cs="Arial"/>
                <w:sz w:val="20"/>
                <w:szCs w:val="20"/>
              </w:rPr>
              <w:t>,</w:t>
            </w:r>
            <w:r w:rsidR="00714AD4">
              <w:rPr>
                <w:rFonts w:ascii="Calibri" w:hAnsi="Calibri" w:cs="Arial"/>
                <w:sz w:val="20"/>
                <w:szCs w:val="20"/>
              </w:rPr>
              <w:t>3</w:t>
            </w:r>
          </w:p>
        </w:tc>
        <w:tc>
          <w:tcPr>
            <w:tcW w:w="0" w:type="auto"/>
            <w:tcBorders>
              <w:top w:val="nil"/>
              <w:left w:val="nil"/>
              <w:bottom w:val="single" w:sz="4" w:space="0" w:color="9C9D9F"/>
              <w:right w:val="nil"/>
            </w:tcBorders>
            <w:shd w:val="clear" w:color="auto" w:fill="auto"/>
            <w:noWrap/>
            <w:vAlign w:val="center"/>
            <w:hideMark/>
          </w:tcPr>
          <w:p w14:paraId="33E87FE9" w14:textId="348F9847" w:rsidR="001C48FB" w:rsidRPr="001C48FB" w:rsidRDefault="001C48FB" w:rsidP="00714AD4">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-7</w:t>
            </w:r>
            <w:r w:rsidR="00714AD4">
              <w:rPr>
                <w:rFonts w:ascii="Calibri" w:hAnsi="Calibri" w:cs="Arial"/>
                <w:sz w:val="20"/>
                <w:szCs w:val="20"/>
              </w:rPr>
              <w:t>4</w:t>
            </w:r>
            <w:r w:rsidRPr="001C48FB">
              <w:rPr>
                <w:rFonts w:ascii="Calibri" w:hAnsi="Calibri" w:cs="Arial"/>
                <w:sz w:val="20"/>
                <w:szCs w:val="20"/>
              </w:rPr>
              <w:t>,</w:t>
            </w:r>
            <w:r w:rsidR="00714AD4">
              <w:rPr>
                <w:rFonts w:ascii="Calibri" w:hAnsi="Calibri" w:cs="Arial"/>
                <w:sz w:val="20"/>
                <w:szCs w:val="20"/>
              </w:rPr>
              <w:t>7</w:t>
            </w:r>
            <w:r w:rsidRPr="001C48FB">
              <w:rPr>
                <w:rFonts w:ascii="Calibri" w:hAnsi="Calibri" w:cs="Arial"/>
                <w:sz w:val="20"/>
                <w:szCs w:val="20"/>
              </w:rPr>
              <w:t>%</w:t>
            </w:r>
          </w:p>
        </w:tc>
        <w:tc>
          <w:tcPr>
            <w:tcW w:w="0" w:type="auto"/>
            <w:tcBorders>
              <w:top w:val="nil"/>
              <w:left w:val="nil"/>
              <w:bottom w:val="single" w:sz="4" w:space="0" w:color="9C9D9F"/>
              <w:right w:val="nil"/>
            </w:tcBorders>
            <w:shd w:val="clear" w:color="auto" w:fill="auto"/>
            <w:noWrap/>
            <w:vAlign w:val="center"/>
            <w:hideMark/>
          </w:tcPr>
          <w:p w14:paraId="797FE1F0" w14:textId="1B0489A3" w:rsidR="001C48FB" w:rsidRPr="001C48FB" w:rsidRDefault="001C48FB" w:rsidP="00714AD4">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w:t>
            </w:r>
            <w:r w:rsidR="00714AD4">
              <w:rPr>
                <w:rFonts w:ascii="Calibri" w:hAnsi="Calibri" w:cs="Arial"/>
                <w:sz w:val="20"/>
                <w:szCs w:val="20"/>
              </w:rPr>
              <w:t>1</w:t>
            </w:r>
            <w:r w:rsidRPr="001C48FB">
              <w:rPr>
                <w:rFonts w:ascii="Calibri" w:hAnsi="Calibri" w:cs="Arial"/>
                <w:sz w:val="20"/>
                <w:szCs w:val="20"/>
              </w:rPr>
              <w:t>,</w:t>
            </w:r>
            <w:r w:rsidR="00714AD4">
              <w:rPr>
                <w:rFonts w:ascii="Calibri" w:hAnsi="Calibri" w:cs="Arial"/>
                <w:sz w:val="20"/>
                <w:szCs w:val="20"/>
              </w:rPr>
              <w:t>1</w:t>
            </w:r>
          </w:p>
        </w:tc>
        <w:tc>
          <w:tcPr>
            <w:tcW w:w="0" w:type="auto"/>
            <w:tcBorders>
              <w:top w:val="nil"/>
              <w:left w:val="nil"/>
              <w:bottom w:val="single" w:sz="4" w:space="0" w:color="9C9D9F"/>
              <w:right w:val="nil"/>
            </w:tcBorders>
            <w:shd w:val="clear" w:color="auto" w:fill="auto"/>
            <w:noWrap/>
            <w:vAlign w:val="center"/>
            <w:hideMark/>
          </w:tcPr>
          <w:p w14:paraId="3A0BB24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n/a</w:t>
            </w:r>
          </w:p>
        </w:tc>
      </w:tr>
      <w:tr w:rsidR="001C48FB" w:rsidRPr="001C48FB" w14:paraId="42305AA8"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081E4E53"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Úrokové náklady (netto)</w:t>
            </w:r>
          </w:p>
        </w:tc>
        <w:tc>
          <w:tcPr>
            <w:tcW w:w="0" w:type="auto"/>
            <w:tcBorders>
              <w:top w:val="nil"/>
              <w:left w:val="nil"/>
              <w:bottom w:val="single" w:sz="4" w:space="0" w:color="9C9D9F"/>
              <w:right w:val="nil"/>
            </w:tcBorders>
            <w:shd w:val="clear" w:color="auto" w:fill="auto"/>
            <w:noWrap/>
            <w:vAlign w:val="center"/>
            <w:hideMark/>
          </w:tcPr>
          <w:p w14:paraId="0DAF85E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-90,5</w:t>
            </w:r>
          </w:p>
        </w:tc>
        <w:tc>
          <w:tcPr>
            <w:tcW w:w="0" w:type="auto"/>
            <w:tcBorders>
              <w:top w:val="nil"/>
              <w:left w:val="nil"/>
              <w:bottom w:val="single" w:sz="4" w:space="0" w:color="9C9D9F"/>
              <w:right w:val="nil"/>
            </w:tcBorders>
            <w:shd w:val="clear" w:color="auto" w:fill="auto"/>
            <w:noWrap/>
            <w:vAlign w:val="center"/>
            <w:hideMark/>
          </w:tcPr>
          <w:p w14:paraId="21B151F4"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-8,9%</w:t>
            </w:r>
          </w:p>
        </w:tc>
        <w:tc>
          <w:tcPr>
            <w:tcW w:w="0" w:type="auto"/>
            <w:tcBorders>
              <w:top w:val="nil"/>
              <w:left w:val="nil"/>
              <w:bottom w:val="single" w:sz="4" w:space="0" w:color="9C9D9F"/>
              <w:right w:val="nil"/>
            </w:tcBorders>
            <w:shd w:val="clear" w:color="auto" w:fill="auto"/>
            <w:noWrap/>
            <w:vAlign w:val="center"/>
            <w:hideMark/>
          </w:tcPr>
          <w:p w14:paraId="2AA1BF5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-44,9</w:t>
            </w:r>
          </w:p>
        </w:tc>
        <w:tc>
          <w:tcPr>
            <w:tcW w:w="0" w:type="auto"/>
            <w:tcBorders>
              <w:top w:val="nil"/>
              <w:left w:val="nil"/>
              <w:bottom w:val="single" w:sz="4" w:space="0" w:color="9C9D9F"/>
              <w:right w:val="nil"/>
            </w:tcBorders>
            <w:shd w:val="clear" w:color="auto" w:fill="auto"/>
            <w:noWrap/>
            <w:vAlign w:val="center"/>
            <w:hideMark/>
          </w:tcPr>
          <w:p w14:paraId="1A36C50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-11,6%</w:t>
            </w:r>
          </w:p>
        </w:tc>
      </w:tr>
      <w:tr w:rsidR="001C48FB" w:rsidRPr="001C48FB" w14:paraId="758D0607"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5412A7B6"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Daň z příjmů – (náklad)/výnos</w:t>
            </w:r>
          </w:p>
        </w:tc>
        <w:tc>
          <w:tcPr>
            <w:tcW w:w="0" w:type="auto"/>
            <w:tcBorders>
              <w:top w:val="nil"/>
              <w:left w:val="nil"/>
              <w:bottom w:val="single" w:sz="4" w:space="0" w:color="9C9D9F"/>
              <w:right w:val="nil"/>
            </w:tcBorders>
            <w:shd w:val="clear" w:color="auto" w:fill="auto"/>
            <w:noWrap/>
            <w:vAlign w:val="center"/>
            <w:hideMark/>
          </w:tcPr>
          <w:p w14:paraId="6AB8D24C"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-39,3</w:t>
            </w:r>
          </w:p>
        </w:tc>
        <w:tc>
          <w:tcPr>
            <w:tcW w:w="0" w:type="auto"/>
            <w:tcBorders>
              <w:top w:val="nil"/>
              <w:left w:val="nil"/>
              <w:bottom w:val="single" w:sz="4" w:space="0" w:color="9C9D9F"/>
              <w:right w:val="nil"/>
            </w:tcBorders>
            <w:shd w:val="clear" w:color="auto" w:fill="auto"/>
            <w:noWrap/>
            <w:vAlign w:val="center"/>
            <w:hideMark/>
          </w:tcPr>
          <w:p w14:paraId="4F689E0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30,6%</w:t>
            </w:r>
          </w:p>
        </w:tc>
        <w:tc>
          <w:tcPr>
            <w:tcW w:w="0" w:type="auto"/>
            <w:tcBorders>
              <w:top w:val="nil"/>
              <w:left w:val="nil"/>
              <w:bottom w:val="single" w:sz="4" w:space="0" w:color="9C9D9F"/>
              <w:right w:val="nil"/>
            </w:tcBorders>
            <w:shd w:val="clear" w:color="auto" w:fill="auto"/>
            <w:noWrap/>
            <w:vAlign w:val="center"/>
            <w:hideMark/>
          </w:tcPr>
          <w:p w14:paraId="7B825185"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-13,5</w:t>
            </w:r>
          </w:p>
        </w:tc>
        <w:tc>
          <w:tcPr>
            <w:tcW w:w="0" w:type="auto"/>
            <w:tcBorders>
              <w:top w:val="nil"/>
              <w:left w:val="nil"/>
              <w:bottom w:val="single" w:sz="4" w:space="0" w:color="9C9D9F"/>
              <w:right w:val="nil"/>
            </w:tcBorders>
            <w:shd w:val="clear" w:color="auto" w:fill="auto"/>
            <w:noWrap/>
            <w:vAlign w:val="center"/>
            <w:hideMark/>
          </w:tcPr>
          <w:p w14:paraId="517E4E41"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-5,2%</w:t>
            </w:r>
          </w:p>
        </w:tc>
      </w:tr>
      <w:tr w:rsidR="001C48FB" w:rsidRPr="001C48FB" w14:paraId="34A059FA"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3E2D2265"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Čistý zisk</w:t>
            </w:r>
          </w:p>
        </w:tc>
        <w:tc>
          <w:tcPr>
            <w:tcW w:w="0" w:type="auto"/>
            <w:tcBorders>
              <w:top w:val="nil"/>
              <w:left w:val="nil"/>
              <w:bottom w:val="single" w:sz="4" w:space="0" w:color="9C9D9F"/>
              <w:right w:val="nil"/>
            </w:tcBorders>
            <w:shd w:val="clear" w:color="auto" w:fill="auto"/>
            <w:noWrap/>
            <w:vAlign w:val="center"/>
            <w:hideMark/>
          </w:tcPr>
          <w:p w14:paraId="648D4D3D" w14:textId="40CDCC56" w:rsidR="001C48FB" w:rsidRPr="001C48FB" w:rsidRDefault="001C48FB" w:rsidP="00714AD4">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2</w:t>
            </w:r>
            <w:r w:rsidR="00714AD4">
              <w:rPr>
                <w:rFonts w:ascii="Calibri" w:hAnsi="Calibri" w:cs="Arial"/>
                <w:b/>
                <w:bCs/>
                <w:sz w:val="20"/>
                <w:szCs w:val="20"/>
              </w:rPr>
              <w:t>79</w:t>
            </w:r>
            <w:r w:rsidRPr="001C48FB">
              <w:rPr>
                <w:rFonts w:ascii="Calibri" w:hAnsi="Calibri" w:cs="Arial"/>
                <w:b/>
                <w:bCs/>
                <w:sz w:val="20"/>
                <w:szCs w:val="20"/>
              </w:rPr>
              <w:t>,</w:t>
            </w:r>
            <w:r w:rsidR="00714AD4">
              <w:rPr>
                <w:rFonts w:ascii="Calibri" w:hAnsi="Calibri" w:cs="Arial"/>
                <w:b/>
                <w:bCs/>
                <w:sz w:val="20"/>
                <w:szCs w:val="20"/>
              </w:rPr>
              <w:t>9</w:t>
            </w:r>
          </w:p>
        </w:tc>
        <w:tc>
          <w:tcPr>
            <w:tcW w:w="0" w:type="auto"/>
            <w:tcBorders>
              <w:top w:val="nil"/>
              <w:left w:val="nil"/>
              <w:bottom w:val="single" w:sz="4" w:space="0" w:color="9C9D9F"/>
              <w:right w:val="nil"/>
            </w:tcBorders>
            <w:shd w:val="clear" w:color="auto" w:fill="auto"/>
            <w:noWrap/>
            <w:vAlign w:val="center"/>
            <w:hideMark/>
          </w:tcPr>
          <w:p w14:paraId="1BD9011E" w14:textId="4966DAC9" w:rsidR="001C48FB" w:rsidRPr="001C48FB" w:rsidRDefault="001C48FB" w:rsidP="00714AD4">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13</w:t>
            </w:r>
            <w:r w:rsidR="00714AD4">
              <w:rPr>
                <w:rFonts w:ascii="Calibri" w:hAnsi="Calibri" w:cs="Arial"/>
                <w:b/>
                <w:bCs/>
                <w:sz w:val="20"/>
                <w:szCs w:val="20"/>
              </w:rPr>
              <w:t>4</w:t>
            </w:r>
            <w:r w:rsidRPr="001C48FB">
              <w:rPr>
                <w:rFonts w:ascii="Calibri" w:hAnsi="Calibri" w:cs="Arial"/>
                <w:b/>
                <w:bCs/>
                <w:sz w:val="20"/>
                <w:szCs w:val="20"/>
              </w:rPr>
              <w:t>,</w:t>
            </w:r>
            <w:r w:rsidR="00714AD4">
              <w:rPr>
                <w:rFonts w:ascii="Calibri" w:hAnsi="Calibri" w:cs="Arial"/>
                <w:b/>
                <w:bCs/>
                <w:sz w:val="20"/>
                <w:szCs w:val="20"/>
              </w:rPr>
              <w:t>4</w:t>
            </w:r>
            <w:r w:rsidRPr="001C48FB">
              <w:rPr>
                <w:rFonts w:ascii="Calibri" w:hAnsi="Calibri" w:cs="Arial"/>
                <w:b/>
                <w:bCs/>
                <w:sz w:val="20"/>
                <w:szCs w:val="20"/>
              </w:rPr>
              <w:t>%</w:t>
            </w:r>
          </w:p>
        </w:tc>
        <w:tc>
          <w:tcPr>
            <w:tcW w:w="0" w:type="auto"/>
            <w:tcBorders>
              <w:top w:val="nil"/>
              <w:left w:val="nil"/>
              <w:bottom w:val="single" w:sz="4" w:space="0" w:color="9C9D9F"/>
              <w:right w:val="nil"/>
            </w:tcBorders>
            <w:shd w:val="clear" w:color="auto" w:fill="auto"/>
            <w:noWrap/>
            <w:vAlign w:val="center"/>
            <w:hideMark/>
          </w:tcPr>
          <w:p w14:paraId="6F0C9B36" w14:textId="1169CA4E" w:rsidR="001C48FB" w:rsidRPr="001C48FB" w:rsidRDefault="001C48FB" w:rsidP="00714AD4">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17</w:t>
            </w:r>
            <w:r w:rsidR="00714AD4">
              <w:rPr>
                <w:rFonts w:ascii="Calibri" w:hAnsi="Calibri" w:cs="Arial"/>
                <w:b/>
                <w:bCs/>
                <w:sz w:val="20"/>
                <w:szCs w:val="20"/>
              </w:rPr>
              <w:t>1</w:t>
            </w:r>
            <w:r w:rsidRPr="001C48FB">
              <w:rPr>
                <w:rFonts w:ascii="Calibri" w:hAnsi="Calibri" w:cs="Arial"/>
                <w:b/>
                <w:bCs/>
                <w:sz w:val="20"/>
                <w:szCs w:val="20"/>
              </w:rPr>
              <w:t>,</w:t>
            </w:r>
            <w:r w:rsidR="00714AD4">
              <w:rPr>
                <w:rFonts w:ascii="Calibri" w:hAnsi="Calibri" w:cs="Arial"/>
                <w:b/>
                <w:bCs/>
                <w:sz w:val="20"/>
                <w:szCs w:val="20"/>
              </w:rPr>
              <w:t>7</w:t>
            </w:r>
          </w:p>
        </w:tc>
        <w:tc>
          <w:tcPr>
            <w:tcW w:w="0" w:type="auto"/>
            <w:tcBorders>
              <w:top w:val="nil"/>
              <w:left w:val="nil"/>
              <w:bottom w:val="single" w:sz="4" w:space="0" w:color="9C9D9F"/>
              <w:right w:val="nil"/>
            </w:tcBorders>
            <w:shd w:val="clear" w:color="auto" w:fill="auto"/>
            <w:noWrap/>
            <w:vAlign w:val="center"/>
            <w:hideMark/>
          </w:tcPr>
          <w:p w14:paraId="51AB531D" w14:textId="2282C284" w:rsidR="001C48FB" w:rsidRPr="001C48FB" w:rsidRDefault="001C48FB" w:rsidP="00714AD4">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7</w:t>
            </w:r>
            <w:r w:rsidR="00714AD4">
              <w:rPr>
                <w:rFonts w:ascii="Calibri" w:hAnsi="Calibri" w:cs="Arial"/>
                <w:b/>
                <w:bCs/>
                <w:sz w:val="20"/>
                <w:szCs w:val="20"/>
              </w:rPr>
              <w:t>37,9</w:t>
            </w:r>
            <w:r w:rsidRPr="001C48FB">
              <w:rPr>
                <w:rFonts w:ascii="Calibri" w:hAnsi="Calibri" w:cs="Arial"/>
                <w:b/>
                <w:bCs/>
                <w:sz w:val="20"/>
                <w:szCs w:val="20"/>
              </w:rPr>
              <w:t>%</w:t>
            </w:r>
          </w:p>
        </w:tc>
      </w:tr>
      <w:tr w:rsidR="001C48FB" w:rsidRPr="001C48FB" w14:paraId="5F9FC3DB" w14:textId="77777777" w:rsidTr="001C48FB">
        <w:trPr>
          <w:trHeight w:val="109"/>
        </w:trPr>
        <w:tc>
          <w:tcPr>
            <w:tcW w:w="0" w:type="auto"/>
            <w:tcBorders>
              <w:top w:val="nil"/>
              <w:left w:val="nil"/>
              <w:bottom w:val="nil"/>
              <w:right w:val="nil"/>
            </w:tcBorders>
            <w:shd w:val="clear" w:color="auto" w:fill="auto"/>
            <w:vAlign w:val="center"/>
            <w:hideMark/>
          </w:tcPr>
          <w:p w14:paraId="06A88884"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p>
        </w:tc>
        <w:tc>
          <w:tcPr>
            <w:tcW w:w="0" w:type="auto"/>
            <w:tcBorders>
              <w:top w:val="nil"/>
              <w:left w:val="nil"/>
              <w:bottom w:val="nil"/>
              <w:right w:val="nil"/>
            </w:tcBorders>
            <w:shd w:val="clear" w:color="auto" w:fill="auto"/>
            <w:noWrap/>
            <w:vAlign w:val="center"/>
            <w:hideMark/>
          </w:tcPr>
          <w:p w14:paraId="0A89E861" w14:textId="77777777" w:rsidR="001C48FB" w:rsidRPr="001C48FB" w:rsidRDefault="001C48FB" w:rsidP="001C48FB">
            <w:pPr>
              <w:spacing w:before="0" w:beforeAutospacing="0" w:after="0" w:afterAutospacing="0"/>
              <w:jc w:val="lef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67A47C18"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2C39A107"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39E34A22"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r>
      <w:tr w:rsidR="001C48FB" w:rsidRPr="001C48FB" w14:paraId="58A2CF3B" w14:textId="77777777" w:rsidTr="001C48FB">
        <w:trPr>
          <w:trHeight w:val="270"/>
        </w:trPr>
        <w:tc>
          <w:tcPr>
            <w:tcW w:w="0" w:type="auto"/>
            <w:tcBorders>
              <w:top w:val="single" w:sz="4" w:space="0" w:color="9C9D9F"/>
              <w:left w:val="nil"/>
              <w:bottom w:val="single" w:sz="4" w:space="0" w:color="9C9D9F"/>
              <w:right w:val="nil"/>
            </w:tcBorders>
            <w:shd w:val="clear" w:color="auto" w:fill="auto"/>
            <w:vAlign w:val="center"/>
            <w:hideMark/>
          </w:tcPr>
          <w:p w14:paraId="0F2989AB"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Čistý dluh</w:t>
            </w:r>
          </w:p>
        </w:tc>
        <w:tc>
          <w:tcPr>
            <w:tcW w:w="0" w:type="auto"/>
            <w:tcBorders>
              <w:top w:val="single" w:sz="4" w:space="0" w:color="9C9D9F"/>
              <w:left w:val="nil"/>
              <w:bottom w:val="single" w:sz="4" w:space="0" w:color="9C9D9F"/>
              <w:right w:val="nil"/>
            </w:tcBorders>
            <w:shd w:val="clear" w:color="auto" w:fill="auto"/>
            <w:noWrap/>
            <w:vAlign w:val="center"/>
            <w:hideMark/>
          </w:tcPr>
          <w:p w14:paraId="4793282F"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4 769,7</w:t>
            </w:r>
          </w:p>
        </w:tc>
        <w:tc>
          <w:tcPr>
            <w:tcW w:w="0" w:type="auto"/>
            <w:tcBorders>
              <w:top w:val="single" w:sz="4" w:space="0" w:color="9C9D9F"/>
              <w:left w:val="nil"/>
              <w:bottom w:val="single" w:sz="4" w:space="0" w:color="9C9D9F"/>
              <w:right w:val="nil"/>
            </w:tcBorders>
            <w:shd w:val="clear" w:color="auto" w:fill="auto"/>
            <w:noWrap/>
            <w:vAlign w:val="center"/>
            <w:hideMark/>
          </w:tcPr>
          <w:p w14:paraId="73795C5A"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7,5%</w:t>
            </w:r>
          </w:p>
        </w:tc>
        <w:tc>
          <w:tcPr>
            <w:tcW w:w="0" w:type="auto"/>
            <w:tcBorders>
              <w:top w:val="single" w:sz="4" w:space="0" w:color="9C9D9F"/>
              <w:left w:val="nil"/>
              <w:bottom w:val="single" w:sz="4" w:space="0" w:color="9C9D9F"/>
              <w:right w:val="nil"/>
            </w:tcBorders>
            <w:shd w:val="clear" w:color="auto" w:fill="auto"/>
            <w:noWrap/>
            <w:vAlign w:val="center"/>
            <w:hideMark/>
          </w:tcPr>
          <w:p w14:paraId="11D8DB44"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4 769,7</w:t>
            </w:r>
          </w:p>
        </w:tc>
        <w:tc>
          <w:tcPr>
            <w:tcW w:w="0" w:type="auto"/>
            <w:tcBorders>
              <w:top w:val="single" w:sz="4" w:space="0" w:color="9C9D9F"/>
              <w:left w:val="nil"/>
              <w:bottom w:val="single" w:sz="4" w:space="0" w:color="9C9D9F"/>
              <w:right w:val="nil"/>
            </w:tcBorders>
            <w:shd w:val="clear" w:color="auto" w:fill="auto"/>
            <w:noWrap/>
            <w:vAlign w:val="center"/>
            <w:hideMark/>
          </w:tcPr>
          <w:p w14:paraId="476068D7"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7,5%</w:t>
            </w:r>
          </w:p>
        </w:tc>
      </w:tr>
      <w:tr w:rsidR="001C48FB" w:rsidRPr="001C48FB" w14:paraId="7D8FFAEF"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78F4DD14"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Investice do hmotného a nehmotného majetku (CAPEX)</w:t>
            </w:r>
          </w:p>
        </w:tc>
        <w:tc>
          <w:tcPr>
            <w:tcW w:w="0" w:type="auto"/>
            <w:tcBorders>
              <w:top w:val="nil"/>
              <w:left w:val="nil"/>
              <w:bottom w:val="single" w:sz="4" w:space="0" w:color="9C9D9F"/>
              <w:right w:val="nil"/>
            </w:tcBorders>
            <w:shd w:val="clear" w:color="auto" w:fill="auto"/>
            <w:noWrap/>
            <w:vAlign w:val="center"/>
            <w:hideMark/>
          </w:tcPr>
          <w:p w14:paraId="64D22F84" w14:textId="0D6D13EE" w:rsidR="001C48FB" w:rsidRPr="001C48FB" w:rsidRDefault="00A7486A" w:rsidP="00714AD4">
            <w:pPr>
              <w:spacing w:before="0" w:beforeAutospacing="0" w:after="0" w:afterAutospacing="0"/>
              <w:ind w:firstLineChars="100" w:firstLine="200"/>
              <w:jc w:val="right"/>
              <w:rPr>
                <w:rFonts w:ascii="Calibri" w:hAnsi="Calibri" w:cs="Arial"/>
                <w:sz w:val="20"/>
                <w:szCs w:val="20"/>
              </w:rPr>
            </w:pPr>
            <w:r>
              <w:rPr>
                <w:rFonts w:ascii="Calibri" w:hAnsi="Calibri" w:cs="Arial"/>
                <w:sz w:val="20"/>
                <w:szCs w:val="20"/>
              </w:rPr>
              <w:t>25</w:t>
            </w:r>
            <w:r w:rsidR="00714AD4">
              <w:rPr>
                <w:rFonts w:ascii="Calibri" w:hAnsi="Calibri" w:cs="Arial"/>
                <w:sz w:val="20"/>
                <w:szCs w:val="20"/>
              </w:rPr>
              <w:t>2,6</w:t>
            </w:r>
          </w:p>
        </w:tc>
        <w:tc>
          <w:tcPr>
            <w:tcW w:w="0" w:type="auto"/>
            <w:tcBorders>
              <w:top w:val="nil"/>
              <w:left w:val="nil"/>
              <w:bottom w:val="single" w:sz="4" w:space="0" w:color="9C9D9F"/>
              <w:right w:val="nil"/>
            </w:tcBorders>
            <w:shd w:val="clear" w:color="auto" w:fill="auto"/>
            <w:noWrap/>
            <w:vAlign w:val="center"/>
            <w:hideMark/>
          </w:tcPr>
          <w:p w14:paraId="6E75C07A" w14:textId="2CA23A00" w:rsidR="001C48FB" w:rsidRPr="001C48FB" w:rsidRDefault="001C48FB" w:rsidP="00714AD4">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w:t>
            </w:r>
            <w:r w:rsidR="00A7486A">
              <w:rPr>
                <w:rFonts w:ascii="Calibri" w:hAnsi="Calibri" w:cs="Arial"/>
                <w:sz w:val="20"/>
                <w:szCs w:val="20"/>
              </w:rPr>
              <w:t>3</w:t>
            </w:r>
            <w:r w:rsidR="00714AD4">
              <w:rPr>
                <w:rFonts w:ascii="Calibri" w:hAnsi="Calibri" w:cs="Arial"/>
                <w:sz w:val="20"/>
                <w:szCs w:val="20"/>
              </w:rPr>
              <w:t>5,0</w:t>
            </w:r>
            <w:r w:rsidRPr="001C48FB">
              <w:rPr>
                <w:rFonts w:ascii="Calibri" w:hAnsi="Calibri" w:cs="Arial"/>
                <w:sz w:val="20"/>
                <w:szCs w:val="20"/>
              </w:rPr>
              <w:t>%</w:t>
            </w:r>
          </w:p>
        </w:tc>
        <w:tc>
          <w:tcPr>
            <w:tcW w:w="0" w:type="auto"/>
            <w:tcBorders>
              <w:top w:val="nil"/>
              <w:left w:val="nil"/>
              <w:bottom w:val="single" w:sz="4" w:space="0" w:color="9C9D9F"/>
              <w:right w:val="nil"/>
            </w:tcBorders>
            <w:shd w:val="clear" w:color="auto" w:fill="auto"/>
            <w:noWrap/>
            <w:vAlign w:val="center"/>
            <w:hideMark/>
          </w:tcPr>
          <w:p w14:paraId="36660D3E" w14:textId="6697CFBD" w:rsidR="001C48FB" w:rsidRPr="001C48FB" w:rsidRDefault="00A7486A" w:rsidP="00714AD4">
            <w:pPr>
              <w:spacing w:before="0" w:beforeAutospacing="0" w:after="0" w:afterAutospacing="0"/>
              <w:ind w:firstLineChars="100" w:firstLine="200"/>
              <w:jc w:val="right"/>
              <w:rPr>
                <w:rFonts w:ascii="Calibri" w:hAnsi="Calibri" w:cs="Arial"/>
                <w:sz w:val="20"/>
                <w:szCs w:val="20"/>
              </w:rPr>
            </w:pPr>
            <w:r>
              <w:rPr>
                <w:rFonts w:ascii="Calibri" w:hAnsi="Calibri" w:cs="Arial"/>
                <w:sz w:val="20"/>
                <w:szCs w:val="20"/>
              </w:rPr>
              <w:t>16</w:t>
            </w:r>
            <w:r w:rsidR="00714AD4">
              <w:rPr>
                <w:rFonts w:ascii="Calibri" w:hAnsi="Calibri" w:cs="Arial"/>
                <w:sz w:val="20"/>
                <w:szCs w:val="20"/>
              </w:rPr>
              <w:t>6,5</w:t>
            </w:r>
          </w:p>
        </w:tc>
        <w:tc>
          <w:tcPr>
            <w:tcW w:w="0" w:type="auto"/>
            <w:tcBorders>
              <w:top w:val="nil"/>
              <w:left w:val="nil"/>
              <w:bottom w:val="single" w:sz="4" w:space="0" w:color="9C9D9F"/>
              <w:right w:val="nil"/>
            </w:tcBorders>
            <w:shd w:val="clear" w:color="auto" w:fill="auto"/>
            <w:noWrap/>
            <w:vAlign w:val="center"/>
            <w:hideMark/>
          </w:tcPr>
          <w:p w14:paraId="0416E65C" w14:textId="69097946" w:rsidR="001C48FB" w:rsidRPr="001C48FB" w:rsidRDefault="00A7486A" w:rsidP="00714AD4">
            <w:pPr>
              <w:spacing w:before="0" w:beforeAutospacing="0" w:after="0" w:afterAutospacing="0"/>
              <w:ind w:firstLineChars="100" w:firstLine="200"/>
              <w:jc w:val="right"/>
              <w:rPr>
                <w:rFonts w:ascii="Calibri" w:hAnsi="Calibri" w:cs="Arial"/>
                <w:sz w:val="20"/>
                <w:szCs w:val="20"/>
              </w:rPr>
            </w:pPr>
            <w:r>
              <w:rPr>
                <w:rFonts w:ascii="Calibri" w:hAnsi="Calibri" w:cs="Arial"/>
                <w:sz w:val="20"/>
                <w:szCs w:val="20"/>
              </w:rPr>
              <w:t>-33,</w:t>
            </w:r>
            <w:r w:rsidR="00714AD4">
              <w:rPr>
                <w:rFonts w:ascii="Calibri" w:hAnsi="Calibri" w:cs="Arial"/>
                <w:sz w:val="20"/>
                <w:szCs w:val="20"/>
              </w:rPr>
              <w:t>4</w:t>
            </w:r>
            <w:r>
              <w:rPr>
                <w:rFonts w:ascii="Calibri" w:hAnsi="Calibri" w:cs="Arial"/>
                <w:sz w:val="20"/>
                <w:szCs w:val="20"/>
              </w:rPr>
              <w:t>%</w:t>
            </w:r>
          </w:p>
        </w:tc>
      </w:tr>
      <w:tr w:rsidR="001C48FB" w:rsidRPr="001C48FB" w14:paraId="0799EF2E" w14:textId="77777777" w:rsidTr="001C48FB">
        <w:trPr>
          <w:trHeight w:val="270"/>
        </w:trPr>
        <w:tc>
          <w:tcPr>
            <w:tcW w:w="0" w:type="auto"/>
            <w:tcBorders>
              <w:top w:val="nil"/>
              <w:left w:val="nil"/>
              <w:bottom w:val="nil"/>
              <w:right w:val="nil"/>
            </w:tcBorders>
            <w:shd w:val="clear" w:color="auto" w:fill="auto"/>
            <w:vAlign w:val="center"/>
            <w:hideMark/>
          </w:tcPr>
          <w:p w14:paraId="179AA6C7"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p>
        </w:tc>
        <w:tc>
          <w:tcPr>
            <w:tcW w:w="0" w:type="auto"/>
            <w:tcBorders>
              <w:top w:val="nil"/>
              <w:left w:val="nil"/>
              <w:bottom w:val="nil"/>
              <w:right w:val="nil"/>
            </w:tcBorders>
            <w:shd w:val="clear" w:color="auto" w:fill="auto"/>
            <w:noWrap/>
            <w:vAlign w:val="center"/>
            <w:hideMark/>
          </w:tcPr>
          <w:p w14:paraId="22FCCED3" w14:textId="77777777" w:rsidR="001C48FB" w:rsidRPr="001C48FB" w:rsidRDefault="001C48FB" w:rsidP="001C48FB">
            <w:pPr>
              <w:spacing w:before="0" w:beforeAutospacing="0" w:after="0" w:afterAutospacing="0"/>
              <w:jc w:val="lef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579746C6"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6182F6C4"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78419910"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r>
      <w:tr w:rsidR="001C48FB" w:rsidRPr="001C48FB" w14:paraId="707B7636" w14:textId="77777777" w:rsidTr="001C48FB">
        <w:trPr>
          <w:trHeight w:val="270"/>
        </w:trPr>
        <w:tc>
          <w:tcPr>
            <w:tcW w:w="0" w:type="auto"/>
            <w:tcBorders>
              <w:top w:val="nil"/>
              <w:left w:val="nil"/>
              <w:bottom w:val="nil"/>
              <w:right w:val="nil"/>
            </w:tcBorders>
            <w:shd w:val="clear" w:color="000000" w:fill="9C9D9F"/>
            <w:vAlign w:val="center"/>
            <w:hideMark/>
          </w:tcPr>
          <w:p w14:paraId="37796EA2"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Poměrové ukazatele ziskovosti</w:t>
            </w:r>
          </w:p>
        </w:tc>
        <w:tc>
          <w:tcPr>
            <w:tcW w:w="0" w:type="auto"/>
            <w:tcBorders>
              <w:top w:val="nil"/>
              <w:left w:val="nil"/>
              <w:bottom w:val="nil"/>
              <w:right w:val="nil"/>
            </w:tcBorders>
            <w:shd w:val="clear" w:color="000000" w:fill="9C9D9F"/>
            <w:noWrap/>
            <w:vAlign w:val="center"/>
            <w:hideMark/>
          </w:tcPr>
          <w:p w14:paraId="48961C29"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41C32C88"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77903CDD"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737BD3DB"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r>
      <w:tr w:rsidR="001C48FB" w:rsidRPr="001C48FB" w14:paraId="1194D877"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4B72E6FC"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Marže EBITDA</w:t>
            </w:r>
          </w:p>
        </w:tc>
        <w:tc>
          <w:tcPr>
            <w:tcW w:w="0" w:type="auto"/>
            <w:tcBorders>
              <w:top w:val="nil"/>
              <w:left w:val="nil"/>
              <w:bottom w:val="single" w:sz="4" w:space="0" w:color="9C9D9F"/>
              <w:right w:val="nil"/>
            </w:tcBorders>
            <w:shd w:val="clear" w:color="auto" w:fill="auto"/>
            <w:noWrap/>
            <w:vAlign w:val="center"/>
            <w:hideMark/>
          </w:tcPr>
          <w:p w14:paraId="121424A5"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22,2%</w:t>
            </w:r>
          </w:p>
        </w:tc>
        <w:tc>
          <w:tcPr>
            <w:tcW w:w="0" w:type="auto"/>
            <w:tcBorders>
              <w:top w:val="nil"/>
              <w:left w:val="nil"/>
              <w:bottom w:val="single" w:sz="4" w:space="0" w:color="9C9D9F"/>
              <w:right w:val="nil"/>
            </w:tcBorders>
            <w:shd w:val="clear" w:color="auto" w:fill="auto"/>
            <w:noWrap/>
            <w:vAlign w:val="center"/>
            <w:hideMark/>
          </w:tcPr>
          <w:p w14:paraId="29CE9247"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3.6 p.b.</w:t>
            </w:r>
          </w:p>
        </w:tc>
        <w:tc>
          <w:tcPr>
            <w:tcW w:w="0" w:type="auto"/>
            <w:tcBorders>
              <w:top w:val="nil"/>
              <w:left w:val="nil"/>
              <w:bottom w:val="single" w:sz="4" w:space="0" w:color="9C9D9F"/>
              <w:right w:val="nil"/>
            </w:tcBorders>
            <w:shd w:val="clear" w:color="auto" w:fill="auto"/>
            <w:noWrap/>
            <w:vAlign w:val="center"/>
            <w:hideMark/>
          </w:tcPr>
          <w:p w14:paraId="74CE7A71"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22,0%</w:t>
            </w:r>
          </w:p>
        </w:tc>
        <w:tc>
          <w:tcPr>
            <w:tcW w:w="0" w:type="auto"/>
            <w:tcBorders>
              <w:top w:val="nil"/>
              <w:left w:val="nil"/>
              <w:bottom w:val="single" w:sz="4" w:space="0" w:color="9C9D9F"/>
              <w:right w:val="nil"/>
            </w:tcBorders>
            <w:shd w:val="clear" w:color="auto" w:fill="auto"/>
            <w:noWrap/>
            <w:vAlign w:val="center"/>
            <w:hideMark/>
          </w:tcPr>
          <w:p w14:paraId="303C3A49" w14:textId="53A522DF"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w:t>
            </w:r>
            <w:r>
              <w:rPr>
                <w:rFonts w:ascii="Calibri" w:hAnsi="Calibri" w:cs="Arial"/>
                <w:sz w:val="20"/>
                <w:szCs w:val="20"/>
              </w:rPr>
              <w:t>,</w:t>
            </w:r>
            <w:r w:rsidRPr="001C48FB">
              <w:rPr>
                <w:rFonts w:ascii="Calibri" w:hAnsi="Calibri" w:cs="Arial"/>
                <w:sz w:val="20"/>
                <w:szCs w:val="20"/>
              </w:rPr>
              <w:t>1 p.b.</w:t>
            </w:r>
          </w:p>
        </w:tc>
      </w:tr>
      <w:tr w:rsidR="001C48FB" w:rsidRPr="001C48FB" w14:paraId="21FC4533"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16410DD2"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Marže provozního zisku</w:t>
            </w:r>
          </w:p>
        </w:tc>
        <w:tc>
          <w:tcPr>
            <w:tcW w:w="0" w:type="auto"/>
            <w:tcBorders>
              <w:top w:val="nil"/>
              <w:left w:val="nil"/>
              <w:bottom w:val="single" w:sz="4" w:space="0" w:color="9C9D9F"/>
              <w:right w:val="nil"/>
            </w:tcBorders>
            <w:shd w:val="clear" w:color="auto" w:fill="auto"/>
            <w:noWrap/>
            <w:vAlign w:val="center"/>
            <w:hideMark/>
          </w:tcPr>
          <w:p w14:paraId="58BBFAC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14,4%</w:t>
            </w:r>
          </w:p>
        </w:tc>
        <w:tc>
          <w:tcPr>
            <w:tcW w:w="0" w:type="auto"/>
            <w:tcBorders>
              <w:top w:val="nil"/>
              <w:left w:val="nil"/>
              <w:bottom w:val="single" w:sz="4" w:space="0" w:color="9C9D9F"/>
              <w:right w:val="nil"/>
            </w:tcBorders>
            <w:shd w:val="clear" w:color="auto" w:fill="auto"/>
            <w:noWrap/>
            <w:vAlign w:val="center"/>
            <w:hideMark/>
          </w:tcPr>
          <w:p w14:paraId="3E911ED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3.3 p.b.</w:t>
            </w:r>
          </w:p>
        </w:tc>
        <w:tc>
          <w:tcPr>
            <w:tcW w:w="0" w:type="auto"/>
            <w:tcBorders>
              <w:top w:val="nil"/>
              <w:left w:val="nil"/>
              <w:bottom w:val="single" w:sz="4" w:space="0" w:color="9C9D9F"/>
              <w:right w:val="nil"/>
            </w:tcBorders>
            <w:shd w:val="clear" w:color="auto" w:fill="auto"/>
            <w:noWrap/>
            <w:vAlign w:val="center"/>
            <w:hideMark/>
          </w:tcPr>
          <w:p w14:paraId="60597A9E"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14,4%</w:t>
            </w:r>
          </w:p>
        </w:tc>
        <w:tc>
          <w:tcPr>
            <w:tcW w:w="0" w:type="auto"/>
            <w:tcBorders>
              <w:top w:val="nil"/>
              <w:left w:val="nil"/>
              <w:bottom w:val="single" w:sz="4" w:space="0" w:color="9C9D9F"/>
              <w:right w:val="nil"/>
            </w:tcBorders>
            <w:shd w:val="clear" w:color="auto" w:fill="auto"/>
            <w:noWrap/>
            <w:vAlign w:val="center"/>
            <w:hideMark/>
          </w:tcPr>
          <w:p w14:paraId="63C1EF0A" w14:textId="5FE92631"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w:t>
            </w:r>
            <w:r>
              <w:rPr>
                <w:rFonts w:ascii="Calibri" w:hAnsi="Calibri" w:cs="Arial"/>
                <w:sz w:val="20"/>
                <w:szCs w:val="20"/>
              </w:rPr>
              <w:t>,0</w:t>
            </w:r>
            <w:r w:rsidRPr="001C48FB">
              <w:rPr>
                <w:rFonts w:ascii="Calibri" w:hAnsi="Calibri" w:cs="Arial"/>
                <w:sz w:val="20"/>
                <w:szCs w:val="20"/>
              </w:rPr>
              <w:t xml:space="preserve"> p.b.</w:t>
            </w:r>
          </w:p>
        </w:tc>
      </w:tr>
      <w:tr w:rsidR="001C48FB" w:rsidRPr="001C48FB" w14:paraId="11326309"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65F784F3"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Marže čistého zisku</w:t>
            </w:r>
          </w:p>
        </w:tc>
        <w:tc>
          <w:tcPr>
            <w:tcW w:w="0" w:type="auto"/>
            <w:tcBorders>
              <w:top w:val="nil"/>
              <w:left w:val="nil"/>
              <w:bottom w:val="single" w:sz="4" w:space="0" w:color="9C9D9F"/>
              <w:right w:val="nil"/>
            </w:tcBorders>
            <w:shd w:val="clear" w:color="auto" w:fill="auto"/>
            <w:noWrap/>
            <w:vAlign w:val="center"/>
            <w:hideMark/>
          </w:tcPr>
          <w:p w14:paraId="63B44CC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9,4%</w:t>
            </w:r>
          </w:p>
        </w:tc>
        <w:tc>
          <w:tcPr>
            <w:tcW w:w="0" w:type="auto"/>
            <w:tcBorders>
              <w:top w:val="nil"/>
              <w:left w:val="nil"/>
              <w:bottom w:val="single" w:sz="4" w:space="0" w:color="9C9D9F"/>
              <w:right w:val="nil"/>
            </w:tcBorders>
            <w:shd w:val="clear" w:color="auto" w:fill="auto"/>
            <w:noWrap/>
            <w:vAlign w:val="center"/>
            <w:hideMark/>
          </w:tcPr>
          <w:p w14:paraId="16F304E1"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5.4 p.b.</w:t>
            </w:r>
          </w:p>
        </w:tc>
        <w:tc>
          <w:tcPr>
            <w:tcW w:w="0" w:type="auto"/>
            <w:tcBorders>
              <w:top w:val="nil"/>
              <w:left w:val="nil"/>
              <w:bottom w:val="single" w:sz="4" w:space="0" w:color="9C9D9F"/>
              <w:right w:val="nil"/>
            </w:tcBorders>
            <w:shd w:val="clear" w:color="auto" w:fill="auto"/>
            <w:noWrap/>
            <w:vAlign w:val="center"/>
            <w:hideMark/>
          </w:tcPr>
          <w:p w14:paraId="040EEC41" w14:textId="2B7E56AF" w:rsidR="001C48FB" w:rsidRPr="001C48FB" w:rsidRDefault="001C48FB" w:rsidP="00714AD4">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11,</w:t>
            </w:r>
            <w:r w:rsidR="00714AD4">
              <w:rPr>
                <w:rFonts w:ascii="Calibri" w:hAnsi="Calibri" w:cs="Arial"/>
                <w:sz w:val="20"/>
                <w:szCs w:val="20"/>
              </w:rPr>
              <w:t>3</w:t>
            </w:r>
            <w:r w:rsidRPr="001C48FB">
              <w:rPr>
                <w:rFonts w:ascii="Calibri" w:hAnsi="Calibri" w:cs="Arial"/>
                <w:sz w:val="20"/>
                <w:szCs w:val="20"/>
              </w:rPr>
              <w:t>%</w:t>
            </w:r>
          </w:p>
        </w:tc>
        <w:tc>
          <w:tcPr>
            <w:tcW w:w="0" w:type="auto"/>
            <w:tcBorders>
              <w:top w:val="nil"/>
              <w:left w:val="nil"/>
              <w:bottom w:val="single" w:sz="4" w:space="0" w:color="9C9D9F"/>
              <w:right w:val="nil"/>
            </w:tcBorders>
            <w:shd w:val="clear" w:color="auto" w:fill="auto"/>
            <w:noWrap/>
            <w:vAlign w:val="center"/>
            <w:hideMark/>
          </w:tcPr>
          <w:p w14:paraId="4B8A3C26" w14:textId="3E892D22" w:rsidR="001C48FB" w:rsidRPr="001C48FB" w:rsidRDefault="00714AD4" w:rsidP="00714AD4">
            <w:pPr>
              <w:spacing w:before="0" w:beforeAutospacing="0" w:after="0" w:afterAutospacing="0"/>
              <w:ind w:firstLineChars="100" w:firstLine="200"/>
              <w:jc w:val="right"/>
              <w:rPr>
                <w:rFonts w:ascii="Calibri" w:hAnsi="Calibri" w:cs="Arial"/>
                <w:sz w:val="20"/>
                <w:szCs w:val="20"/>
              </w:rPr>
            </w:pPr>
            <w:r>
              <w:rPr>
                <w:rFonts w:ascii="Calibri" w:hAnsi="Calibri" w:cs="Arial"/>
                <w:sz w:val="20"/>
                <w:szCs w:val="20"/>
              </w:rPr>
              <w:t>9,9</w:t>
            </w:r>
            <w:r w:rsidR="001C48FB" w:rsidRPr="001C48FB">
              <w:rPr>
                <w:rFonts w:ascii="Calibri" w:hAnsi="Calibri" w:cs="Arial"/>
                <w:sz w:val="20"/>
                <w:szCs w:val="20"/>
              </w:rPr>
              <w:t xml:space="preserve"> p.b.</w:t>
            </w:r>
          </w:p>
        </w:tc>
      </w:tr>
      <w:tr w:rsidR="001C48FB" w:rsidRPr="001C48FB" w14:paraId="5A019EB5" w14:textId="77777777" w:rsidTr="001C48FB">
        <w:trPr>
          <w:trHeight w:val="270"/>
        </w:trPr>
        <w:tc>
          <w:tcPr>
            <w:tcW w:w="0" w:type="auto"/>
            <w:tcBorders>
              <w:top w:val="nil"/>
              <w:left w:val="nil"/>
              <w:bottom w:val="nil"/>
              <w:right w:val="nil"/>
            </w:tcBorders>
            <w:shd w:val="clear" w:color="auto" w:fill="auto"/>
            <w:vAlign w:val="center"/>
            <w:hideMark/>
          </w:tcPr>
          <w:p w14:paraId="550E12F4"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p>
        </w:tc>
        <w:tc>
          <w:tcPr>
            <w:tcW w:w="0" w:type="auto"/>
            <w:tcBorders>
              <w:top w:val="nil"/>
              <w:left w:val="nil"/>
              <w:bottom w:val="nil"/>
              <w:right w:val="nil"/>
            </w:tcBorders>
            <w:shd w:val="clear" w:color="auto" w:fill="auto"/>
            <w:noWrap/>
            <w:vAlign w:val="center"/>
            <w:hideMark/>
          </w:tcPr>
          <w:p w14:paraId="17FA0DCF" w14:textId="77777777" w:rsidR="001C48FB" w:rsidRPr="001C48FB" w:rsidRDefault="001C48FB" w:rsidP="001C48FB">
            <w:pPr>
              <w:spacing w:before="0" w:beforeAutospacing="0" w:after="0" w:afterAutospacing="0"/>
              <w:jc w:val="lef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6EF078A4"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1A511F7F"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3531FE9D"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r>
      <w:tr w:rsidR="001C48FB" w:rsidRPr="001C48FB" w14:paraId="181C834A" w14:textId="77777777" w:rsidTr="001C48FB">
        <w:trPr>
          <w:trHeight w:val="270"/>
        </w:trPr>
        <w:tc>
          <w:tcPr>
            <w:tcW w:w="0" w:type="auto"/>
            <w:tcBorders>
              <w:top w:val="nil"/>
              <w:left w:val="nil"/>
              <w:bottom w:val="nil"/>
              <w:right w:val="nil"/>
            </w:tcBorders>
            <w:shd w:val="clear" w:color="000000" w:fill="9C9D9F"/>
            <w:vAlign w:val="center"/>
            <w:hideMark/>
          </w:tcPr>
          <w:p w14:paraId="0B325F26"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Provozní ukazatele</w:t>
            </w:r>
          </w:p>
        </w:tc>
        <w:tc>
          <w:tcPr>
            <w:tcW w:w="0" w:type="auto"/>
            <w:tcBorders>
              <w:top w:val="nil"/>
              <w:left w:val="nil"/>
              <w:bottom w:val="nil"/>
              <w:right w:val="nil"/>
            </w:tcBorders>
            <w:shd w:val="clear" w:color="000000" w:fill="9C9D9F"/>
            <w:noWrap/>
            <w:vAlign w:val="center"/>
            <w:hideMark/>
          </w:tcPr>
          <w:p w14:paraId="2678DCAB"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05B657E1"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3F55F85A"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60257593"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r>
      <w:tr w:rsidR="001C48FB" w:rsidRPr="001C48FB" w14:paraId="0F60046B" w14:textId="77777777" w:rsidTr="001C48FB">
        <w:trPr>
          <w:trHeight w:val="270"/>
        </w:trPr>
        <w:tc>
          <w:tcPr>
            <w:tcW w:w="0" w:type="auto"/>
            <w:tcBorders>
              <w:top w:val="single" w:sz="4" w:space="0" w:color="9C9D9F"/>
              <w:left w:val="nil"/>
              <w:bottom w:val="single" w:sz="4" w:space="0" w:color="9C9D9F"/>
              <w:right w:val="nil"/>
            </w:tcBorders>
            <w:shd w:val="clear" w:color="auto" w:fill="auto"/>
            <w:vAlign w:val="center"/>
            <w:hideMark/>
          </w:tcPr>
          <w:p w14:paraId="18E55D2A"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Výroba v tunách</w:t>
            </w:r>
          </w:p>
        </w:tc>
        <w:tc>
          <w:tcPr>
            <w:tcW w:w="0" w:type="auto"/>
            <w:tcBorders>
              <w:top w:val="single" w:sz="4" w:space="0" w:color="9C9D9F"/>
              <w:left w:val="nil"/>
              <w:bottom w:val="single" w:sz="4" w:space="0" w:color="9C9D9F"/>
              <w:right w:val="nil"/>
            </w:tcBorders>
            <w:shd w:val="clear" w:color="auto" w:fill="auto"/>
            <w:noWrap/>
            <w:vAlign w:val="center"/>
            <w:hideMark/>
          </w:tcPr>
          <w:p w14:paraId="3233DF56"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54 533</w:t>
            </w:r>
          </w:p>
        </w:tc>
        <w:tc>
          <w:tcPr>
            <w:tcW w:w="0" w:type="auto"/>
            <w:tcBorders>
              <w:top w:val="single" w:sz="4" w:space="0" w:color="9C9D9F"/>
              <w:left w:val="nil"/>
              <w:bottom w:val="single" w:sz="4" w:space="0" w:color="9C9D9F"/>
              <w:right w:val="nil"/>
            </w:tcBorders>
            <w:shd w:val="clear" w:color="auto" w:fill="auto"/>
            <w:noWrap/>
            <w:vAlign w:val="center"/>
            <w:hideMark/>
          </w:tcPr>
          <w:p w14:paraId="0B0BC03C"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4,0%</w:t>
            </w:r>
          </w:p>
        </w:tc>
        <w:tc>
          <w:tcPr>
            <w:tcW w:w="0" w:type="auto"/>
            <w:tcBorders>
              <w:top w:val="single" w:sz="4" w:space="0" w:color="9C9D9F"/>
              <w:left w:val="nil"/>
              <w:bottom w:val="single" w:sz="4" w:space="0" w:color="9C9D9F"/>
              <w:right w:val="nil"/>
            </w:tcBorders>
            <w:shd w:val="clear" w:color="auto" w:fill="auto"/>
            <w:noWrap/>
            <w:vAlign w:val="center"/>
            <w:hideMark/>
          </w:tcPr>
          <w:p w14:paraId="5CDA770A"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27 466</w:t>
            </w:r>
          </w:p>
        </w:tc>
        <w:tc>
          <w:tcPr>
            <w:tcW w:w="0" w:type="auto"/>
            <w:tcBorders>
              <w:top w:val="single" w:sz="4" w:space="0" w:color="9C9D9F"/>
              <w:left w:val="nil"/>
              <w:bottom w:val="single" w:sz="4" w:space="0" w:color="9C9D9F"/>
              <w:right w:val="nil"/>
            </w:tcBorders>
            <w:shd w:val="clear" w:color="auto" w:fill="auto"/>
            <w:noWrap/>
            <w:vAlign w:val="center"/>
            <w:hideMark/>
          </w:tcPr>
          <w:p w14:paraId="4415B225"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1,4%</w:t>
            </w:r>
          </w:p>
        </w:tc>
      </w:tr>
      <w:tr w:rsidR="001C48FB" w:rsidRPr="001C48FB" w14:paraId="52462FE1"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71964194"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Počet zaměstnanců - na konci období</w:t>
            </w:r>
          </w:p>
        </w:tc>
        <w:tc>
          <w:tcPr>
            <w:tcW w:w="0" w:type="auto"/>
            <w:tcBorders>
              <w:top w:val="nil"/>
              <w:left w:val="nil"/>
              <w:bottom w:val="single" w:sz="4" w:space="0" w:color="9C9D9F"/>
              <w:right w:val="nil"/>
            </w:tcBorders>
            <w:shd w:val="clear" w:color="auto" w:fill="auto"/>
            <w:noWrap/>
            <w:vAlign w:val="center"/>
            <w:hideMark/>
          </w:tcPr>
          <w:p w14:paraId="2C5EBA43"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593</w:t>
            </w:r>
          </w:p>
        </w:tc>
        <w:tc>
          <w:tcPr>
            <w:tcW w:w="0" w:type="auto"/>
            <w:tcBorders>
              <w:top w:val="nil"/>
              <w:left w:val="nil"/>
              <w:bottom w:val="single" w:sz="4" w:space="0" w:color="9C9D9F"/>
              <w:right w:val="nil"/>
            </w:tcBorders>
            <w:shd w:val="clear" w:color="auto" w:fill="auto"/>
            <w:noWrap/>
            <w:vAlign w:val="center"/>
            <w:hideMark/>
          </w:tcPr>
          <w:p w14:paraId="491C5A9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1,2%</w:t>
            </w:r>
          </w:p>
        </w:tc>
        <w:tc>
          <w:tcPr>
            <w:tcW w:w="0" w:type="auto"/>
            <w:tcBorders>
              <w:top w:val="nil"/>
              <w:left w:val="nil"/>
              <w:bottom w:val="single" w:sz="4" w:space="0" w:color="9C9D9F"/>
              <w:right w:val="nil"/>
            </w:tcBorders>
            <w:shd w:val="clear" w:color="auto" w:fill="auto"/>
            <w:noWrap/>
            <w:vAlign w:val="center"/>
            <w:hideMark/>
          </w:tcPr>
          <w:p w14:paraId="5FCCC3F9"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593</w:t>
            </w:r>
          </w:p>
        </w:tc>
        <w:tc>
          <w:tcPr>
            <w:tcW w:w="0" w:type="auto"/>
            <w:tcBorders>
              <w:top w:val="nil"/>
              <w:left w:val="nil"/>
              <w:bottom w:val="single" w:sz="4" w:space="0" w:color="9C9D9F"/>
              <w:right w:val="nil"/>
            </w:tcBorders>
            <w:shd w:val="clear" w:color="auto" w:fill="auto"/>
            <w:noWrap/>
            <w:vAlign w:val="center"/>
            <w:hideMark/>
          </w:tcPr>
          <w:p w14:paraId="4D87153A"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1,2%</w:t>
            </w:r>
          </w:p>
        </w:tc>
      </w:tr>
      <w:tr w:rsidR="001C48FB" w:rsidRPr="001C48FB" w14:paraId="2FB36A30"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69A7B476"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Počet zaměstnanců - průměr</w:t>
            </w:r>
          </w:p>
        </w:tc>
        <w:tc>
          <w:tcPr>
            <w:tcW w:w="0" w:type="auto"/>
            <w:tcBorders>
              <w:top w:val="nil"/>
              <w:left w:val="nil"/>
              <w:bottom w:val="single" w:sz="4" w:space="0" w:color="9C9D9F"/>
              <w:right w:val="nil"/>
            </w:tcBorders>
            <w:shd w:val="clear" w:color="auto" w:fill="auto"/>
            <w:noWrap/>
            <w:vAlign w:val="center"/>
            <w:hideMark/>
          </w:tcPr>
          <w:p w14:paraId="61C2F805"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591</w:t>
            </w:r>
          </w:p>
        </w:tc>
        <w:tc>
          <w:tcPr>
            <w:tcW w:w="0" w:type="auto"/>
            <w:tcBorders>
              <w:top w:val="nil"/>
              <w:left w:val="nil"/>
              <w:bottom w:val="single" w:sz="4" w:space="0" w:color="9C9D9F"/>
              <w:right w:val="nil"/>
            </w:tcBorders>
            <w:shd w:val="clear" w:color="auto" w:fill="auto"/>
            <w:noWrap/>
            <w:vAlign w:val="center"/>
            <w:hideMark/>
          </w:tcPr>
          <w:p w14:paraId="0FB1B9E7"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1,5%</w:t>
            </w:r>
          </w:p>
        </w:tc>
        <w:tc>
          <w:tcPr>
            <w:tcW w:w="0" w:type="auto"/>
            <w:tcBorders>
              <w:top w:val="nil"/>
              <w:left w:val="nil"/>
              <w:bottom w:val="single" w:sz="4" w:space="0" w:color="9C9D9F"/>
              <w:right w:val="nil"/>
            </w:tcBorders>
            <w:shd w:val="clear" w:color="auto" w:fill="auto"/>
            <w:noWrap/>
            <w:vAlign w:val="center"/>
            <w:hideMark/>
          </w:tcPr>
          <w:p w14:paraId="30357D7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594</w:t>
            </w:r>
          </w:p>
        </w:tc>
        <w:tc>
          <w:tcPr>
            <w:tcW w:w="0" w:type="auto"/>
            <w:tcBorders>
              <w:top w:val="nil"/>
              <w:left w:val="nil"/>
              <w:bottom w:val="single" w:sz="4" w:space="0" w:color="9C9D9F"/>
              <w:right w:val="nil"/>
            </w:tcBorders>
            <w:shd w:val="clear" w:color="auto" w:fill="auto"/>
            <w:noWrap/>
            <w:vAlign w:val="center"/>
            <w:hideMark/>
          </w:tcPr>
          <w:p w14:paraId="0F1B91C2"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2,2%</w:t>
            </w:r>
          </w:p>
        </w:tc>
      </w:tr>
      <w:tr w:rsidR="001C48FB" w:rsidRPr="001C48FB" w14:paraId="0A07B015" w14:textId="77777777" w:rsidTr="001C48FB">
        <w:trPr>
          <w:trHeight w:val="270"/>
        </w:trPr>
        <w:tc>
          <w:tcPr>
            <w:tcW w:w="0" w:type="auto"/>
            <w:tcBorders>
              <w:top w:val="nil"/>
              <w:left w:val="nil"/>
              <w:bottom w:val="nil"/>
              <w:right w:val="nil"/>
            </w:tcBorders>
            <w:shd w:val="clear" w:color="auto" w:fill="auto"/>
            <w:vAlign w:val="center"/>
            <w:hideMark/>
          </w:tcPr>
          <w:p w14:paraId="10FD7B72"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p>
        </w:tc>
        <w:tc>
          <w:tcPr>
            <w:tcW w:w="0" w:type="auto"/>
            <w:tcBorders>
              <w:top w:val="nil"/>
              <w:left w:val="nil"/>
              <w:bottom w:val="nil"/>
              <w:right w:val="nil"/>
            </w:tcBorders>
            <w:shd w:val="clear" w:color="auto" w:fill="auto"/>
            <w:noWrap/>
            <w:vAlign w:val="center"/>
            <w:hideMark/>
          </w:tcPr>
          <w:p w14:paraId="67758D3E" w14:textId="77777777" w:rsidR="001C48FB" w:rsidRPr="001C48FB" w:rsidRDefault="001C48FB" w:rsidP="001C48FB">
            <w:pPr>
              <w:spacing w:before="0" w:beforeAutospacing="0" w:after="0" w:afterAutospacing="0"/>
              <w:jc w:val="lef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23B872A5"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7612E5BA"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c>
          <w:tcPr>
            <w:tcW w:w="0" w:type="auto"/>
            <w:tcBorders>
              <w:top w:val="nil"/>
              <w:left w:val="nil"/>
              <w:bottom w:val="nil"/>
              <w:right w:val="nil"/>
            </w:tcBorders>
            <w:shd w:val="clear" w:color="auto" w:fill="auto"/>
            <w:noWrap/>
            <w:vAlign w:val="center"/>
            <w:hideMark/>
          </w:tcPr>
          <w:p w14:paraId="4E03FCD7" w14:textId="77777777" w:rsidR="001C48FB" w:rsidRPr="001C48FB" w:rsidRDefault="001C48FB" w:rsidP="001C48FB">
            <w:pPr>
              <w:spacing w:before="0" w:beforeAutospacing="0" w:after="0" w:afterAutospacing="0"/>
              <w:ind w:firstLineChars="100" w:firstLine="200"/>
              <w:jc w:val="right"/>
              <w:rPr>
                <w:rFonts w:ascii="Times New Roman" w:hAnsi="Times New Roman"/>
                <w:sz w:val="20"/>
                <w:szCs w:val="20"/>
              </w:rPr>
            </w:pPr>
          </w:p>
        </w:tc>
      </w:tr>
      <w:tr w:rsidR="001C48FB" w:rsidRPr="001C48FB" w14:paraId="173DBA43" w14:textId="77777777" w:rsidTr="001C48FB">
        <w:trPr>
          <w:trHeight w:val="270"/>
        </w:trPr>
        <w:tc>
          <w:tcPr>
            <w:tcW w:w="0" w:type="auto"/>
            <w:tcBorders>
              <w:top w:val="nil"/>
              <w:left w:val="nil"/>
              <w:bottom w:val="nil"/>
              <w:right w:val="nil"/>
            </w:tcBorders>
            <w:shd w:val="clear" w:color="000000" w:fill="9C9D9F"/>
            <w:vAlign w:val="center"/>
            <w:hideMark/>
          </w:tcPr>
          <w:p w14:paraId="63FABF4A" w14:textId="77777777" w:rsidR="001C48FB" w:rsidRPr="001C48FB" w:rsidRDefault="001C48FB" w:rsidP="001C48FB">
            <w:pPr>
              <w:spacing w:before="0" w:beforeAutospacing="0" w:after="0" w:afterAutospacing="0"/>
              <w:jc w:val="left"/>
              <w:rPr>
                <w:rFonts w:ascii="Calibri" w:hAnsi="Calibri" w:cs="Arial"/>
                <w:b/>
                <w:bCs/>
                <w:sz w:val="20"/>
                <w:szCs w:val="20"/>
              </w:rPr>
            </w:pPr>
            <w:r w:rsidRPr="001C48FB">
              <w:rPr>
                <w:rFonts w:ascii="Calibri" w:hAnsi="Calibri" w:cs="Arial"/>
                <w:b/>
                <w:bCs/>
                <w:sz w:val="20"/>
                <w:szCs w:val="20"/>
              </w:rPr>
              <w:t>Měnové kurzy</w:t>
            </w:r>
          </w:p>
        </w:tc>
        <w:tc>
          <w:tcPr>
            <w:tcW w:w="0" w:type="auto"/>
            <w:tcBorders>
              <w:top w:val="nil"/>
              <w:left w:val="nil"/>
              <w:bottom w:val="nil"/>
              <w:right w:val="nil"/>
            </w:tcBorders>
            <w:shd w:val="clear" w:color="000000" w:fill="9C9D9F"/>
            <w:noWrap/>
            <w:vAlign w:val="center"/>
            <w:hideMark/>
          </w:tcPr>
          <w:p w14:paraId="2589536D"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20523266"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0C643692"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c>
          <w:tcPr>
            <w:tcW w:w="0" w:type="auto"/>
            <w:tcBorders>
              <w:top w:val="nil"/>
              <w:left w:val="nil"/>
              <w:bottom w:val="nil"/>
              <w:right w:val="nil"/>
            </w:tcBorders>
            <w:shd w:val="clear" w:color="000000" w:fill="9C9D9F"/>
            <w:noWrap/>
            <w:vAlign w:val="center"/>
            <w:hideMark/>
          </w:tcPr>
          <w:p w14:paraId="7B8E2566" w14:textId="77777777" w:rsidR="001C48FB" w:rsidRPr="001C48FB" w:rsidRDefault="001C48FB" w:rsidP="001C48FB">
            <w:pPr>
              <w:spacing w:before="0" w:beforeAutospacing="0" w:after="0" w:afterAutospacing="0"/>
              <w:ind w:firstLineChars="100" w:firstLine="200"/>
              <w:jc w:val="right"/>
              <w:rPr>
                <w:rFonts w:ascii="Calibri" w:hAnsi="Calibri" w:cs="Arial"/>
                <w:b/>
                <w:bCs/>
                <w:sz w:val="20"/>
                <w:szCs w:val="20"/>
              </w:rPr>
            </w:pPr>
            <w:r w:rsidRPr="001C48FB">
              <w:rPr>
                <w:rFonts w:ascii="Calibri" w:hAnsi="Calibri" w:cs="Arial"/>
                <w:b/>
                <w:bCs/>
                <w:sz w:val="20"/>
                <w:szCs w:val="20"/>
              </w:rPr>
              <w:t> </w:t>
            </w:r>
          </w:p>
        </w:tc>
      </w:tr>
      <w:tr w:rsidR="001C48FB" w:rsidRPr="001C48FB" w14:paraId="3CE01B99"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361F47B9"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EUR/CZK - průměr</w:t>
            </w:r>
          </w:p>
        </w:tc>
        <w:tc>
          <w:tcPr>
            <w:tcW w:w="0" w:type="auto"/>
            <w:tcBorders>
              <w:top w:val="nil"/>
              <w:left w:val="nil"/>
              <w:bottom w:val="single" w:sz="4" w:space="0" w:color="9C9D9F"/>
              <w:right w:val="nil"/>
            </w:tcBorders>
            <w:shd w:val="clear" w:color="auto" w:fill="auto"/>
            <w:noWrap/>
            <w:vAlign w:val="center"/>
            <w:hideMark/>
          </w:tcPr>
          <w:p w14:paraId="690F649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25,500</w:t>
            </w:r>
          </w:p>
        </w:tc>
        <w:tc>
          <w:tcPr>
            <w:tcW w:w="0" w:type="auto"/>
            <w:tcBorders>
              <w:top w:val="nil"/>
              <w:left w:val="nil"/>
              <w:bottom w:val="single" w:sz="4" w:space="0" w:color="9C9D9F"/>
              <w:right w:val="nil"/>
            </w:tcBorders>
            <w:shd w:val="clear" w:color="auto" w:fill="auto"/>
            <w:noWrap/>
            <w:vAlign w:val="center"/>
            <w:hideMark/>
          </w:tcPr>
          <w:p w14:paraId="0E91D8C9"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-4,8%</w:t>
            </w:r>
          </w:p>
        </w:tc>
        <w:tc>
          <w:tcPr>
            <w:tcW w:w="0" w:type="auto"/>
            <w:tcBorders>
              <w:top w:val="nil"/>
              <w:left w:val="nil"/>
              <w:bottom w:val="single" w:sz="4" w:space="0" w:color="9C9D9F"/>
              <w:right w:val="nil"/>
            </w:tcBorders>
            <w:shd w:val="clear" w:color="auto" w:fill="auto"/>
            <w:noWrap/>
            <w:vAlign w:val="center"/>
            <w:hideMark/>
          </w:tcPr>
          <w:p w14:paraId="0C363CC9"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25,599</w:t>
            </w:r>
          </w:p>
        </w:tc>
        <w:tc>
          <w:tcPr>
            <w:tcW w:w="0" w:type="auto"/>
            <w:tcBorders>
              <w:top w:val="nil"/>
              <w:left w:val="nil"/>
              <w:bottom w:val="single" w:sz="4" w:space="0" w:color="9C9D9F"/>
              <w:right w:val="nil"/>
            </w:tcBorders>
            <w:shd w:val="clear" w:color="auto" w:fill="auto"/>
            <w:noWrap/>
            <w:vAlign w:val="center"/>
            <w:hideMark/>
          </w:tcPr>
          <w:p w14:paraId="17C6B37A"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-3,5%</w:t>
            </w:r>
          </w:p>
        </w:tc>
      </w:tr>
      <w:tr w:rsidR="001C48FB" w:rsidRPr="001C48FB" w14:paraId="47C9814B"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7C8F92F9" w14:textId="77777777"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EUR/CZK - na konci období</w:t>
            </w:r>
          </w:p>
        </w:tc>
        <w:tc>
          <w:tcPr>
            <w:tcW w:w="0" w:type="auto"/>
            <w:tcBorders>
              <w:top w:val="nil"/>
              <w:left w:val="nil"/>
              <w:bottom w:val="single" w:sz="4" w:space="0" w:color="9C9D9F"/>
              <w:right w:val="nil"/>
            </w:tcBorders>
            <w:shd w:val="clear" w:color="auto" w:fill="auto"/>
            <w:noWrap/>
            <w:vAlign w:val="center"/>
            <w:hideMark/>
          </w:tcPr>
          <w:p w14:paraId="2B0644D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26,020</w:t>
            </w:r>
          </w:p>
        </w:tc>
        <w:tc>
          <w:tcPr>
            <w:tcW w:w="0" w:type="auto"/>
            <w:tcBorders>
              <w:top w:val="nil"/>
              <w:left w:val="nil"/>
              <w:bottom w:val="single" w:sz="4" w:space="0" w:color="9C9D9F"/>
              <w:right w:val="nil"/>
            </w:tcBorders>
            <w:shd w:val="clear" w:color="auto" w:fill="auto"/>
            <w:noWrap/>
            <w:vAlign w:val="center"/>
            <w:hideMark/>
          </w:tcPr>
          <w:p w14:paraId="2A8C5CB4"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-0,7%</w:t>
            </w:r>
          </w:p>
        </w:tc>
        <w:tc>
          <w:tcPr>
            <w:tcW w:w="0" w:type="auto"/>
            <w:tcBorders>
              <w:top w:val="nil"/>
              <w:left w:val="nil"/>
              <w:bottom w:val="single" w:sz="4" w:space="0" w:color="9C9D9F"/>
              <w:right w:val="nil"/>
            </w:tcBorders>
            <w:shd w:val="clear" w:color="auto" w:fill="auto"/>
            <w:noWrap/>
            <w:vAlign w:val="center"/>
            <w:hideMark/>
          </w:tcPr>
          <w:p w14:paraId="65CD2261"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26,020</w:t>
            </w:r>
          </w:p>
        </w:tc>
        <w:tc>
          <w:tcPr>
            <w:tcW w:w="0" w:type="auto"/>
            <w:tcBorders>
              <w:top w:val="nil"/>
              <w:left w:val="nil"/>
              <w:bottom w:val="single" w:sz="4" w:space="0" w:color="9C9D9F"/>
              <w:right w:val="nil"/>
            </w:tcBorders>
            <w:shd w:val="clear" w:color="auto" w:fill="auto"/>
            <w:noWrap/>
            <w:vAlign w:val="center"/>
            <w:hideMark/>
          </w:tcPr>
          <w:p w14:paraId="09ACDDE6"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-0,7%</w:t>
            </w:r>
          </w:p>
        </w:tc>
      </w:tr>
      <w:tr w:rsidR="001C48FB" w:rsidRPr="001C48FB" w14:paraId="1E46B85E" w14:textId="77777777" w:rsidTr="001C48FB">
        <w:trPr>
          <w:trHeight w:val="270"/>
        </w:trPr>
        <w:tc>
          <w:tcPr>
            <w:tcW w:w="0" w:type="auto"/>
            <w:tcBorders>
              <w:top w:val="nil"/>
              <w:left w:val="nil"/>
              <w:bottom w:val="single" w:sz="4" w:space="0" w:color="9C9D9F"/>
              <w:right w:val="nil"/>
            </w:tcBorders>
            <w:shd w:val="clear" w:color="auto" w:fill="auto"/>
            <w:vAlign w:val="center"/>
            <w:hideMark/>
          </w:tcPr>
          <w:p w14:paraId="1871F1B1" w14:textId="5B0A3B90" w:rsidR="001C48FB" w:rsidRPr="001C48FB" w:rsidRDefault="001C48FB" w:rsidP="001C48FB">
            <w:pPr>
              <w:spacing w:before="0" w:beforeAutospacing="0" w:after="0" w:afterAutospacing="0"/>
              <w:jc w:val="left"/>
              <w:rPr>
                <w:rFonts w:ascii="Calibri" w:hAnsi="Calibri" w:cs="Arial"/>
                <w:sz w:val="20"/>
                <w:szCs w:val="20"/>
              </w:rPr>
            </w:pPr>
            <w:r w:rsidRPr="001C48FB">
              <w:rPr>
                <w:rFonts w:ascii="Calibri" w:hAnsi="Calibri" w:cs="Arial"/>
                <w:sz w:val="20"/>
                <w:szCs w:val="20"/>
              </w:rPr>
              <w:t>USD</w:t>
            </w:r>
            <w:r w:rsidR="009A70CA">
              <w:rPr>
                <w:rFonts w:ascii="Calibri" w:hAnsi="Calibri" w:cs="Arial"/>
                <w:sz w:val="20"/>
                <w:szCs w:val="20"/>
              </w:rPr>
              <w:t>/CZK</w:t>
            </w:r>
            <w:r w:rsidRPr="001C48FB">
              <w:rPr>
                <w:rFonts w:ascii="Calibri" w:hAnsi="Calibri" w:cs="Arial"/>
                <w:sz w:val="20"/>
                <w:szCs w:val="20"/>
              </w:rPr>
              <w:t xml:space="preserve"> - průměr</w:t>
            </w:r>
          </w:p>
        </w:tc>
        <w:tc>
          <w:tcPr>
            <w:tcW w:w="0" w:type="auto"/>
            <w:tcBorders>
              <w:top w:val="nil"/>
              <w:left w:val="nil"/>
              <w:bottom w:val="single" w:sz="4" w:space="0" w:color="9C9D9F"/>
              <w:right w:val="nil"/>
            </w:tcBorders>
            <w:shd w:val="clear" w:color="auto" w:fill="auto"/>
            <w:noWrap/>
            <w:vAlign w:val="center"/>
            <w:hideMark/>
          </w:tcPr>
          <w:p w14:paraId="6651C5CD"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21,080</w:t>
            </w:r>
          </w:p>
        </w:tc>
        <w:tc>
          <w:tcPr>
            <w:tcW w:w="0" w:type="auto"/>
            <w:tcBorders>
              <w:top w:val="nil"/>
              <w:left w:val="nil"/>
              <w:bottom w:val="single" w:sz="4" w:space="0" w:color="9C9D9F"/>
              <w:right w:val="nil"/>
            </w:tcBorders>
            <w:shd w:val="clear" w:color="auto" w:fill="auto"/>
            <w:noWrap/>
            <w:vAlign w:val="center"/>
            <w:hideMark/>
          </w:tcPr>
          <w:p w14:paraId="6A1E33A5"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-14,8%</w:t>
            </w:r>
          </w:p>
        </w:tc>
        <w:tc>
          <w:tcPr>
            <w:tcW w:w="0" w:type="auto"/>
            <w:tcBorders>
              <w:top w:val="nil"/>
              <w:left w:val="nil"/>
              <w:bottom w:val="single" w:sz="4" w:space="0" w:color="9C9D9F"/>
              <w:right w:val="nil"/>
            </w:tcBorders>
            <w:shd w:val="clear" w:color="auto" w:fill="auto"/>
            <w:noWrap/>
            <w:vAlign w:val="center"/>
            <w:hideMark/>
          </w:tcPr>
          <w:p w14:paraId="23B0298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21,499</w:t>
            </w:r>
          </w:p>
        </w:tc>
        <w:tc>
          <w:tcPr>
            <w:tcW w:w="0" w:type="auto"/>
            <w:tcBorders>
              <w:top w:val="nil"/>
              <w:left w:val="nil"/>
              <w:bottom w:val="single" w:sz="4" w:space="0" w:color="9C9D9F"/>
              <w:right w:val="nil"/>
            </w:tcBorders>
            <w:shd w:val="clear" w:color="auto" w:fill="auto"/>
            <w:noWrap/>
            <w:vAlign w:val="center"/>
            <w:hideMark/>
          </w:tcPr>
          <w:p w14:paraId="383682DA"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-10,7%</w:t>
            </w:r>
          </w:p>
        </w:tc>
      </w:tr>
      <w:tr w:rsidR="001C48FB" w:rsidRPr="001C48FB" w14:paraId="3D6EF21F" w14:textId="77777777" w:rsidTr="001C48FB">
        <w:trPr>
          <w:trHeight w:val="285"/>
        </w:trPr>
        <w:tc>
          <w:tcPr>
            <w:tcW w:w="0" w:type="auto"/>
            <w:tcBorders>
              <w:top w:val="nil"/>
              <w:left w:val="nil"/>
              <w:bottom w:val="single" w:sz="4" w:space="0" w:color="9C9D9F"/>
              <w:right w:val="nil"/>
            </w:tcBorders>
            <w:shd w:val="clear" w:color="auto" w:fill="auto"/>
            <w:vAlign w:val="center"/>
            <w:hideMark/>
          </w:tcPr>
          <w:p w14:paraId="1A1BB974" w14:textId="7BCC34B1" w:rsidR="001C48FB" w:rsidRPr="001C48FB" w:rsidRDefault="009A70CA" w:rsidP="001C48FB">
            <w:pPr>
              <w:spacing w:before="0" w:beforeAutospacing="0" w:after="0" w:afterAutospacing="0"/>
              <w:jc w:val="left"/>
              <w:rPr>
                <w:rFonts w:ascii="Calibri" w:hAnsi="Calibri" w:cs="Arial"/>
                <w:sz w:val="20"/>
                <w:szCs w:val="20"/>
              </w:rPr>
            </w:pPr>
            <w:r>
              <w:rPr>
                <w:rFonts w:ascii="Calibri" w:hAnsi="Calibri" w:cs="Arial"/>
                <w:sz w:val="20"/>
                <w:szCs w:val="20"/>
              </w:rPr>
              <w:t>USD/CZK</w:t>
            </w:r>
            <w:r w:rsidR="001C48FB" w:rsidRPr="001C48FB">
              <w:rPr>
                <w:rFonts w:ascii="Calibri" w:hAnsi="Calibri" w:cs="Arial"/>
                <w:sz w:val="20"/>
                <w:szCs w:val="20"/>
              </w:rPr>
              <w:t xml:space="preserve"> - na konci období</w:t>
            </w:r>
          </w:p>
        </w:tc>
        <w:tc>
          <w:tcPr>
            <w:tcW w:w="0" w:type="auto"/>
            <w:tcBorders>
              <w:top w:val="nil"/>
              <w:left w:val="nil"/>
              <w:bottom w:val="single" w:sz="4" w:space="0" w:color="9C9D9F"/>
              <w:right w:val="nil"/>
            </w:tcBorders>
            <w:shd w:val="clear" w:color="auto" w:fill="auto"/>
            <w:noWrap/>
            <w:vAlign w:val="center"/>
            <w:hideMark/>
          </w:tcPr>
          <w:p w14:paraId="34A65FAC"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22,318</w:t>
            </w:r>
          </w:p>
        </w:tc>
        <w:tc>
          <w:tcPr>
            <w:tcW w:w="0" w:type="auto"/>
            <w:tcBorders>
              <w:top w:val="nil"/>
              <w:left w:val="nil"/>
              <w:bottom w:val="single" w:sz="4" w:space="0" w:color="9C9D9F"/>
              <w:right w:val="nil"/>
            </w:tcBorders>
            <w:shd w:val="clear" w:color="auto" w:fill="auto"/>
            <w:noWrap/>
            <w:vAlign w:val="center"/>
            <w:hideMark/>
          </w:tcPr>
          <w:p w14:paraId="6DB11CBA"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-2,8%</w:t>
            </w:r>
          </w:p>
        </w:tc>
        <w:tc>
          <w:tcPr>
            <w:tcW w:w="0" w:type="auto"/>
            <w:tcBorders>
              <w:top w:val="nil"/>
              <w:left w:val="nil"/>
              <w:bottom w:val="single" w:sz="4" w:space="0" w:color="9C9D9F"/>
              <w:right w:val="nil"/>
            </w:tcBorders>
            <w:shd w:val="clear" w:color="auto" w:fill="auto"/>
            <w:noWrap/>
            <w:vAlign w:val="center"/>
            <w:hideMark/>
          </w:tcPr>
          <w:p w14:paraId="3EA80435"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22,318</w:t>
            </w:r>
          </w:p>
        </w:tc>
        <w:tc>
          <w:tcPr>
            <w:tcW w:w="0" w:type="auto"/>
            <w:tcBorders>
              <w:top w:val="nil"/>
              <w:left w:val="nil"/>
              <w:bottom w:val="single" w:sz="4" w:space="0" w:color="9C9D9F"/>
              <w:right w:val="nil"/>
            </w:tcBorders>
            <w:shd w:val="clear" w:color="auto" w:fill="auto"/>
            <w:noWrap/>
            <w:vAlign w:val="center"/>
            <w:hideMark/>
          </w:tcPr>
          <w:p w14:paraId="4EB629D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-2,8%</w:t>
            </w:r>
          </w:p>
        </w:tc>
      </w:tr>
      <w:tr w:rsidR="001C48FB" w:rsidRPr="001C48FB" w14:paraId="2AF7EC37" w14:textId="77777777" w:rsidTr="001C48FB">
        <w:trPr>
          <w:trHeight w:val="300"/>
        </w:trPr>
        <w:tc>
          <w:tcPr>
            <w:tcW w:w="0" w:type="auto"/>
            <w:tcBorders>
              <w:top w:val="nil"/>
              <w:left w:val="nil"/>
              <w:bottom w:val="single" w:sz="4" w:space="0" w:color="9C9D9F"/>
              <w:right w:val="nil"/>
            </w:tcBorders>
            <w:shd w:val="clear" w:color="auto" w:fill="auto"/>
            <w:vAlign w:val="center"/>
            <w:hideMark/>
          </w:tcPr>
          <w:p w14:paraId="644B55C4" w14:textId="0EBF1F97" w:rsidR="001C48FB" w:rsidRPr="001C48FB" w:rsidRDefault="009A70CA" w:rsidP="001C48FB">
            <w:pPr>
              <w:spacing w:before="0" w:beforeAutospacing="0" w:after="0" w:afterAutospacing="0"/>
              <w:jc w:val="left"/>
              <w:rPr>
                <w:rFonts w:ascii="Calibri" w:hAnsi="Calibri" w:cs="Arial"/>
                <w:sz w:val="20"/>
                <w:szCs w:val="20"/>
              </w:rPr>
            </w:pPr>
            <w:r>
              <w:rPr>
                <w:rFonts w:ascii="Calibri" w:hAnsi="Calibri" w:cs="Arial"/>
                <w:sz w:val="20"/>
                <w:szCs w:val="20"/>
              </w:rPr>
              <w:t>ZAR/CZK</w:t>
            </w:r>
            <w:r w:rsidR="001C48FB" w:rsidRPr="001C48FB">
              <w:rPr>
                <w:rFonts w:ascii="Calibri" w:hAnsi="Calibri" w:cs="Arial"/>
                <w:sz w:val="20"/>
                <w:szCs w:val="20"/>
              </w:rPr>
              <w:t xml:space="preserve"> - průměr</w:t>
            </w:r>
          </w:p>
        </w:tc>
        <w:tc>
          <w:tcPr>
            <w:tcW w:w="0" w:type="auto"/>
            <w:tcBorders>
              <w:top w:val="nil"/>
              <w:left w:val="nil"/>
              <w:bottom w:val="single" w:sz="4" w:space="0" w:color="9C9D9F"/>
              <w:right w:val="nil"/>
            </w:tcBorders>
            <w:shd w:val="clear" w:color="auto" w:fill="auto"/>
            <w:noWrap/>
            <w:vAlign w:val="center"/>
            <w:hideMark/>
          </w:tcPr>
          <w:p w14:paraId="39263D7C"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1,713</w:t>
            </w:r>
          </w:p>
        </w:tc>
        <w:tc>
          <w:tcPr>
            <w:tcW w:w="0" w:type="auto"/>
            <w:tcBorders>
              <w:top w:val="nil"/>
              <w:left w:val="nil"/>
              <w:bottom w:val="single" w:sz="4" w:space="0" w:color="9C9D9F"/>
              <w:right w:val="nil"/>
            </w:tcBorders>
            <w:shd w:val="clear" w:color="auto" w:fill="auto"/>
            <w:noWrap/>
            <w:vAlign w:val="center"/>
            <w:hideMark/>
          </w:tcPr>
          <w:p w14:paraId="0B118C8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-8,6%</w:t>
            </w:r>
          </w:p>
        </w:tc>
        <w:tc>
          <w:tcPr>
            <w:tcW w:w="0" w:type="auto"/>
            <w:tcBorders>
              <w:top w:val="nil"/>
              <w:left w:val="nil"/>
              <w:bottom w:val="single" w:sz="4" w:space="0" w:color="9C9D9F"/>
              <w:right w:val="nil"/>
            </w:tcBorders>
            <w:shd w:val="clear" w:color="auto" w:fill="auto"/>
            <w:noWrap/>
            <w:vAlign w:val="center"/>
            <w:hideMark/>
          </w:tcPr>
          <w:p w14:paraId="3B47C4C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1,699</w:t>
            </w:r>
          </w:p>
        </w:tc>
        <w:tc>
          <w:tcPr>
            <w:tcW w:w="0" w:type="auto"/>
            <w:tcBorders>
              <w:top w:val="nil"/>
              <w:left w:val="nil"/>
              <w:bottom w:val="single" w:sz="4" w:space="0" w:color="9C9D9F"/>
              <w:right w:val="nil"/>
            </w:tcBorders>
            <w:shd w:val="clear" w:color="auto" w:fill="auto"/>
            <w:noWrap/>
            <w:vAlign w:val="center"/>
            <w:hideMark/>
          </w:tcPr>
          <w:p w14:paraId="4B5585B9"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-7,0%</w:t>
            </w:r>
          </w:p>
        </w:tc>
      </w:tr>
      <w:tr w:rsidR="001C48FB" w:rsidRPr="001C48FB" w14:paraId="3963DE54" w14:textId="77777777" w:rsidTr="001C48FB">
        <w:trPr>
          <w:trHeight w:val="300"/>
        </w:trPr>
        <w:tc>
          <w:tcPr>
            <w:tcW w:w="0" w:type="auto"/>
            <w:tcBorders>
              <w:top w:val="nil"/>
              <w:left w:val="nil"/>
              <w:bottom w:val="single" w:sz="4" w:space="0" w:color="9C9D9F"/>
              <w:right w:val="nil"/>
            </w:tcBorders>
            <w:shd w:val="clear" w:color="auto" w:fill="auto"/>
            <w:vAlign w:val="center"/>
            <w:hideMark/>
          </w:tcPr>
          <w:p w14:paraId="042DC3F0" w14:textId="3C084F6C" w:rsidR="001C48FB" w:rsidRPr="001C48FB" w:rsidRDefault="009A70CA" w:rsidP="001C48FB">
            <w:pPr>
              <w:spacing w:before="0" w:beforeAutospacing="0" w:after="0" w:afterAutospacing="0"/>
              <w:jc w:val="left"/>
              <w:rPr>
                <w:rFonts w:ascii="Calibri" w:hAnsi="Calibri" w:cs="Arial"/>
                <w:sz w:val="20"/>
                <w:szCs w:val="20"/>
              </w:rPr>
            </w:pPr>
            <w:r>
              <w:rPr>
                <w:rFonts w:ascii="Calibri" w:hAnsi="Calibri" w:cs="Arial"/>
                <w:sz w:val="20"/>
                <w:szCs w:val="20"/>
              </w:rPr>
              <w:t>ZAR/CZK</w:t>
            </w:r>
            <w:r w:rsidR="001C48FB" w:rsidRPr="001C48FB">
              <w:rPr>
                <w:rFonts w:ascii="Calibri" w:hAnsi="Calibri" w:cs="Arial"/>
                <w:sz w:val="20"/>
                <w:szCs w:val="20"/>
              </w:rPr>
              <w:t xml:space="preserve"> - na konci období</w:t>
            </w:r>
          </w:p>
        </w:tc>
        <w:tc>
          <w:tcPr>
            <w:tcW w:w="0" w:type="auto"/>
            <w:tcBorders>
              <w:top w:val="nil"/>
              <w:left w:val="nil"/>
              <w:bottom w:val="single" w:sz="4" w:space="0" w:color="9C9D9F"/>
              <w:right w:val="nil"/>
            </w:tcBorders>
            <w:shd w:val="clear" w:color="auto" w:fill="auto"/>
            <w:noWrap/>
            <w:vAlign w:val="center"/>
            <w:hideMark/>
          </w:tcPr>
          <w:p w14:paraId="6AC28C6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1,621</w:t>
            </w:r>
          </w:p>
        </w:tc>
        <w:tc>
          <w:tcPr>
            <w:tcW w:w="0" w:type="auto"/>
            <w:tcBorders>
              <w:top w:val="nil"/>
              <w:left w:val="nil"/>
              <w:bottom w:val="single" w:sz="4" w:space="0" w:color="9C9D9F"/>
              <w:right w:val="nil"/>
            </w:tcBorders>
            <w:shd w:val="clear" w:color="auto" w:fill="auto"/>
            <w:noWrap/>
            <w:vAlign w:val="center"/>
            <w:hideMark/>
          </w:tcPr>
          <w:p w14:paraId="449035F0"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-7,6%</w:t>
            </w:r>
          </w:p>
        </w:tc>
        <w:tc>
          <w:tcPr>
            <w:tcW w:w="0" w:type="auto"/>
            <w:tcBorders>
              <w:top w:val="nil"/>
              <w:left w:val="nil"/>
              <w:bottom w:val="single" w:sz="4" w:space="0" w:color="9C9D9F"/>
              <w:right w:val="nil"/>
            </w:tcBorders>
            <w:shd w:val="clear" w:color="auto" w:fill="auto"/>
            <w:noWrap/>
            <w:vAlign w:val="center"/>
            <w:hideMark/>
          </w:tcPr>
          <w:p w14:paraId="6B7203B7"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1,621</w:t>
            </w:r>
          </w:p>
        </w:tc>
        <w:tc>
          <w:tcPr>
            <w:tcW w:w="0" w:type="auto"/>
            <w:tcBorders>
              <w:top w:val="nil"/>
              <w:left w:val="nil"/>
              <w:bottom w:val="single" w:sz="4" w:space="0" w:color="9C9D9F"/>
              <w:right w:val="nil"/>
            </w:tcBorders>
            <w:shd w:val="clear" w:color="auto" w:fill="auto"/>
            <w:noWrap/>
            <w:vAlign w:val="center"/>
            <w:hideMark/>
          </w:tcPr>
          <w:p w14:paraId="100560EB" w14:textId="77777777" w:rsidR="001C48FB" w:rsidRPr="001C48FB" w:rsidRDefault="001C48FB" w:rsidP="001C48FB">
            <w:pPr>
              <w:spacing w:before="0" w:beforeAutospacing="0" w:after="0" w:afterAutospacing="0"/>
              <w:ind w:firstLineChars="100" w:firstLine="200"/>
              <w:jc w:val="right"/>
              <w:rPr>
                <w:rFonts w:ascii="Calibri" w:hAnsi="Calibri" w:cs="Arial"/>
                <w:sz w:val="20"/>
                <w:szCs w:val="20"/>
              </w:rPr>
            </w:pPr>
            <w:r w:rsidRPr="001C48FB">
              <w:rPr>
                <w:rFonts w:ascii="Calibri" w:hAnsi="Calibri" w:cs="Arial"/>
                <w:sz w:val="20"/>
                <w:szCs w:val="20"/>
              </w:rPr>
              <w:t>-7,6%</w:t>
            </w:r>
          </w:p>
        </w:tc>
      </w:tr>
    </w:tbl>
    <w:p w14:paraId="06B0F74F" w14:textId="77777777" w:rsidR="000C292F" w:rsidRPr="006C048C" w:rsidRDefault="000C292F" w:rsidP="000C292F"/>
    <w:p w14:paraId="2EA19E65" w14:textId="1C73BD03" w:rsidR="000C292F" w:rsidRPr="006C048C" w:rsidRDefault="00D62F44" w:rsidP="000C292F">
      <w:pPr>
        <w:sectPr w:rsidR="000C292F" w:rsidRPr="006C048C" w:rsidSect="00E431E6">
          <w:pgSz w:w="11906" w:h="16838"/>
          <w:pgMar w:top="1417" w:right="1417" w:bottom="1417" w:left="1417" w:header="708" w:footer="708" w:gutter="0"/>
          <w:cols w:space="708"/>
          <w:docGrid w:linePitch="360"/>
        </w:sectPr>
      </w:pPr>
      <w:r>
        <w:br/>
      </w:r>
    </w:p>
    <w:p w14:paraId="094650A0" w14:textId="40835394" w:rsidR="000C292F" w:rsidRPr="006C048C" w:rsidRDefault="000C292F" w:rsidP="000C292F">
      <w:pPr>
        <w:rPr>
          <w:b/>
          <w:color w:val="FF0000"/>
        </w:rPr>
      </w:pPr>
      <w:r w:rsidRPr="000546B5">
        <w:rPr>
          <w:b/>
          <w:color w:val="2A7FC6"/>
        </w:rPr>
        <w:lastRenderedPageBreak/>
        <w:t>Prohlášení generálního ředitele a</w:t>
      </w:r>
      <w:r w:rsidR="00894B01" w:rsidRPr="000546B5">
        <w:rPr>
          <w:b/>
          <w:color w:val="2A7FC6"/>
        </w:rPr>
        <w:t> </w:t>
      </w:r>
      <w:r w:rsidRPr="000546B5">
        <w:rPr>
          <w:b/>
          <w:color w:val="2A7FC6"/>
        </w:rPr>
        <w:t>předsedy představenstva PFNonwovens a.s. pana Františka Řezáče:</w:t>
      </w:r>
    </w:p>
    <w:p w14:paraId="29A40F3F" w14:textId="215DC9C4" w:rsidR="009A70CA" w:rsidRPr="000B2A24" w:rsidRDefault="000C292F" w:rsidP="000C292F">
      <w:pPr>
        <w:pStyle w:val="Normlnweb"/>
      </w:pPr>
      <w:r w:rsidRPr="000B2A24">
        <w:t xml:space="preserve">„Výsledky hospodaření za </w:t>
      </w:r>
      <w:r w:rsidR="009A70CA" w:rsidRPr="000B2A24">
        <w:t xml:space="preserve">první pololetí splnily naše očekávání. EBITDA dosáhla 662,1 milionu Kč a oproti loňskému roku zaznamenala růst o téměř 20%. Za tímto růstem stála především silná výroba i prodej a </w:t>
      </w:r>
      <w:r w:rsidR="00FA5E46">
        <w:t xml:space="preserve">pozitivní </w:t>
      </w:r>
      <w:r w:rsidR="009A70CA" w:rsidRPr="000B2A24">
        <w:t>dopad přenosového mechanismu</w:t>
      </w:r>
      <w:r w:rsidR="00FA5E46">
        <w:t xml:space="preserve"> v meziročním srovnání</w:t>
      </w:r>
      <w:r w:rsidR="009A70CA" w:rsidRPr="000B2A24">
        <w:t xml:space="preserve">. </w:t>
      </w:r>
    </w:p>
    <w:p w14:paraId="20B5BB35" w14:textId="2525C61D" w:rsidR="000B2A24" w:rsidRDefault="000B2A24" w:rsidP="000B2A24">
      <w:pPr>
        <w:pStyle w:val="Normlnweb"/>
      </w:pPr>
      <w:r>
        <w:t xml:space="preserve">S ohledem na dosažené výsledky za první pololetí letošního roku potvrzujeme naše očekávání celoročního ukazatele EBITDA v rozmezí </w:t>
      </w:r>
      <w:r w:rsidRPr="000B2A24">
        <w:t>1,22 až 1,38 miliardy Kč</w:t>
      </w:r>
      <w:r>
        <w:t>.</w:t>
      </w:r>
    </w:p>
    <w:p w14:paraId="3F6F9C45" w14:textId="74647808" w:rsidR="000B2A24" w:rsidRPr="000B2A24" w:rsidRDefault="000B2A24" w:rsidP="000B2A24">
      <w:pPr>
        <w:pStyle w:val="Normlnweb"/>
      </w:pPr>
      <w:r>
        <w:t xml:space="preserve">Hospodaření společnosti bylo v souladu s naším očekáváním, nicméně asi nejdůležitějším momentem </w:t>
      </w:r>
      <w:r w:rsidR="004C18D4">
        <w:t>posledních</w:t>
      </w:r>
      <w:r>
        <w:t xml:space="preserve"> měsíců byla akvizice </w:t>
      </w:r>
      <w:r w:rsidR="007B0350">
        <w:t>výrobce netkaných textilií</w:t>
      </w:r>
      <w:r w:rsidR="004C18D4">
        <w:t>,</w:t>
      </w:r>
      <w:r w:rsidR="007B0350">
        <w:t xml:space="preserve"> </w:t>
      </w:r>
      <w:r>
        <w:t>společnosti First Quality Nonwovens (FQN), kterou</w:t>
      </w:r>
      <w:r w:rsidR="007B0350">
        <w:t xml:space="preserve"> </w:t>
      </w:r>
      <w:r>
        <w:t xml:space="preserve">v květnu </w:t>
      </w:r>
      <w:r w:rsidRPr="000B2A24">
        <w:t xml:space="preserve">oznámil </w:t>
      </w:r>
      <w:r w:rsidR="007B0350">
        <w:t xml:space="preserve">a následně v červnu dokončil </w:t>
      </w:r>
      <w:r w:rsidRPr="000B2A24">
        <w:t xml:space="preserve">náš majoritní akcionář, </w:t>
      </w:r>
      <w:r w:rsidR="000E4F25">
        <w:t xml:space="preserve">family office </w:t>
      </w:r>
      <w:r w:rsidRPr="000B2A24">
        <w:t>R2G</w:t>
      </w:r>
      <w:r>
        <w:t xml:space="preserve">. </w:t>
      </w:r>
      <w:r w:rsidR="000E4F25">
        <w:t xml:space="preserve">Tím </w:t>
      </w:r>
      <w:r>
        <w:t>vznik</w:t>
      </w:r>
      <w:r w:rsidR="007B0350">
        <w:t>l</w:t>
      </w:r>
      <w:r>
        <w:t xml:space="preserve"> nový</w:t>
      </w:r>
      <w:r w:rsidRPr="000B2A24">
        <w:t xml:space="preserve"> globální výrobce netkaných textilií</w:t>
      </w:r>
      <w:r>
        <w:t xml:space="preserve"> PFNonwovens</w:t>
      </w:r>
      <w:r w:rsidR="00BA5DD9" w:rsidRPr="000B2A24">
        <w:t xml:space="preserve"> </w:t>
      </w:r>
      <w:r w:rsidR="00BA5DD9">
        <w:t xml:space="preserve">s </w:t>
      </w:r>
      <w:r w:rsidR="00BA5DD9" w:rsidRPr="000B2A24">
        <w:t>celkov</w:t>
      </w:r>
      <w:r w:rsidR="00BA5DD9">
        <w:t>ou</w:t>
      </w:r>
      <w:r w:rsidR="00BA5DD9" w:rsidRPr="000B2A24">
        <w:t xml:space="preserve"> roční produkc</w:t>
      </w:r>
      <w:r w:rsidR="00BA5DD9">
        <w:t>í</w:t>
      </w:r>
      <w:r w:rsidR="00BA5DD9" w:rsidRPr="000B2A24">
        <w:t xml:space="preserve"> přes</w:t>
      </w:r>
      <w:r w:rsidR="00BA5DD9">
        <w:t>ahující 210 </w:t>
      </w:r>
      <w:r w:rsidR="00BA5DD9" w:rsidRPr="000B2A24">
        <w:t>000 tun netkaných textilií</w:t>
      </w:r>
      <w:r w:rsidRPr="000B2A24">
        <w:t>, který svými výrobními závody pokr</w:t>
      </w:r>
      <w:r w:rsidR="004C18D4">
        <w:t>ývá</w:t>
      </w:r>
      <w:r w:rsidRPr="000B2A24">
        <w:t xml:space="preserve"> čtyři kontinenty, Evropu, Afriku, Severní Ameriku a Asii.</w:t>
      </w:r>
      <w:r w:rsidR="007749FD">
        <w:t xml:space="preserve"> Celá s</w:t>
      </w:r>
      <w:r w:rsidR="007749FD" w:rsidRPr="007749FD">
        <w:t>kupina</w:t>
      </w:r>
      <w:r w:rsidR="007749FD">
        <w:t xml:space="preserve"> podléh</w:t>
      </w:r>
      <w:r w:rsidR="00B10965">
        <w:t>á</w:t>
      </w:r>
      <w:r w:rsidR="007749FD">
        <w:t xml:space="preserve"> jednotnému řízení společnosti </w:t>
      </w:r>
      <w:r w:rsidR="007749FD" w:rsidRPr="007749FD">
        <w:t>PFNonwovens Holding s.r.o.</w:t>
      </w:r>
      <w:r w:rsidR="00B10965">
        <w:t xml:space="preserve"> a je </w:t>
      </w:r>
      <w:r w:rsidR="007749FD">
        <w:t>řízena jako koncern</w:t>
      </w:r>
      <w:r w:rsidR="007749FD" w:rsidRPr="007749FD">
        <w:t>.</w:t>
      </w:r>
    </w:p>
    <w:p w14:paraId="330B1D7E" w14:textId="4AC88B64" w:rsidR="007B0350" w:rsidRDefault="007B0350" w:rsidP="000C292F">
      <w:pPr>
        <w:pStyle w:val="Normlnweb"/>
      </w:pPr>
      <w:r>
        <w:t xml:space="preserve">V souvislosti s vytvořením nového koncernu PFNonwovens se sídlem v Praze dochází </w:t>
      </w:r>
      <w:r w:rsidR="00D800A9">
        <w:t>i ke změně korporátní identity, která postupně probíhá a bude dokončena v průběhu následujících týdnů.</w:t>
      </w:r>
    </w:p>
    <w:p w14:paraId="58F654D6" w14:textId="25866368" w:rsidR="00D800A9" w:rsidRDefault="00A722A4" w:rsidP="000C292F">
      <w:pPr>
        <w:pStyle w:val="Normlnweb"/>
      </w:pPr>
      <w:r>
        <w:t xml:space="preserve">Mimo tuto </w:t>
      </w:r>
      <w:r w:rsidR="007749FD">
        <w:t>významnou událost se samozřejmě zaměřujeme i na ostatní strategické projekty</w:t>
      </w:r>
      <w:r w:rsidR="00D800A9" w:rsidRPr="00D800A9">
        <w:t xml:space="preserve">. </w:t>
      </w:r>
      <w:r w:rsidR="00AB6449">
        <w:t xml:space="preserve">V </w:t>
      </w:r>
      <w:r w:rsidR="00D800A9" w:rsidRPr="00D800A9">
        <w:t xml:space="preserve">Jižní Africe </w:t>
      </w:r>
      <w:r w:rsidR="00AB6449">
        <w:t>je výstavba závodu ve fázi hrubé stavby</w:t>
      </w:r>
      <w:r w:rsidR="007749FD">
        <w:t xml:space="preserve"> a vše </w:t>
      </w:r>
      <w:r w:rsidR="00D800A9" w:rsidRPr="00D800A9">
        <w:t xml:space="preserve">pokračuje v souladu s plánem. </w:t>
      </w:r>
      <w:r w:rsidR="007749FD">
        <w:t xml:space="preserve">Zahájení </w:t>
      </w:r>
      <w:r w:rsidR="007749FD">
        <w:lastRenderedPageBreak/>
        <w:t xml:space="preserve">montáže očekáváme v průběhu listopadu a první komerční dodávky koncem prvního pololetí příštího roku. </w:t>
      </w:r>
    </w:p>
    <w:p w14:paraId="2946668A" w14:textId="18A342C3" w:rsidR="000C292F" w:rsidRPr="006C048C" w:rsidRDefault="00594046" w:rsidP="007749FD">
      <w:pPr>
        <w:pStyle w:val="Normlnweb"/>
      </w:pPr>
      <w:r>
        <w:t xml:space="preserve">Náš další projekt, </w:t>
      </w:r>
      <w:r w:rsidR="00D800A9">
        <w:t>no</w:t>
      </w:r>
      <w:r w:rsidR="00BA5DD9">
        <w:t xml:space="preserve">vá semikomerční linka </w:t>
      </w:r>
      <w:r>
        <w:t xml:space="preserve">pro závod ve Znojmě-Příměticích, se rovněž dostává do stavební fáze. </w:t>
      </w:r>
      <w:r w:rsidRPr="0052686C">
        <w:t>V </w:t>
      </w:r>
      <w:r w:rsidRPr="00FA5E46">
        <w:t>nejbližších měsících</w:t>
      </w:r>
      <w:r>
        <w:t xml:space="preserve"> začnou probíhat stavební úpravy ve výrobně-skladové hale ve Znojmě-Příměticích</w:t>
      </w:r>
      <w:r w:rsidR="00086BD4">
        <w:t>, na které v lednu příštího roku naváže</w:t>
      </w:r>
      <w:r>
        <w:t xml:space="preserve"> instalace nové linky. Předpokládáme, že linku spustíme do komerčního provozu v průběhu třetího čtvrtletí 2019</w:t>
      </w:r>
      <w:r w:rsidR="00BA5DD9">
        <w:t>,</w:t>
      </w:r>
      <w:r w:rsidR="000C292F" w:rsidRPr="000B2A24">
        <w:t>“</w:t>
      </w:r>
      <w:r w:rsidR="00BA5DD9">
        <w:t xml:space="preserve"> řekl František Řezáč, generální ředitel a předseda představenstva PFNonwovens a.s. </w:t>
      </w:r>
    </w:p>
    <w:p w14:paraId="6FA42B54" w14:textId="77777777" w:rsidR="000C292F" w:rsidRPr="006C048C" w:rsidRDefault="000C292F" w:rsidP="000C292F">
      <w:pPr>
        <w:pStyle w:val="Nadpis1"/>
        <w:spacing w:before="100" w:after="100"/>
        <w:sectPr w:rsidR="000C292F" w:rsidRPr="006C048C" w:rsidSect="00E431E6">
          <w:pgSz w:w="11906" w:h="16838"/>
          <w:pgMar w:top="1417" w:right="1417" w:bottom="1417" w:left="1417" w:header="708" w:footer="708" w:gutter="0"/>
          <w:cols w:num="2" w:space="708"/>
          <w:docGrid w:linePitch="360"/>
        </w:sectPr>
      </w:pPr>
      <w:bookmarkStart w:id="10" w:name="_Toc269907486"/>
    </w:p>
    <w:p w14:paraId="081F1E0B" w14:textId="77777777" w:rsidR="000C292F" w:rsidRPr="006C048C" w:rsidRDefault="000C292F" w:rsidP="000C292F">
      <w:pPr>
        <w:pStyle w:val="Nadpis1"/>
        <w:spacing w:before="100" w:after="100"/>
        <w:jc w:val="left"/>
      </w:pPr>
      <w:bookmarkStart w:id="11" w:name="_Toc522086605"/>
      <w:r w:rsidRPr="006C048C">
        <w:lastRenderedPageBreak/>
        <w:t>Mezitímní zpráva o podnikání za první pololetí 201</w:t>
      </w:r>
      <w:bookmarkEnd w:id="10"/>
      <w:r w:rsidRPr="006C048C">
        <w:t>8</w:t>
      </w:r>
      <w:bookmarkEnd w:id="11"/>
    </w:p>
    <w:p w14:paraId="2CD04E76" w14:textId="77777777" w:rsidR="000C292F" w:rsidRPr="006C048C" w:rsidRDefault="000C292F" w:rsidP="000C292F"/>
    <w:p w14:paraId="4E5EBCC3" w14:textId="77777777" w:rsidR="000C292F" w:rsidRPr="006C048C" w:rsidRDefault="000C292F" w:rsidP="000C292F">
      <w:pPr>
        <w:sectPr w:rsidR="000C292F" w:rsidRPr="006C048C" w:rsidSect="00E431E6">
          <w:pgSz w:w="11906" w:h="16838"/>
          <w:pgMar w:top="1417" w:right="1417" w:bottom="1417" w:left="1417" w:header="708" w:footer="708" w:gutter="0"/>
          <w:cols w:space="708"/>
          <w:docGrid w:linePitch="360"/>
        </w:sectPr>
      </w:pPr>
    </w:p>
    <w:p w14:paraId="237C7203" w14:textId="77777777" w:rsidR="000C292F" w:rsidRPr="006C048C" w:rsidRDefault="000C292F" w:rsidP="000C292F">
      <w:pPr>
        <w:pStyle w:val="Nadpis2"/>
        <w:spacing w:before="100" w:after="100"/>
      </w:pPr>
      <w:bookmarkStart w:id="12" w:name="_Toc269907487"/>
      <w:bookmarkStart w:id="13" w:name="_Toc522086606"/>
      <w:r w:rsidRPr="00D63F98">
        <w:lastRenderedPageBreak/>
        <w:t>Finanční výsledky za první pololetí 201</w:t>
      </w:r>
      <w:bookmarkEnd w:id="12"/>
      <w:r w:rsidRPr="00D63F98">
        <w:t>8</w:t>
      </w:r>
      <w:bookmarkEnd w:id="13"/>
    </w:p>
    <w:p w14:paraId="782EA983" w14:textId="77777777" w:rsidR="000C292F" w:rsidRPr="00F7306C" w:rsidRDefault="000C292F" w:rsidP="000C292F">
      <w:pPr>
        <w:pStyle w:val="Nadpis4"/>
      </w:pPr>
      <w:r w:rsidRPr="00F7306C">
        <w:t>Výnosy, náklady a EBITDA</w:t>
      </w:r>
    </w:p>
    <w:p w14:paraId="5F709337" w14:textId="16486A39" w:rsidR="000561B4" w:rsidRDefault="000C292F" w:rsidP="000561B4">
      <w:r w:rsidRPr="006C048C">
        <w:t>V první polovině roku 201</w:t>
      </w:r>
      <w:r w:rsidR="00D63F98">
        <w:t>8</w:t>
      </w:r>
      <w:r w:rsidRPr="006C048C">
        <w:t xml:space="preserve"> dosáhly konsolidované výnosy (tržby z prodeje vlastních výrobků) </w:t>
      </w:r>
      <w:r w:rsidR="00D63F98">
        <w:t>2 984</w:t>
      </w:r>
      <w:r w:rsidRPr="006C048C">
        <w:t>,</w:t>
      </w:r>
      <w:r w:rsidR="00D63F98">
        <w:t>2</w:t>
      </w:r>
      <w:r w:rsidRPr="006C048C">
        <w:t xml:space="preserve"> milionu </w:t>
      </w:r>
      <w:r w:rsidR="00D63F98">
        <w:t>Kč</w:t>
      </w:r>
      <w:r w:rsidRPr="006C048C">
        <w:t xml:space="preserve">, což představuje meziroční </w:t>
      </w:r>
      <w:r w:rsidR="00D63F98">
        <w:t xml:space="preserve">pokles </w:t>
      </w:r>
      <w:r w:rsidRPr="006C048C">
        <w:t xml:space="preserve">o </w:t>
      </w:r>
      <w:r w:rsidR="00D63F98">
        <w:t>0</w:t>
      </w:r>
      <w:r w:rsidRPr="006C048C">
        <w:t>,</w:t>
      </w:r>
      <w:r w:rsidR="00D63F98">
        <w:t>3</w:t>
      </w:r>
      <w:r w:rsidRPr="006C048C">
        <w:t xml:space="preserve"> %. Celkové konsolidované výnosy dosáhly ve druhém čtvrtletí tohoto roku </w:t>
      </w:r>
      <w:r w:rsidR="00D63F98" w:rsidRPr="006C048C">
        <w:t>1</w:t>
      </w:r>
      <w:r w:rsidR="00D63F98">
        <w:t xml:space="preserve"> 523</w:t>
      </w:r>
      <w:r w:rsidR="00D63F98" w:rsidRPr="006C048C">
        <w:t>,</w:t>
      </w:r>
      <w:r w:rsidR="00D63F98">
        <w:t>9</w:t>
      </w:r>
      <w:r w:rsidRPr="006C048C">
        <w:t xml:space="preserve"> milionu </w:t>
      </w:r>
      <w:r w:rsidR="003405CE">
        <w:t>K</w:t>
      </w:r>
      <w:r w:rsidR="000561B4">
        <w:t>č</w:t>
      </w:r>
      <w:r w:rsidRPr="006C048C">
        <w:t xml:space="preserve">, tj. o </w:t>
      </w:r>
      <w:r w:rsidR="00D63F98">
        <w:t>2</w:t>
      </w:r>
      <w:r w:rsidRPr="006C048C">
        <w:t>,</w:t>
      </w:r>
      <w:r w:rsidR="00D63F98">
        <w:t>6</w:t>
      </w:r>
      <w:r w:rsidRPr="006C048C">
        <w:t xml:space="preserve"> % více ve srovnání se stejným obdobím minulého roku. </w:t>
      </w:r>
      <w:r w:rsidR="00D63F98" w:rsidRPr="005A54C3">
        <w:t xml:space="preserve">Objem prodejů v tunách meziročně </w:t>
      </w:r>
      <w:r w:rsidR="000561B4">
        <w:t xml:space="preserve">vzrostl </w:t>
      </w:r>
      <w:r w:rsidR="005A54C3" w:rsidRPr="005A54C3">
        <w:t>v souladu s nárůstem produkce</w:t>
      </w:r>
      <w:r w:rsidR="00D63F98" w:rsidRPr="005A54C3">
        <w:t xml:space="preserve"> z důvodu spuštění výrobní kapacity v druhém čtvrtletí 2017. Negativní dopad na tržby vyjádřené v Kč mělo posílení kurzu Kč, vzhledem ke skutečnosti, že převážná většina tržeb Společnosti je realizována v EUR.</w:t>
      </w:r>
      <w:r w:rsidR="00D63F98">
        <w:t xml:space="preserve"> </w:t>
      </w:r>
    </w:p>
    <w:p w14:paraId="4DD189D3" w14:textId="4A44F886" w:rsidR="000C292F" w:rsidRPr="006C048C" w:rsidRDefault="000561B4" w:rsidP="000561B4">
      <w:r w:rsidRPr="000561B4">
        <w:t>Celkové konsolidované provozní náklady bez odpisů (netto) v prvním pololetí roku 2018 mezir</w:t>
      </w:r>
      <w:r>
        <w:t>očně klesly o 4,7 % na částku 2 </w:t>
      </w:r>
      <w:r w:rsidRPr="000561B4">
        <w:t xml:space="preserve">322,1 milionu Kč. V samotném druhém čtvrtletí roku 2018 konsolidované provozní náklady bez odpisů (netto) činily 1 188,9 milionu Kč, což je o 3,7 % meziročně méně. Důvodem pro pokles provozních nákladů </w:t>
      </w:r>
      <w:r>
        <w:t xml:space="preserve">vyjádřených v Kč </w:t>
      </w:r>
      <w:r w:rsidRPr="000561B4">
        <w:t>byl</w:t>
      </w:r>
      <w:r>
        <w:t>o</w:t>
      </w:r>
      <w:r w:rsidRPr="000561B4">
        <w:t xml:space="preserve"> přede</w:t>
      </w:r>
      <w:r>
        <w:t>vším meziroční posílení kurzu české měny</w:t>
      </w:r>
      <w:r w:rsidRPr="000561B4">
        <w:t xml:space="preserve">, což mělo pozitivní vliv zejména na náklady na vstupní suroviny, které jsou nakupovány v EUR.  </w:t>
      </w:r>
      <w:r w:rsidR="00D63F98">
        <w:cr/>
      </w:r>
      <w:r w:rsidR="00C325FC">
        <w:t xml:space="preserve"> </w:t>
      </w:r>
      <w:r w:rsidR="00C325FC">
        <w:cr/>
      </w:r>
      <w:r w:rsidR="000C292F" w:rsidRPr="006C048C">
        <w:t>EBITDA dosáhla v prvním pololetí roku 201</w:t>
      </w:r>
      <w:r w:rsidR="00C325FC">
        <w:t>8</w:t>
      </w:r>
      <w:r w:rsidR="000C292F" w:rsidRPr="006C048C">
        <w:t xml:space="preserve"> hodnoty </w:t>
      </w:r>
      <w:r w:rsidR="00C325FC">
        <w:t>662</w:t>
      </w:r>
      <w:r w:rsidR="000C292F" w:rsidRPr="006C048C">
        <w:t>,</w:t>
      </w:r>
      <w:r w:rsidR="00C325FC">
        <w:t>1</w:t>
      </w:r>
      <w:r w:rsidR="000C292F" w:rsidRPr="006C048C">
        <w:t xml:space="preserve"> milionu </w:t>
      </w:r>
      <w:r w:rsidR="00C325FC">
        <w:t>Kč</w:t>
      </w:r>
      <w:r w:rsidR="000C292F" w:rsidRPr="006C048C">
        <w:t xml:space="preserve">, meziročně o </w:t>
      </w:r>
      <w:r w:rsidR="00C325FC">
        <w:t>1</w:t>
      </w:r>
      <w:r w:rsidR="000C292F" w:rsidRPr="006C048C">
        <w:t>9,</w:t>
      </w:r>
      <w:r w:rsidR="00C325FC">
        <w:t>3</w:t>
      </w:r>
      <w:r w:rsidR="000C292F" w:rsidRPr="006C048C">
        <w:t xml:space="preserve"> % </w:t>
      </w:r>
      <w:r w:rsidR="00C325FC">
        <w:t>více</w:t>
      </w:r>
      <w:r w:rsidR="000C292F" w:rsidRPr="006C048C">
        <w:t xml:space="preserve">. </w:t>
      </w:r>
      <w:r>
        <w:t xml:space="preserve">K meziročnímu nárůstu EBITDA přispělo zejména zprovoznění nové </w:t>
      </w:r>
      <w:r>
        <w:lastRenderedPageBreak/>
        <w:t xml:space="preserve">výrobní kapacity v druhém čtvrtletí 2017. Mechanismus přenesení cen vstupních materiálů měl rovněž pozitivní vliv, když ceny polymerů v prvním pololetí letošního roku spíše stagnovaly oproti růstu cen polymerů v prvním pololetí loňského roku. K výraznějšímu nárůstu cenových indexů polymerů došlo až v průběhu června, tento nárůst se však do provozního hospodaření Společnosti promítne až se zpožděním. </w:t>
      </w:r>
      <w:r w:rsidR="00ED611C">
        <w:t>Příznivě působil v meziročním srovnání d</w:t>
      </w:r>
      <w:r>
        <w:t>opad přecenění opčního akciového plánu</w:t>
      </w:r>
      <w:r w:rsidR="00ED611C">
        <w:t>, který</w:t>
      </w:r>
      <w:r w:rsidR="000C292F" w:rsidRPr="006C048C">
        <w:t xml:space="preserve"> v prvním pololetí 201</w:t>
      </w:r>
      <w:r w:rsidR="00C325FC">
        <w:t>8</w:t>
      </w:r>
      <w:r w:rsidR="000C292F" w:rsidRPr="006C048C">
        <w:t xml:space="preserve"> představoval náklad ve výši </w:t>
      </w:r>
      <w:r w:rsidR="00C325FC">
        <w:t>5</w:t>
      </w:r>
      <w:r w:rsidR="000C292F" w:rsidRPr="006C048C">
        <w:t>,</w:t>
      </w:r>
      <w:r w:rsidR="00C325FC">
        <w:t>4</w:t>
      </w:r>
      <w:r w:rsidR="000C292F" w:rsidRPr="006C048C">
        <w:t xml:space="preserve"> milionu </w:t>
      </w:r>
      <w:r w:rsidR="00C325FC">
        <w:t xml:space="preserve">Kč </w:t>
      </w:r>
      <w:r w:rsidR="000C292F" w:rsidRPr="006C048C">
        <w:t xml:space="preserve">oproti nákladu ve výši </w:t>
      </w:r>
      <w:r w:rsidR="00C325FC">
        <w:t>22</w:t>
      </w:r>
      <w:r w:rsidR="000C292F" w:rsidRPr="006C048C">
        <w:t>,</w:t>
      </w:r>
      <w:r w:rsidR="00C325FC">
        <w:t>6</w:t>
      </w:r>
      <w:r w:rsidR="000C292F" w:rsidRPr="006C048C">
        <w:t xml:space="preserve"> milionu </w:t>
      </w:r>
      <w:r w:rsidR="00C325FC">
        <w:t xml:space="preserve">Kč </w:t>
      </w:r>
      <w:r w:rsidR="000C292F" w:rsidRPr="006C048C">
        <w:t>za první pololetí 201</w:t>
      </w:r>
      <w:r w:rsidR="00C325FC">
        <w:t>7</w:t>
      </w:r>
      <w:r w:rsidR="000C292F" w:rsidRPr="006C048C">
        <w:t xml:space="preserve">. EBITDA upravená o vliv přecenění opčního akciového plánu tedy meziročně </w:t>
      </w:r>
      <w:r w:rsidR="00C325FC">
        <w:t xml:space="preserve">vzrostla </w:t>
      </w:r>
      <w:r w:rsidR="000C292F" w:rsidRPr="006C048C">
        <w:t xml:space="preserve">o </w:t>
      </w:r>
      <w:r w:rsidR="00C325FC">
        <w:t>15</w:t>
      </w:r>
      <w:r w:rsidR="000C292F" w:rsidRPr="006C048C">
        <w:t xml:space="preserve">,6 % na </w:t>
      </w:r>
      <w:r w:rsidR="00C325FC">
        <w:t>667</w:t>
      </w:r>
      <w:r w:rsidR="000C292F" w:rsidRPr="006C048C">
        <w:t>,</w:t>
      </w:r>
      <w:r w:rsidR="00C325FC">
        <w:t>4</w:t>
      </w:r>
      <w:r w:rsidR="000C292F" w:rsidRPr="006C048C">
        <w:t xml:space="preserve"> milionu </w:t>
      </w:r>
      <w:r w:rsidR="00C325FC">
        <w:t>Kč</w:t>
      </w:r>
      <w:r w:rsidR="000C292F" w:rsidRPr="006C048C">
        <w:t xml:space="preserve">.  </w:t>
      </w:r>
    </w:p>
    <w:p w14:paraId="7AA13BD7" w14:textId="69500DD8" w:rsidR="000C292F" w:rsidRPr="006C048C" w:rsidRDefault="000C292F" w:rsidP="000C292F">
      <w:pPr>
        <w:pStyle w:val="Normlnweb"/>
      </w:pPr>
      <w:r w:rsidRPr="006C048C">
        <w:t>EBITDA marže dosáhla v prvním pololetí roku 201</w:t>
      </w:r>
      <w:r w:rsidR="00C325FC">
        <w:t>8</w:t>
      </w:r>
      <w:r w:rsidRPr="006C048C">
        <w:t xml:space="preserve"> </w:t>
      </w:r>
      <w:r w:rsidR="00C325FC">
        <w:t>22</w:t>
      </w:r>
      <w:r w:rsidRPr="006C048C">
        <w:t>,</w:t>
      </w:r>
      <w:r w:rsidR="00C325FC">
        <w:t>2</w:t>
      </w:r>
      <w:r w:rsidRPr="006C048C">
        <w:t xml:space="preserve"> %, tj. o </w:t>
      </w:r>
      <w:r w:rsidR="00C325FC">
        <w:t>3</w:t>
      </w:r>
      <w:r w:rsidRPr="006C048C">
        <w:t>,</w:t>
      </w:r>
      <w:r w:rsidR="00C325FC">
        <w:t>6</w:t>
      </w:r>
      <w:r w:rsidRPr="006C048C">
        <w:t xml:space="preserve"> procentního bodu </w:t>
      </w:r>
      <w:r w:rsidR="00C325FC">
        <w:t xml:space="preserve">více </w:t>
      </w:r>
      <w:r w:rsidRPr="006C048C">
        <w:t>než ve stejném období roku 201</w:t>
      </w:r>
      <w:r w:rsidR="00C325FC">
        <w:t>7</w:t>
      </w:r>
      <w:r w:rsidRPr="006C048C">
        <w:t>. EBITDA marže upravená o vliv přecenění opčního akciového plánu dosáhla v prvním pololetí roku 201</w:t>
      </w:r>
      <w:r w:rsidR="00C325FC">
        <w:t>8</w:t>
      </w:r>
      <w:r w:rsidRPr="006C048C">
        <w:t xml:space="preserve"> </w:t>
      </w:r>
      <w:r w:rsidR="00C325FC">
        <w:t>22</w:t>
      </w:r>
      <w:r w:rsidRPr="006C048C">
        <w:t>,</w:t>
      </w:r>
      <w:r w:rsidR="00C325FC">
        <w:t>4</w:t>
      </w:r>
      <w:r w:rsidRPr="006C048C">
        <w:t xml:space="preserve"> %, tj. o </w:t>
      </w:r>
      <w:r w:rsidR="00C325FC">
        <w:t>3</w:t>
      </w:r>
      <w:r w:rsidRPr="006C048C">
        <w:t>,</w:t>
      </w:r>
      <w:r w:rsidR="00C325FC">
        <w:t>1</w:t>
      </w:r>
      <w:r w:rsidRPr="006C048C">
        <w:t xml:space="preserve"> procentního bodu </w:t>
      </w:r>
      <w:r w:rsidR="00C325FC">
        <w:t xml:space="preserve">více </w:t>
      </w:r>
      <w:r w:rsidRPr="006C048C">
        <w:t>než ve stejném období roku 201</w:t>
      </w:r>
      <w:r w:rsidR="00C325FC">
        <w:t>7</w:t>
      </w:r>
      <w:r w:rsidRPr="006C048C">
        <w:t>.</w:t>
      </w:r>
    </w:p>
    <w:p w14:paraId="16819F4B" w14:textId="17F9FB61" w:rsidR="000C292F" w:rsidRPr="006C048C" w:rsidRDefault="000C292F" w:rsidP="000C292F">
      <w:pPr>
        <w:pStyle w:val="Normlnweb"/>
        <w:rPr>
          <w:highlight w:val="yellow"/>
        </w:rPr>
      </w:pPr>
      <w:r w:rsidRPr="006C048C" w:rsidDel="007D31AF">
        <w:t>EBITDA v</w:t>
      </w:r>
      <w:r w:rsidRPr="006C048C">
        <w:t>e</w:t>
      </w:r>
      <w:r w:rsidRPr="006C048C" w:rsidDel="007D31AF">
        <w:t> druhém čtvrtl</w:t>
      </w:r>
      <w:r w:rsidRPr="006C048C">
        <w:t>etí roku 201</w:t>
      </w:r>
      <w:r w:rsidR="00C325FC">
        <w:t>8</w:t>
      </w:r>
      <w:r w:rsidRPr="006C048C" w:rsidDel="007D31AF">
        <w:t xml:space="preserve"> činila </w:t>
      </w:r>
      <w:r w:rsidR="00C325FC">
        <w:t>335</w:t>
      </w:r>
      <w:r w:rsidRPr="006C048C">
        <w:t>,</w:t>
      </w:r>
      <w:r w:rsidR="00C325FC">
        <w:t>0</w:t>
      </w:r>
      <w:r w:rsidRPr="006C048C">
        <w:t xml:space="preserve"> milionu</w:t>
      </w:r>
      <w:r w:rsidRPr="006C048C" w:rsidDel="007D31AF">
        <w:t xml:space="preserve"> </w:t>
      </w:r>
      <w:r w:rsidR="00C325FC">
        <w:t>Kč</w:t>
      </w:r>
      <w:r w:rsidRPr="006C048C" w:rsidDel="007D31AF">
        <w:t xml:space="preserve">, tj. o </w:t>
      </w:r>
      <w:r w:rsidR="00C325FC">
        <w:t>33</w:t>
      </w:r>
      <w:r w:rsidRPr="006C048C">
        <w:t>,</w:t>
      </w:r>
      <w:r w:rsidR="00C325FC">
        <w:t>5</w:t>
      </w:r>
      <w:r w:rsidRPr="006C048C" w:rsidDel="007D31AF">
        <w:t xml:space="preserve"> % meziročně </w:t>
      </w:r>
      <w:r w:rsidR="00C325FC">
        <w:t>více</w:t>
      </w:r>
      <w:r w:rsidR="00ED611C">
        <w:t xml:space="preserve">. </w:t>
      </w:r>
      <w:r w:rsidRPr="006C048C">
        <w:t>Přecenění opčního akciového programu ve druhém čtvrtletí 201</w:t>
      </w:r>
      <w:r w:rsidR="00C325FC">
        <w:t>8</w:t>
      </w:r>
      <w:r w:rsidRPr="006C048C">
        <w:t xml:space="preserve"> představovalo náklad ve výši </w:t>
      </w:r>
      <w:r w:rsidR="00C325FC">
        <w:t>1</w:t>
      </w:r>
      <w:r w:rsidRPr="006C048C">
        <w:t>,</w:t>
      </w:r>
      <w:r w:rsidR="00C325FC">
        <w:t>5</w:t>
      </w:r>
      <w:r w:rsidRPr="006C048C">
        <w:t xml:space="preserve"> milionu </w:t>
      </w:r>
      <w:r w:rsidR="00C325FC">
        <w:t xml:space="preserve">Kč </w:t>
      </w:r>
      <w:r w:rsidRPr="006C048C">
        <w:t xml:space="preserve">ve srovnání s nákladem ve výši </w:t>
      </w:r>
      <w:r w:rsidR="00C325FC">
        <w:t>16</w:t>
      </w:r>
      <w:r w:rsidRPr="006C048C">
        <w:t>,</w:t>
      </w:r>
      <w:r w:rsidR="00C325FC">
        <w:t>6</w:t>
      </w:r>
      <w:r w:rsidRPr="006C048C">
        <w:t xml:space="preserve"> milionu </w:t>
      </w:r>
      <w:r w:rsidR="00C325FC">
        <w:t xml:space="preserve">Kč </w:t>
      </w:r>
      <w:r w:rsidRPr="006C048C">
        <w:t xml:space="preserve">ve srovnatelném období předchozího roku. EBITDA upravená o tento vliv meziročně </w:t>
      </w:r>
      <w:r w:rsidR="00C325FC">
        <w:t>vzrostla</w:t>
      </w:r>
      <w:r w:rsidRPr="006C048C">
        <w:t xml:space="preserve"> o </w:t>
      </w:r>
      <w:r w:rsidR="00C325FC">
        <w:t>25</w:t>
      </w:r>
      <w:r w:rsidRPr="006C048C">
        <w:t>,</w:t>
      </w:r>
      <w:r w:rsidR="00C325FC">
        <w:t>8</w:t>
      </w:r>
      <w:r w:rsidRPr="006C048C">
        <w:t xml:space="preserve"> % na hodnotu </w:t>
      </w:r>
      <w:r w:rsidR="00C325FC">
        <w:t>336,5</w:t>
      </w:r>
      <w:r w:rsidRPr="006C048C">
        <w:t xml:space="preserve"> milionu </w:t>
      </w:r>
      <w:r w:rsidR="00C325FC">
        <w:t>Kč</w:t>
      </w:r>
      <w:r w:rsidRPr="006C048C">
        <w:t xml:space="preserve">. </w:t>
      </w:r>
    </w:p>
    <w:p w14:paraId="05C8C136" w14:textId="50FD7AFE" w:rsidR="000C292F" w:rsidRPr="006C048C" w:rsidRDefault="000C292F" w:rsidP="000C292F">
      <w:pPr>
        <w:pStyle w:val="Normlnweb"/>
      </w:pPr>
      <w:r w:rsidRPr="006C048C">
        <w:lastRenderedPageBreak/>
        <w:t>EBITDA marže ve druhém čtvrtletí roku 201</w:t>
      </w:r>
      <w:r w:rsidR="00C325FC">
        <w:t>8</w:t>
      </w:r>
      <w:r w:rsidRPr="006C048C">
        <w:t xml:space="preserve"> činila </w:t>
      </w:r>
      <w:r w:rsidR="00C325FC">
        <w:t>22</w:t>
      </w:r>
      <w:r w:rsidRPr="006C048C">
        <w:t>,</w:t>
      </w:r>
      <w:r w:rsidR="00C325FC">
        <w:t>0</w:t>
      </w:r>
      <w:r w:rsidRPr="006C048C">
        <w:t xml:space="preserve"> %, o </w:t>
      </w:r>
      <w:r w:rsidR="00C325FC">
        <w:t>5</w:t>
      </w:r>
      <w:r w:rsidRPr="006C048C">
        <w:t>,</w:t>
      </w:r>
      <w:r w:rsidR="00C325FC">
        <w:t>1</w:t>
      </w:r>
      <w:r w:rsidRPr="006C048C">
        <w:t xml:space="preserve"> procentního bodu </w:t>
      </w:r>
      <w:r w:rsidR="00C325FC">
        <w:t xml:space="preserve">více </w:t>
      </w:r>
      <w:r w:rsidRPr="006C048C">
        <w:t>než v přechozím roce. EBITDA marže upravená o vliv přecenění opčního akciového plánu dosáhla ve druhém čtvrtletí roku 201</w:t>
      </w:r>
      <w:r w:rsidR="00C325FC">
        <w:t>8</w:t>
      </w:r>
      <w:r w:rsidRPr="006C048C">
        <w:t xml:space="preserve"> </w:t>
      </w:r>
      <w:r w:rsidR="00C325FC">
        <w:t>22</w:t>
      </w:r>
      <w:r w:rsidRPr="006C048C">
        <w:t>,</w:t>
      </w:r>
      <w:r w:rsidR="00C325FC">
        <w:t>1</w:t>
      </w:r>
      <w:r w:rsidRPr="006C048C">
        <w:t xml:space="preserve"> %, tj. o 4,</w:t>
      </w:r>
      <w:r w:rsidR="00C325FC">
        <w:t>1</w:t>
      </w:r>
      <w:r w:rsidRPr="006C048C">
        <w:t xml:space="preserve"> procentního bodu </w:t>
      </w:r>
      <w:r w:rsidR="00C325FC">
        <w:t xml:space="preserve">více </w:t>
      </w:r>
      <w:r w:rsidRPr="006C048C">
        <w:t>než ve stejném období roku 201</w:t>
      </w:r>
      <w:r w:rsidR="00C325FC">
        <w:t>7</w:t>
      </w:r>
      <w:r w:rsidRPr="006C048C">
        <w:t>.</w:t>
      </w:r>
    </w:p>
    <w:p w14:paraId="4AA2B272" w14:textId="77777777" w:rsidR="000C292F" w:rsidRPr="00FF5DE7" w:rsidRDefault="000C292F" w:rsidP="000C292F">
      <w:pPr>
        <w:pStyle w:val="Nadpis4"/>
        <w:rPr>
          <w:i/>
        </w:rPr>
      </w:pPr>
      <w:r w:rsidRPr="00FF5DE7">
        <w:rPr>
          <w:rStyle w:val="Zdraznn"/>
          <w:i w:val="0"/>
        </w:rPr>
        <w:t>Provozní náklady</w:t>
      </w:r>
    </w:p>
    <w:p w14:paraId="5EA4AAB6" w14:textId="5977E4F8" w:rsidR="000C292F" w:rsidRPr="006C048C" w:rsidRDefault="000C292F" w:rsidP="00ED611C">
      <w:pPr>
        <w:pStyle w:val="Normlnweb"/>
      </w:pPr>
      <w:r w:rsidRPr="006C048C">
        <w:t xml:space="preserve">Celková spotřeba materiálů a ostatní spotřeba dosáhla v první polovině tohoto roku </w:t>
      </w:r>
      <w:r w:rsidR="001F7F70">
        <w:t>2 147</w:t>
      </w:r>
      <w:r w:rsidRPr="006C048C">
        <w:t>,</w:t>
      </w:r>
      <w:r w:rsidR="001F7F70">
        <w:t>0</w:t>
      </w:r>
      <w:r w:rsidRPr="006C048C">
        <w:t xml:space="preserve"> milionu </w:t>
      </w:r>
      <w:r w:rsidR="001F7F70">
        <w:t>Kč</w:t>
      </w:r>
      <w:r w:rsidRPr="006C048C">
        <w:t xml:space="preserve">, tj. meziročně o </w:t>
      </w:r>
      <w:r w:rsidR="001F7F70">
        <w:t>4</w:t>
      </w:r>
      <w:r w:rsidRPr="006C048C">
        <w:t>,</w:t>
      </w:r>
      <w:r w:rsidR="001F7F70">
        <w:t>4</w:t>
      </w:r>
      <w:r w:rsidRPr="006C048C">
        <w:t xml:space="preserve"> % </w:t>
      </w:r>
      <w:r w:rsidR="001F7F70">
        <w:t>méně</w:t>
      </w:r>
      <w:r w:rsidRPr="006C048C">
        <w:t>. V samotném druhém čtvrtletí 201</w:t>
      </w:r>
      <w:r w:rsidR="001F7F70">
        <w:t>8</w:t>
      </w:r>
      <w:r w:rsidRPr="006C048C">
        <w:t xml:space="preserve"> tato položka činila </w:t>
      </w:r>
      <w:r w:rsidR="001F7F70">
        <w:t>1 103</w:t>
      </w:r>
      <w:r w:rsidRPr="006C048C">
        <w:t>,</w:t>
      </w:r>
      <w:r w:rsidR="001F7F70">
        <w:t>8</w:t>
      </w:r>
      <w:r w:rsidRPr="006C048C">
        <w:t xml:space="preserve"> milionu </w:t>
      </w:r>
      <w:r w:rsidR="001F7F70">
        <w:t>Kč</w:t>
      </w:r>
      <w:r w:rsidRPr="006C048C">
        <w:t xml:space="preserve">, což je o </w:t>
      </w:r>
      <w:r w:rsidR="001F7F70">
        <w:t>2</w:t>
      </w:r>
      <w:r w:rsidRPr="006C048C">
        <w:t>,</w:t>
      </w:r>
      <w:r w:rsidR="001F7F70">
        <w:t>0</w:t>
      </w:r>
      <w:r w:rsidRPr="006C048C">
        <w:t xml:space="preserve"> % </w:t>
      </w:r>
      <w:r w:rsidR="001F7F70">
        <w:t xml:space="preserve">méně </w:t>
      </w:r>
      <w:r w:rsidRPr="006C048C">
        <w:t xml:space="preserve">v porovnání se stejným obdobím minulého roku. </w:t>
      </w:r>
      <w:r w:rsidR="00ED611C">
        <w:t xml:space="preserve">Důvodem pro pokles bylo zejména posílení kurzu Kč, i </w:t>
      </w:r>
      <w:r w:rsidR="00ED611C" w:rsidRPr="00ED611C">
        <w:t xml:space="preserve">přes </w:t>
      </w:r>
      <w:r w:rsidRPr="00ED611C">
        <w:t>vyšší nákupní ceny polymerů v meziročním srovnání.</w:t>
      </w:r>
      <w:r w:rsidRPr="006C048C">
        <w:t xml:space="preserve"> </w:t>
      </w:r>
    </w:p>
    <w:p w14:paraId="6E35F19D" w14:textId="7622749B" w:rsidR="000C292F" w:rsidRPr="006C048C" w:rsidRDefault="000C292F" w:rsidP="000C292F">
      <w:pPr>
        <w:pStyle w:val="Normlnweb"/>
      </w:pPr>
      <w:r w:rsidRPr="006C048C">
        <w:t>Celkové osobní náklady dosáhly v prvním pololetí 201</w:t>
      </w:r>
      <w:r w:rsidR="001F7F70">
        <w:t>8</w:t>
      </w:r>
      <w:r w:rsidRPr="006C048C">
        <w:t xml:space="preserve"> </w:t>
      </w:r>
      <w:r w:rsidR="001F7F70">
        <w:t>173</w:t>
      </w:r>
      <w:r w:rsidRPr="006C048C">
        <w:t>,</w:t>
      </w:r>
      <w:r w:rsidR="001F7F70">
        <w:t>0</w:t>
      </w:r>
      <w:r w:rsidRPr="006C048C">
        <w:t xml:space="preserve"> milionu </w:t>
      </w:r>
      <w:r w:rsidR="001F7F70">
        <w:t>Kč</w:t>
      </w:r>
      <w:r w:rsidRPr="006C048C">
        <w:t xml:space="preserve">, tj. meziročně o </w:t>
      </w:r>
      <w:r w:rsidR="001F7F70">
        <w:t>3</w:t>
      </w:r>
      <w:r w:rsidRPr="006C048C">
        <w:t>,</w:t>
      </w:r>
      <w:r w:rsidR="001F7F70">
        <w:t>5</w:t>
      </w:r>
      <w:r w:rsidRPr="006C048C">
        <w:t xml:space="preserve"> % </w:t>
      </w:r>
      <w:r w:rsidR="001F7F70">
        <w:t>méně</w:t>
      </w:r>
      <w:r w:rsidRPr="006C048C">
        <w:t>. Na meziroční srovnání osobních nákladů měl největší vliv dopad z přecenění opčního akciového plánu. Osobní náklady upravené o tento vliv činily v prvním pololetí 201</w:t>
      </w:r>
      <w:r w:rsidR="001F7F70">
        <w:t>8</w:t>
      </w:r>
      <w:r w:rsidRPr="006C048C">
        <w:t xml:space="preserve"> </w:t>
      </w:r>
      <w:r w:rsidR="001F7F70">
        <w:t>167</w:t>
      </w:r>
      <w:r w:rsidRPr="006C048C">
        <w:t>,</w:t>
      </w:r>
      <w:r w:rsidR="001F7F70">
        <w:t>6</w:t>
      </w:r>
      <w:r w:rsidRPr="006C048C">
        <w:t xml:space="preserve"> milionu </w:t>
      </w:r>
      <w:r w:rsidR="001F7F70">
        <w:t>Kč</w:t>
      </w:r>
      <w:r w:rsidRPr="006C048C">
        <w:t xml:space="preserve">, tj. meziročně o </w:t>
      </w:r>
      <w:r w:rsidR="001F7F70">
        <w:t>7</w:t>
      </w:r>
      <w:r w:rsidRPr="006C048C">
        <w:t>,</w:t>
      </w:r>
      <w:r w:rsidR="001F7F70">
        <w:t>0</w:t>
      </w:r>
      <w:r w:rsidRPr="006C048C">
        <w:t xml:space="preserve"> % více. V samotném druhém čtvrtletí osobní náklady </w:t>
      </w:r>
      <w:r w:rsidR="008D3D4B">
        <w:t xml:space="preserve">poklesly </w:t>
      </w:r>
      <w:r w:rsidRPr="006C048C">
        <w:t xml:space="preserve">o </w:t>
      </w:r>
      <w:r w:rsidR="008D3D4B">
        <w:t>9</w:t>
      </w:r>
      <w:r w:rsidRPr="006C048C">
        <w:t>,</w:t>
      </w:r>
      <w:r w:rsidR="008D3D4B">
        <w:t>3</w:t>
      </w:r>
      <w:r w:rsidRPr="006C048C">
        <w:t xml:space="preserve"> % na </w:t>
      </w:r>
      <w:r w:rsidR="008D3D4B">
        <w:t>86</w:t>
      </w:r>
      <w:r w:rsidRPr="006C048C">
        <w:t>,</w:t>
      </w:r>
      <w:r w:rsidR="008D3D4B">
        <w:t>7</w:t>
      </w:r>
      <w:r w:rsidRPr="006C048C">
        <w:t xml:space="preserve"> milionu </w:t>
      </w:r>
      <w:r w:rsidR="008D3D4B">
        <w:t>Kč</w:t>
      </w:r>
      <w:r w:rsidRPr="006C048C">
        <w:t xml:space="preserve">.  </w:t>
      </w:r>
      <w:r w:rsidR="008D3D4B">
        <w:t xml:space="preserve">Pokles osobních nákladů byl způsoben rozdílným dopadem přecenění opčního akciového plánu ve srovnávaných obdobích. </w:t>
      </w:r>
      <w:r w:rsidRPr="006C048C">
        <w:t>Osobní náklady upravené o tento vliv činily ve druhém čtvrtletí 201</w:t>
      </w:r>
      <w:r w:rsidR="008D3D4B">
        <w:t>8</w:t>
      </w:r>
      <w:r w:rsidRPr="006C048C">
        <w:t xml:space="preserve"> </w:t>
      </w:r>
      <w:r w:rsidR="008D3D4B">
        <w:t>85</w:t>
      </w:r>
      <w:r w:rsidRPr="006C048C">
        <w:t>,</w:t>
      </w:r>
      <w:r w:rsidR="008D3D4B">
        <w:t>2</w:t>
      </w:r>
      <w:r w:rsidRPr="006C048C">
        <w:t xml:space="preserve"> milionu </w:t>
      </w:r>
      <w:r w:rsidR="008D3D4B">
        <w:t>Kč</w:t>
      </w:r>
      <w:r w:rsidRPr="006C048C">
        <w:t xml:space="preserve">, tj. nárůst o </w:t>
      </w:r>
      <w:r w:rsidR="008D3D4B">
        <w:t>7</w:t>
      </w:r>
      <w:r w:rsidRPr="006C048C">
        <w:t xml:space="preserve">,8 %. </w:t>
      </w:r>
    </w:p>
    <w:p w14:paraId="26830AA6" w14:textId="160B355E" w:rsidR="000C292F" w:rsidRPr="006C048C" w:rsidRDefault="000C292F" w:rsidP="000C292F">
      <w:pPr>
        <w:pStyle w:val="Normlnweb"/>
      </w:pPr>
      <w:r w:rsidRPr="00FA5E46">
        <w:t xml:space="preserve">Ostatní provozní náklady (netto) dosáhly v první polovině tohoto roku </w:t>
      </w:r>
      <w:r w:rsidR="00F22097" w:rsidRPr="00FA5E46">
        <w:t>2</w:t>
      </w:r>
      <w:r w:rsidRPr="00FA5E46">
        <w:t>,</w:t>
      </w:r>
      <w:r w:rsidR="00F22097" w:rsidRPr="00FA5E46">
        <w:t>2</w:t>
      </w:r>
      <w:r w:rsidRPr="00FA5E46">
        <w:t xml:space="preserve"> milionu </w:t>
      </w:r>
      <w:r w:rsidR="00F22097" w:rsidRPr="00FA5E46">
        <w:t xml:space="preserve">Kč </w:t>
      </w:r>
      <w:r w:rsidRPr="00FA5E46">
        <w:t xml:space="preserve">v porovnání s nákladem </w:t>
      </w:r>
      <w:r w:rsidR="00F22097" w:rsidRPr="00FA5E46">
        <w:t>12</w:t>
      </w:r>
      <w:r w:rsidRPr="00FA5E46">
        <w:t>,</w:t>
      </w:r>
      <w:r w:rsidR="00F22097" w:rsidRPr="00FA5E46">
        <w:t>5</w:t>
      </w:r>
      <w:r w:rsidRPr="00FA5E46">
        <w:t xml:space="preserve"> milionu </w:t>
      </w:r>
      <w:r w:rsidR="00F22097" w:rsidRPr="00FA5E46">
        <w:t>Kč</w:t>
      </w:r>
      <w:r w:rsidRPr="00FA5E46">
        <w:t xml:space="preserve"> stejném období roku 201</w:t>
      </w:r>
      <w:r w:rsidR="00F22097" w:rsidRPr="001B447B">
        <w:t>7</w:t>
      </w:r>
      <w:r w:rsidRPr="00FA5E46">
        <w:t>. Ve druhém čtvrtletí 201</w:t>
      </w:r>
      <w:r w:rsidR="00F22097" w:rsidRPr="00FA5E46">
        <w:t>8</w:t>
      </w:r>
      <w:r w:rsidRPr="00FA5E46">
        <w:t xml:space="preserve"> dosáhly ostatní provozní </w:t>
      </w:r>
      <w:r w:rsidR="007E06C4" w:rsidRPr="00FA5E46">
        <w:t>náklady/</w:t>
      </w:r>
      <w:r w:rsidR="00F22097" w:rsidRPr="00FA5E46">
        <w:t xml:space="preserve">výnosy </w:t>
      </w:r>
      <w:r w:rsidR="007E06C4" w:rsidRPr="00FA5E46">
        <w:t xml:space="preserve">(netto) </w:t>
      </w:r>
      <w:r w:rsidRPr="00FA5E46">
        <w:t>částk</w:t>
      </w:r>
      <w:r w:rsidR="007E06C4" w:rsidRPr="00FA5E46">
        <w:t>u</w:t>
      </w:r>
      <w:r w:rsidRPr="00FA5E46">
        <w:t xml:space="preserve"> </w:t>
      </w:r>
      <w:r w:rsidR="00F22097" w:rsidRPr="00FA5E46">
        <w:t>1</w:t>
      </w:r>
      <w:r w:rsidRPr="00FA5E46">
        <w:t xml:space="preserve">,5 milionu </w:t>
      </w:r>
      <w:r w:rsidR="00F22097" w:rsidRPr="00FA5E46">
        <w:t>Kč</w:t>
      </w:r>
      <w:r w:rsidR="007E06C4" w:rsidRPr="001B447B">
        <w:t xml:space="preserve"> do výnosů</w:t>
      </w:r>
      <w:r w:rsidRPr="001B447B">
        <w:t>.</w:t>
      </w:r>
    </w:p>
    <w:p w14:paraId="0C3C4A77" w14:textId="77777777" w:rsidR="000C292F" w:rsidRPr="007E06C4" w:rsidRDefault="000C292F" w:rsidP="000C292F">
      <w:pPr>
        <w:pStyle w:val="Nadpis4"/>
        <w:rPr>
          <w:b w:val="0"/>
        </w:rPr>
      </w:pPr>
      <w:r w:rsidRPr="007E06C4">
        <w:rPr>
          <w:rStyle w:val="Siln"/>
          <w:b/>
        </w:rPr>
        <w:lastRenderedPageBreak/>
        <w:t>Odpisy</w:t>
      </w:r>
    </w:p>
    <w:p w14:paraId="000167A3" w14:textId="15FE975B" w:rsidR="000C292F" w:rsidRPr="006C048C" w:rsidRDefault="000C292F" w:rsidP="000C292F">
      <w:pPr>
        <w:pStyle w:val="Normlnweb"/>
      </w:pPr>
      <w:r w:rsidRPr="006C048C">
        <w:t>Konsolidované odpisy činily v první polovině roku 201</w:t>
      </w:r>
      <w:r w:rsidR="00F22097">
        <w:t>8</w:t>
      </w:r>
      <w:r w:rsidRPr="006C048C">
        <w:t xml:space="preserve"> </w:t>
      </w:r>
      <w:r w:rsidR="00F22097">
        <w:t>231</w:t>
      </w:r>
      <w:r w:rsidRPr="006C048C">
        <w:t>,</w:t>
      </w:r>
      <w:r w:rsidR="00F22097">
        <w:t>1</w:t>
      </w:r>
      <w:r w:rsidRPr="006C048C">
        <w:t xml:space="preserve"> milionu </w:t>
      </w:r>
      <w:r w:rsidR="00F22097">
        <w:t>Kč</w:t>
      </w:r>
      <w:r w:rsidRPr="006C048C">
        <w:t xml:space="preserve">, meziročně o </w:t>
      </w:r>
      <w:r w:rsidR="00F22097">
        <w:t>4</w:t>
      </w:r>
      <w:r w:rsidRPr="006C048C">
        <w:t>,</w:t>
      </w:r>
      <w:r w:rsidR="00F22097">
        <w:t>0</w:t>
      </w:r>
      <w:r w:rsidRPr="006C048C">
        <w:t xml:space="preserve"> % více. V samotném druhém čtvrtletí tohoto roku činily odpisy </w:t>
      </w:r>
      <w:r w:rsidR="00F22097">
        <w:t>116</w:t>
      </w:r>
      <w:r w:rsidRPr="006C048C">
        <w:t>,</w:t>
      </w:r>
      <w:r w:rsidR="00F22097">
        <w:t>1</w:t>
      </w:r>
      <w:r w:rsidRPr="006C048C">
        <w:t xml:space="preserve"> milionu EUR, meziročně o </w:t>
      </w:r>
      <w:r w:rsidR="00F22097">
        <w:t>4</w:t>
      </w:r>
      <w:r w:rsidRPr="006C048C">
        <w:t>,</w:t>
      </w:r>
      <w:r w:rsidR="00F22097">
        <w:t>8</w:t>
      </w:r>
      <w:r w:rsidRPr="006C048C">
        <w:t xml:space="preserve"> % více. </w:t>
      </w:r>
    </w:p>
    <w:p w14:paraId="50F198BA" w14:textId="77777777" w:rsidR="000C292F" w:rsidRPr="007E06C4" w:rsidRDefault="000C292F" w:rsidP="000C292F">
      <w:pPr>
        <w:pStyle w:val="Nadpis4"/>
        <w:rPr>
          <w:b w:val="0"/>
        </w:rPr>
      </w:pPr>
      <w:r w:rsidRPr="007E06C4">
        <w:rPr>
          <w:rStyle w:val="Siln"/>
          <w:b/>
        </w:rPr>
        <w:t>Provozní výsledek</w:t>
      </w:r>
    </w:p>
    <w:p w14:paraId="5F7D0078" w14:textId="0D628AE4" w:rsidR="000C292F" w:rsidRPr="006C048C" w:rsidRDefault="000C292F" w:rsidP="000C292F">
      <w:pPr>
        <w:pStyle w:val="Normlnweb"/>
      </w:pPr>
      <w:r w:rsidRPr="006C048C">
        <w:t>V první polovině roku 201</w:t>
      </w:r>
      <w:r w:rsidR="00F22097">
        <w:t>8</w:t>
      </w:r>
      <w:r w:rsidRPr="006C048C">
        <w:t xml:space="preserve"> činil provozní výsledek hospodaření (EBIT) </w:t>
      </w:r>
      <w:r w:rsidR="00F22097">
        <w:t>431</w:t>
      </w:r>
      <w:r w:rsidRPr="006C048C">
        <w:t>,</w:t>
      </w:r>
      <w:r w:rsidR="00F22097">
        <w:t>0</w:t>
      </w:r>
      <w:r w:rsidRPr="006C048C">
        <w:t xml:space="preserve"> milionu </w:t>
      </w:r>
      <w:r w:rsidR="00F22097">
        <w:t>Kč</w:t>
      </w:r>
      <w:r w:rsidRPr="006C048C">
        <w:t xml:space="preserve">, o </w:t>
      </w:r>
      <w:r w:rsidR="00F22097">
        <w:t>29</w:t>
      </w:r>
      <w:r w:rsidRPr="006C048C">
        <w:t xml:space="preserve">,5 % </w:t>
      </w:r>
      <w:r w:rsidR="00F22097">
        <w:t xml:space="preserve">více </w:t>
      </w:r>
      <w:r w:rsidRPr="006C048C">
        <w:t>než ve stejném období roku 201</w:t>
      </w:r>
      <w:r w:rsidR="00F22097">
        <w:t>7</w:t>
      </w:r>
      <w:r w:rsidRPr="006C048C">
        <w:t xml:space="preserve">. </w:t>
      </w:r>
    </w:p>
    <w:p w14:paraId="5987EEAF" w14:textId="048E61E6" w:rsidR="000C292F" w:rsidRPr="006C048C" w:rsidRDefault="000C292F" w:rsidP="000C292F">
      <w:pPr>
        <w:pStyle w:val="Normlnweb"/>
      </w:pPr>
      <w:r w:rsidRPr="006C048C">
        <w:t>Ve druhém čtvrtletí roku 201</w:t>
      </w:r>
      <w:r w:rsidR="00F22097">
        <w:t>8</w:t>
      </w:r>
      <w:r w:rsidRPr="006C048C">
        <w:t xml:space="preserve"> provozní zisk (EBIT) v meziročním srovnání </w:t>
      </w:r>
      <w:r w:rsidR="00F22097">
        <w:t xml:space="preserve">vzrostl </w:t>
      </w:r>
      <w:r w:rsidRPr="006C048C">
        <w:t xml:space="preserve">na </w:t>
      </w:r>
      <w:r w:rsidR="00F22097">
        <w:t>218</w:t>
      </w:r>
      <w:r w:rsidRPr="006C048C">
        <w:t>,</w:t>
      </w:r>
      <w:r w:rsidR="00F22097">
        <w:t>9</w:t>
      </w:r>
      <w:r w:rsidRPr="006C048C">
        <w:t xml:space="preserve"> milionu </w:t>
      </w:r>
      <w:r w:rsidR="00F22097">
        <w:t>Kč</w:t>
      </w:r>
      <w:r w:rsidRPr="006C048C">
        <w:t xml:space="preserve">, tj. meziročně o </w:t>
      </w:r>
      <w:r w:rsidR="00F22097">
        <w:t>5</w:t>
      </w:r>
      <w:r w:rsidRPr="006C048C">
        <w:t>6,</w:t>
      </w:r>
      <w:r w:rsidR="00F22097">
        <w:t>2</w:t>
      </w:r>
      <w:r w:rsidRPr="006C048C">
        <w:t xml:space="preserve"> %.</w:t>
      </w:r>
    </w:p>
    <w:p w14:paraId="4EDC896A" w14:textId="4DC711C5" w:rsidR="000C292F" w:rsidRPr="006C048C" w:rsidRDefault="007E06C4" w:rsidP="000C292F">
      <w:pPr>
        <w:pStyle w:val="Normlnweb"/>
      </w:pPr>
      <w:r w:rsidRPr="007E06C4">
        <w:t>Za vývojem provozního výsledku hospodaření stály stejné faktory, které měly vliv i na vývoj EBITDA</w:t>
      </w:r>
      <w:r w:rsidR="000C292F" w:rsidRPr="007E06C4">
        <w:t>.</w:t>
      </w:r>
    </w:p>
    <w:p w14:paraId="7D90792D" w14:textId="77777777" w:rsidR="000C292F" w:rsidRPr="002E3A91" w:rsidRDefault="000C292F" w:rsidP="000C292F">
      <w:pPr>
        <w:pStyle w:val="Nadpis4"/>
        <w:rPr>
          <w:rStyle w:val="Siln"/>
          <w:b/>
          <w:bCs w:val="0"/>
        </w:rPr>
      </w:pPr>
      <w:r w:rsidRPr="007E06C4">
        <w:rPr>
          <w:rStyle w:val="Siln"/>
          <w:b/>
        </w:rPr>
        <w:t>Finanční výnosy a náklady</w:t>
      </w:r>
    </w:p>
    <w:p w14:paraId="2A85B31A" w14:textId="393A9F5E" w:rsidR="000C292F" w:rsidRPr="00872463" w:rsidRDefault="000C292F" w:rsidP="000C292F">
      <w:pPr>
        <w:pStyle w:val="Normlnweb"/>
      </w:pPr>
      <w:r w:rsidRPr="00872463">
        <w:t>V první polovině roku 201</w:t>
      </w:r>
      <w:r w:rsidR="00F22097" w:rsidRPr="00872463">
        <w:t>8</w:t>
      </w:r>
      <w:r w:rsidRPr="00872463">
        <w:t xml:space="preserve"> dosáhly kurzové zisky a ostatní finanční výnosy/náklady (netto) náklad </w:t>
      </w:r>
      <w:r w:rsidR="00714AD4">
        <w:t>21,3</w:t>
      </w:r>
      <w:r w:rsidRPr="00872463">
        <w:t xml:space="preserve"> milionu </w:t>
      </w:r>
      <w:r w:rsidR="00F22097" w:rsidRPr="00872463">
        <w:t>Kč</w:t>
      </w:r>
      <w:r w:rsidRPr="00872463">
        <w:t xml:space="preserve">, v porovnání s nákladem </w:t>
      </w:r>
      <w:r w:rsidR="00F22097" w:rsidRPr="00872463">
        <w:t>84</w:t>
      </w:r>
      <w:r w:rsidRPr="00872463">
        <w:t xml:space="preserve">,0 milionu </w:t>
      </w:r>
      <w:r w:rsidR="00F22097" w:rsidRPr="00872463">
        <w:t xml:space="preserve">Kč </w:t>
      </w:r>
      <w:r w:rsidRPr="00872463">
        <w:t xml:space="preserve">dosaženým ve stejném období loňského roku. Tato položka představuje realizované a nerealizované kurzové zisky/ztráty a ostatní finanční výnosy a náklady. Meziroční změna byla ovlivněna vývojem kurzu dolaru vůči EUR, když dolar v prvním pololetí letošního roku </w:t>
      </w:r>
      <w:r w:rsidR="00872463" w:rsidRPr="00872463">
        <w:t xml:space="preserve">posílil </w:t>
      </w:r>
      <w:r w:rsidRPr="00872463">
        <w:t xml:space="preserve">o </w:t>
      </w:r>
      <w:r w:rsidR="002F5F6C" w:rsidRPr="00872463">
        <w:t>téměř</w:t>
      </w:r>
      <w:r w:rsidR="00872463" w:rsidRPr="00872463">
        <w:t xml:space="preserve"> 3</w:t>
      </w:r>
      <w:r w:rsidRPr="00872463">
        <w:t xml:space="preserve"> %</w:t>
      </w:r>
      <w:r w:rsidR="00872463" w:rsidRPr="00872463">
        <w:t xml:space="preserve"> v porovnání s loňským rokem, ve kterém dolar oslaboval</w:t>
      </w:r>
      <w:r w:rsidRPr="00872463">
        <w:t xml:space="preserve">. </w:t>
      </w:r>
      <w:r w:rsidR="00872463" w:rsidRPr="00872463">
        <w:t>P</w:t>
      </w:r>
      <w:r w:rsidRPr="00872463">
        <w:t xml:space="preserve">osílení kurzu dolaru vůči EUR </w:t>
      </w:r>
      <w:r w:rsidR="00872463" w:rsidRPr="00872463">
        <w:t xml:space="preserve">bylo pozitivní, jelikož </w:t>
      </w:r>
      <w:r w:rsidRPr="00872463">
        <w:t>ved</w:t>
      </w:r>
      <w:r w:rsidR="00872463" w:rsidRPr="00872463">
        <w:t>e</w:t>
      </w:r>
      <w:r w:rsidRPr="00872463">
        <w:t xml:space="preserve"> k nerealizovaným kurzovým ziskům souvisejícím s přeceněním rozvahových položek denominovaných v EUR a to zejména z titulu přecenění vnitropodnikové půjčky dceřiné společnosti v Egyptě. </w:t>
      </w:r>
      <w:r w:rsidR="00872463" w:rsidRPr="00872463">
        <w:t xml:space="preserve">Druhým faktorem, jehož dopad byl negativní bylo oslabení </w:t>
      </w:r>
      <w:r w:rsidR="00872463" w:rsidRPr="00872463">
        <w:lastRenderedPageBreak/>
        <w:t xml:space="preserve">kurzu Kč vůči EUR, které mělo negativní dopad na přecenění závazků z dluhopisů denominovaných v EUR. </w:t>
      </w:r>
      <w:r w:rsidRPr="00872463">
        <w:t>Kurzové změny a ostatní finanční výnosy/náklady (netto) představovaly v samotném druhém čtvrtletí roku 201</w:t>
      </w:r>
      <w:r w:rsidR="00F22097" w:rsidRPr="00872463">
        <w:t>8</w:t>
      </w:r>
      <w:r w:rsidRPr="00872463">
        <w:t xml:space="preserve"> </w:t>
      </w:r>
      <w:r w:rsidR="00F22097" w:rsidRPr="00872463">
        <w:t xml:space="preserve">výnos </w:t>
      </w:r>
      <w:r w:rsidR="00714AD4">
        <w:t>11,1</w:t>
      </w:r>
      <w:r w:rsidRPr="00872463">
        <w:t xml:space="preserve"> milionu </w:t>
      </w:r>
      <w:r w:rsidR="00F22097" w:rsidRPr="00872463">
        <w:t xml:space="preserve">Kč </w:t>
      </w:r>
      <w:r w:rsidRPr="00872463">
        <w:t xml:space="preserve">oproti </w:t>
      </w:r>
      <w:r w:rsidR="00F22097" w:rsidRPr="00872463">
        <w:t>nákladu 54</w:t>
      </w:r>
      <w:r w:rsidRPr="00872463">
        <w:t xml:space="preserve">,7 milionu </w:t>
      </w:r>
      <w:r w:rsidR="00F22097" w:rsidRPr="00872463">
        <w:t xml:space="preserve">Kč </w:t>
      </w:r>
      <w:r w:rsidRPr="00872463">
        <w:t xml:space="preserve">ve srovnatelném období předchozího roku. </w:t>
      </w:r>
      <w:r w:rsidR="00872463" w:rsidRPr="00872463">
        <w:t>Převažujícím vlivem bylo posilování dolaru, který v samotném druhém čtvrtletí posílil o více než 5%.</w:t>
      </w:r>
      <w:r w:rsidRPr="00872463">
        <w:t xml:space="preserve"> </w:t>
      </w:r>
    </w:p>
    <w:p w14:paraId="6634BABE" w14:textId="53D6E2E7" w:rsidR="000C292F" w:rsidRPr="006C048C" w:rsidRDefault="000C292F" w:rsidP="00F22097">
      <w:pPr>
        <w:pStyle w:val="Normlnweb"/>
      </w:pPr>
      <w:r w:rsidRPr="006C048C">
        <w:t xml:space="preserve">Úrokové náklady (netto) spojené s obsluhou dluhu činily v první polovině tohoto roku </w:t>
      </w:r>
      <w:r w:rsidR="00F22097">
        <w:t>90</w:t>
      </w:r>
      <w:r w:rsidRPr="006C048C">
        <w:t>,</w:t>
      </w:r>
      <w:r w:rsidR="00F22097">
        <w:t>5</w:t>
      </w:r>
      <w:r w:rsidRPr="006C048C">
        <w:t xml:space="preserve"> milionu </w:t>
      </w:r>
      <w:r w:rsidR="00F22097">
        <w:t>Kč</w:t>
      </w:r>
      <w:r w:rsidRPr="006C048C">
        <w:t xml:space="preserve">, tj. o </w:t>
      </w:r>
      <w:r w:rsidR="00F22097">
        <w:t>8</w:t>
      </w:r>
      <w:r w:rsidRPr="006C048C">
        <w:t>,</w:t>
      </w:r>
      <w:r w:rsidR="00F22097">
        <w:t>9</w:t>
      </w:r>
      <w:r w:rsidRPr="006C048C">
        <w:t xml:space="preserve"> % méně ve srovn</w:t>
      </w:r>
      <w:r w:rsidR="00F22097">
        <w:t>ání se stejným obdobím roku 2017</w:t>
      </w:r>
      <w:r w:rsidRPr="006C048C">
        <w:t>. Ve druhém čtvrtletí 201</w:t>
      </w:r>
      <w:r w:rsidR="00F22097">
        <w:t>8</w:t>
      </w:r>
      <w:r w:rsidRPr="006C048C">
        <w:t xml:space="preserve"> dosáhly úrokové náklady (netto) hodnoty </w:t>
      </w:r>
      <w:r w:rsidR="00F22097">
        <w:t>44</w:t>
      </w:r>
      <w:r w:rsidRPr="006C048C">
        <w:t xml:space="preserve">,9 milionu </w:t>
      </w:r>
      <w:r w:rsidR="00F22097">
        <w:t>Kč</w:t>
      </w:r>
      <w:r w:rsidRPr="006C048C">
        <w:t xml:space="preserve">, o </w:t>
      </w:r>
      <w:r w:rsidR="00F22097">
        <w:t>11</w:t>
      </w:r>
      <w:r w:rsidRPr="006C048C">
        <w:t>,</w:t>
      </w:r>
      <w:r w:rsidR="00F22097">
        <w:t>6</w:t>
      </w:r>
      <w:r w:rsidRPr="006C048C">
        <w:t xml:space="preserve"> % méně ve srovnání se stejným obdobím loňského roku. </w:t>
      </w:r>
      <w:r w:rsidR="00F22097" w:rsidRPr="00F22097">
        <w:t>Důvodem pro pokles úrokových nákladů bylo posílení kurzu Kč, jelikož úrokové náklady jsou v převážné míře denominovány v EUR.</w:t>
      </w:r>
      <w:r w:rsidR="00F22097">
        <w:t xml:space="preserve"> </w:t>
      </w:r>
      <w:r w:rsidRPr="006C048C">
        <w:t xml:space="preserve">   </w:t>
      </w:r>
    </w:p>
    <w:p w14:paraId="0FED041C" w14:textId="77777777" w:rsidR="000C292F" w:rsidRPr="006C048C" w:rsidRDefault="000C292F" w:rsidP="000C292F">
      <w:pPr>
        <w:pStyle w:val="Nadpis4"/>
      </w:pPr>
      <w:r w:rsidRPr="006C048C">
        <w:t>Daň z příjmů</w:t>
      </w:r>
    </w:p>
    <w:p w14:paraId="12C36E08" w14:textId="740921CF" w:rsidR="000C292F" w:rsidRPr="009602F7" w:rsidRDefault="000C292F" w:rsidP="000C292F">
      <w:pPr>
        <w:pStyle w:val="Normlnweb"/>
      </w:pPr>
      <w:r w:rsidRPr="006C048C">
        <w:t>V první polovině roku 201</w:t>
      </w:r>
      <w:r w:rsidR="00F22097">
        <w:t>8</w:t>
      </w:r>
      <w:r w:rsidRPr="006C048C">
        <w:t xml:space="preserve"> činila daň z příjmů </w:t>
      </w:r>
      <w:r w:rsidR="007903EC">
        <w:t>39</w:t>
      </w:r>
      <w:r w:rsidRPr="006C048C">
        <w:t>,</w:t>
      </w:r>
      <w:r w:rsidR="007903EC">
        <w:t>3</w:t>
      </w:r>
      <w:r w:rsidRPr="006C048C">
        <w:t xml:space="preserve"> milionu </w:t>
      </w:r>
      <w:r w:rsidR="007903EC">
        <w:t>Kč</w:t>
      </w:r>
      <w:r w:rsidRPr="006C048C">
        <w:t xml:space="preserve">, o </w:t>
      </w:r>
      <w:r w:rsidR="007903EC">
        <w:t>30</w:t>
      </w:r>
      <w:r w:rsidRPr="006C048C">
        <w:t>,</w:t>
      </w:r>
      <w:r w:rsidR="007903EC">
        <w:t>6</w:t>
      </w:r>
      <w:r w:rsidRPr="006C048C">
        <w:t xml:space="preserve"> % více n</w:t>
      </w:r>
      <w:r w:rsidRPr="009602F7">
        <w:t>ež ve stejném období roku 201</w:t>
      </w:r>
      <w:r w:rsidR="007903EC" w:rsidRPr="009602F7">
        <w:t>7</w:t>
      </w:r>
      <w:r w:rsidRPr="009602F7">
        <w:t xml:space="preserve">. Splatná daň dosáhla výše </w:t>
      </w:r>
      <w:r w:rsidR="009602F7" w:rsidRPr="009602F7">
        <w:t>57</w:t>
      </w:r>
      <w:r w:rsidRPr="009602F7">
        <w:t>,</w:t>
      </w:r>
      <w:r w:rsidR="009602F7" w:rsidRPr="009602F7">
        <w:t>4</w:t>
      </w:r>
      <w:r w:rsidRPr="009602F7">
        <w:t xml:space="preserve"> milionu </w:t>
      </w:r>
      <w:r w:rsidR="009602F7" w:rsidRPr="009602F7">
        <w:t>Kč</w:t>
      </w:r>
      <w:r w:rsidRPr="009602F7">
        <w:t xml:space="preserve">, změna v odložené dani představovala výnos </w:t>
      </w:r>
      <w:r w:rsidR="009602F7" w:rsidRPr="009602F7">
        <w:t>18</w:t>
      </w:r>
      <w:r w:rsidRPr="009602F7">
        <w:t>,</w:t>
      </w:r>
      <w:r w:rsidR="009602F7" w:rsidRPr="009602F7">
        <w:t>1</w:t>
      </w:r>
      <w:r w:rsidRPr="009602F7">
        <w:t xml:space="preserve"> milionu </w:t>
      </w:r>
      <w:r w:rsidR="009602F7" w:rsidRPr="009602F7">
        <w:t>Kč</w:t>
      </w:r>
      <w:r w:rsidRPr="009602F7">
        <w:t xml:space="preserve">. </w:t>
      </w:r>
    </w:p>
    <w:p w14:paraId="6E60E3CC" w14:textId="07BE3E63" w:rsidR="000C292F" w:rsidRPr="006C048C" w:rsidRDefault="000C292F" w:rsidP="000C292F">
      <w:pPr>
        <w:pStyle w:val="Normlnweb"/>
      </w:pPr>
      <w:r w:rsidRPr="009602F7">
        <w:t>V samotném druhém čtvrtletí 201</w:t>
      </w:r>
      <w:r w:rsidR="007903EC" w:rsidRPr="009602F7">
        <w:t>8</w:t>
      </w:r>
      <w:r w:rsidRPr="009602F7">
        <w:t xml:space="preserve"> představovala daň z příjmů náklad ve výši </w:t>
      </w:r>
      <w:r w:rsidR="007903EC" w:rsidRPr="009602F7">
        <w:t>13</w:t>
      </w:r>
      <w:r w:rsidRPr="009602F7">
        <w:t xml:space="preserve">,5 milionu </w:t>
      </w:r>
      <w:r w:rsidR="007903EC" w:rsidRPr="009602F7">
        <w:t>Kč</w:t>
      </w:r>
      <w:r w:rsidRPr="009602F7">
        <w:t>. Splatná daň činila ve druhém čtvrtletí 201</w:t>
      </w:r>
      <w:r w:rsidR="009602F7" w:rsidRPr="009602F7">
        <w:t>8</w:t>
      </w:r>
      <w:r w:rsidRPr="009602F7">
        <w:t xml:space="preserve"> </w:t>
      </w:r>
      <w:r w:rsidR="009602F7" w:rsidRPr="009602F7">
        <w:t>29</w:t>
      </w:r>
      <w:r w:rsidRPr="009602F7">
        <w:t>,</w:t>
      </w:r>
      <w:r w:rsidR="009602F7" w:rsidRPr="009602F7">
        <w:t>0</w:t>
      </w:r>
      <w:r w:rsidRPr="009602F7">
        <w:t xml:space="preserve"> milionu </w:t>
      </w:r>
      <w:r w:rsidR="009602F7" w:rsidRPr="009602F7">
        <w:t>Kč</w:t>
      </w:r>
      <w:r w:rsidRPr="009602F7">
        <w:t xml:space="preserve">, zatímco změna v odložené dani reprezentovala výnos </w:t>
      </w:r>
      <w:r w:rsidR="009602F7" w:rsidRPr="009602F7">
        <w:t>15</w:t>
      </w:r>
      <w:r w:rsidRPr="009602F7">
        <w:t>,</w:t>
      </w:r>
      <w:r w:rsidR="009602F7">
        <w:t>5</w:t>
      </w:r>
      <w:r w:rsidRPr="009602F7">
        <w:t xml:space="preserve"> milionu </w:t>
      </w:r>
      <w:r w:rsidR="009602F7" w:rsidRPr="009602F7">
        <w:t>Kč</w:t>
      </w:r>
      <w:r w:rsidRPr="009602F7">
        <w:t>.</w:t>
      </w:r>
    </w:p>
    <w:p w14:paraId="16100079" w14:textId="6B8AFE24" w:rsidR="000C292F" w:rsidRPr="006C048C" w:rsidRDefault="009603DE" w:rsidP="009603DE">
      <w:pPr>
        <w:pStyle w:val="Nadpis4"/>
      </w:pPr>
      <w:r>
        <w:br w:type="column"/>
      </w:r>
      <w:r w:rsidR="000C292F" w:rsidRPr="006C048C">
        <w:lastRenderedPageBreak/>
        <w:t xml:space="preserve">Čistý zisk </w:t>
      </w:r>
    </w:p>
    <w:p w14:paraId="7EEEE311" w14:textId="5442EB78" w:rsidR="000C292F" w:rsidRPr="006C048C" w:rsidRDefault="000C292F" w:rsidP="000C292F">
      <w:pPr>
        <w:pStyle w:val="Normlnweb"/>
      </w:pPr>
      <w:r w:rsidRPr="006C048C">
        <w:t>Čistý zisk dosáhl v prvním pololetí roku 201</w:t>
      </w:r>
      <w:r w:rsidR="007903EC">
        <w:t>8</w:t>
      </w:r>
      <w:r w:rsidRPr="006C048C">
        <w:t xml:space="preserve"> hodnoty </w:t>
      </w:r>
      <w:r w:rsidR="00714AD4">
        <w:t>279,9</w:t>
      </w:r>
      <w:r w:rsidRPr="006C048C">
        <w:t xml:space="preserve"> milionu </w:t>
      </w:r>
      <w:r w:rsidR="007903EC">
        <w:t>Kč</w:t>
      </w:r>
      <w:r w:rsidRPr="006C048C">
        <w:t xml:space="preserve">, což je meziročně o </w:t>
      </w:r>
      <w:r w:rsidR="00714AD4">
        <w:t>134,4</w:t>
      </w:r>
      <w:r w:rsidRPr="006C048C">
        <w:t xml:space="preserve"> % </w:t>
      </w:r>
      <w:r w:rsidR="007903EC">
        <w:t xml:space="preserve">více </w:t>
      </w:r>
      <w:r w:rsidRPr="006C048C">
        <w:t xml:space="preserve">zejména z titulu </w:t>
      </w:r>
      <w:r w:rsidR="007903EC">
        <w:t xml:space="preserve">lepšího provozního výsledku a nižších </w:t>
      </w:r>
      <w:r w:rsidRPr="006C048C">
        <w:t xml:space="preserve">vykázaných nerealizovaných kurzových změn v porovnávaných obdobích. </w:t>
      </w:r>
      <w:r w:rsidR="007903EC">
        <w:t xml:space="preserve">Ve druhém čtvrtletí 2018 </w:t>
      </w:r>
      <w:r w:rsidRPr="006C048C">
        <w:t xml:space="preserve">vytvořila Společnost čistý zisk ve výši </w:t>
      </w:r>
      <w:r w:rsidR="00714AD4">
        <w:t>171,7</w:t>
      </w:r>
      <w:r w:rsidRPr="006C048C">
        <w:t xml:space="preserve"> milionu </w:t>
      </w:r>
      <w:r w:rsidR="007903EC">
        <w:t>Kč</w:t>
      </w:r>
      <w:r w:rsidRPr="006C048C">
        <w:t xml:space="preserve">. </w:t>
      </w:r>
    </w:p>
    <w:p w14:paraId="2D89FD76" w14:textId="77777777" w:rsidR="000C292F" w:rsidRPr="000546B5" w:rsidRDefault="000C292F" w:rsidP="000C292F">
      <w:pPr>
        <w:pStyle w:val="Nadpis4"/>
        <w:rPr>
          <w:b w:val="0"/>
        </w:rPr>
      </w:pPr>
      <w:r w:rsidRPr="000546B5">
        <w:rPr>
          <w:rStyle w:val="Siln"/>
          <w:b/>
        </w:rPr>
        <w:t>Investice</w:t>
      </w:r>
    </w:p>
    <w:p w14:paraId="21CD5C21" w14:textId="4EDBD672" w:rsidR="000C292F" w:rsidRPr="006C048C" w:rsidRDefault="000C292F" w:rsidP="000C292F">
      <w:pPr>
        <w:pStyle w:val="Normlnweb"/>
      </w:pPr>
      <w:r w:rsidRPr="006C048C">
        <w:t>V první polovině roku 201</w:t>
      </w:r>
      <w:r w:rsidR="007903EC">
        <w:t>8</w:t>
      </w:r>
      <w:r w:rsidRPr="006C048C">
        <w:t xml:space="preserve"> </w:t>
      </w:r>
      <w:bookmarkStart w:id="14" w:name="OLE_LINK3"/>
      <w:bookmarkStart w:id="15" w:name="OLE_LINK4"/>
      <w:r w:rsidRPr="006C048C">
        <w:t xml:space="preserve">činily konsolidované investiční výdaje </w:t>
      </w:r>
      <w:r w:rsidR="009603DE">
        <w:t>25</w:t>
      </w:r>
      <w:r w:rsidR="00714AD4">
        <w:t>2,6</w:t>
      </w:r>
      <w:r w:rsidRPr="006C048C">
        <w:t xml:space="preserve"> milionu </w:t>
      </w:r>
      <w:bookmarkEnd w:id="14"/>
      <w:bookmarkEnd w:id="15"/>
      <w:r w:rsidR="007903EC">
        <w:t>Kč</w:t>
      </w:r>
      <w:r w:rsidRPr="006C048C">
        <w:t xml:space="preserve"> oproti </w:t>
      </w:r>
      <w:r w:rsidR="003D573E">
        <w:t>388,3</w:t>
      </w:r>
      <w:r w:rsidRPr="006C048C">
        <w:t xml:space="preserve"> milionu </w:t>
      </w:r>
      <w:r w:rsidR="007903EC">
        <w:t xml:space="preserve">Kč </w:t>
      </w:r>
      <w:r w:rsidRPr="006C048C">
        <w:t xml:space="preserve">ve srovnání se stejným obdobím minulého roku. Z této částky připadalo </w:t>
      </w:r>
      <w:r w:rsidR="009603DE">
        <w:t>182,7</w:t>
      </w:r>
      <w:r w:rsidRPr="006C048C">
        <w:t xml:space="preserve"> milionu </w:t>
      </w:r>
      <w:r w:rsidR="007903EC">
        <w:t>Kč</w:t>
      </w:r>
      <w:r w:rsidRPr="006C048C">
        <w:t xml:space="preserve"> na investice do rozšíření výrobních a skladovacích kapacit, zbytek představovaly běžné investice. Ve druhém čtvrtletí roku 201</w:t>
      </w:r>
      <w:r w:rsidR="007903EC">
        <w:t>8</w:t>
      </w:r>
      <w:r w:rsidRPr="006C048C">
        <w:t xml:space="preserve"> činily konsolidované investice </w:t>
      </w:r>
      <w:r w:rsidR="009603DE">
        <w:t>16</w:t>
      </w:r>
      <w:r w:rsidR="00714AD4">
        <w:t>6</w:t>
      </w:r>
      <w:r w:rsidR="009603DE">
        <w:t>,</w:t>
      </w:r>
      <w:r w:rsidR="00714AD4">
        <w:t>5</w:t>
      </w:r>
      <w:r w:rsidRPr="006C048C">
        <w:t xml:space="preserve"> milionu </w:t>
      </w:r>
      <w:r w:rsidR="007903EC">
        <w:t>Kč</w:t>
      </w:r>
      <w:r w:rsidRPr="006C048C">
        <w:t xml:space="preserve"> oproti </w:t>
      </w:r>
      <w:r w:rsidR="00070630">
        <w:t>250,0</w:t>
      </w:r>
      <w:r w:rsidRPr="006C048C">
        <w:t xml:space="preserve"> milionu </w:t>
      </w:r>
      <w:r w:rsidR="007903EC">
        <w:t xml:space="preserve">Kč </w:t>
      </w:r>
      <w:r w:rsidRPr="006C048C">
        <w:t xml:space="preserve">ve srovnání se stejným obdobím minulého roku. </w:t>
      </w:r>
    </w:p>
    <w:p w14:paraId="5CE9547A" w14:textId="77777777" w:rsidR="000C292F" w:rsidRPr="009602F7" w:rsidRDefault="000C292F" w:rsidP="000C292F">
      <w:pPr>
        <w:pStyle w:val="Nadpis4"/>
        <w:rPr>
          <w:b w:val="0"/>
        </w:rPr>
      </w:pPr>
      <w:r w:rsidRPr="009602F7">
        <w:rPr>
          <w:rStyle w:val="Siln"/>
          <w:b/>
        </w:rPr>
        <w:t>Peníze a zadluženost</w:t>
      </w:r>
    </w:p>
    <w:p w14:paraId="7E5AA1BC" w14:textId="6EE6CD81" w:rsidR="000C292F" w:rsidRDefault="000C292F" w:rsidP="000C292F">
      <w:pPr>
        <w:pStyle w:val="Normlnweb"/>
      </w:pPr>
      <w:r w:rsidRPr="006C048C">
        <w:t>Celková výše konsolidovaných finančních dluhů (krátkodobých i dlouhodobých) činila k 30. červnu 201</w:t>
      </w:r>
      <w:r w:rsidR="003405CE">
        <w:t>8</w:t>
      </w:r>
      <w:r w:rsidRPr="006C048C">
        <w:t xml:space="preserve"> </w:t>
      </w:r>
      <w:r w:rsidR="003405CE">
        <w:t>6 246</w:t>
      </w:r>
      <w:r w:rsidRPr="006C048C">
        <w:t>,</w:t>
      </w:r>
      <w:r w:rsidR="003405CE">
        <w:t>4</w:t>
      </w:r>
      <w:r w:rsidRPr="006C048C">
        <w:t xml:space="preserve"> milionů </w:t>
      </w:r>
      <w:r w:rsidR="003405CE">
        <w:t>Kč</w:t>
      </w:r>
      <w:r w:rsidRPr="006C048C">
        <w:t>. Čistý dluh k 30. červnu 201</w:t>
      </w:r>
      <w:r w:rsidR="003405CE">
        <w:t>8</w:t>
      </w:r>
      <w:r w:rsidRPr="006C048C">
        <w:t xml:space="preserve"> dosáhl výše </w:t>
      </w:r>
      <w:r w:rsidR="003405CE">
        <w:t>4 769</w:t>
      </w:r>
      <w:r w:rsidR="003405CE" w:rsidRPr="006C048C">
        <w:t>,</w:t>
      </w:r>
      <w:r w:rsidR="003405CE">
        <w:t>7</w:t>
      </w:r>
      <w:r w:rsidRPr="006C048C">
        <w:t xml:space="preserve"> milionů </w:t>
      </w:r>
      <w:r w:rsidR="003405CE">
        <w:t>Kč</w:t>
      </w:r>
      <w:r w:rsidRPr="006C048C">
        <w:t xml:space="preserve">, což je o </w:t>
      </w:r>
      <w:r w:rsidR="003405CE">
        <w:t>4</w:t>
      </w:r>
      <w:r w:rsidRPr="006C048C">
        <w:t>,</w:t>
      </w:r>
      <w:r w:rsidR="003405CE">
        <w:t>2</w:t>
      </w:r>
      <w:r w:rsidRPr="006C048C">
        <w:t xml:space="preserve"> % </w:t>
      </w:r>
      <w:r w:rsidR="003405CE">
        <w:t>méně v porovnání s 31. prosincem 2017.</w:t>
      </w:r>
      <w:r w:rsidRPr="006C048C">
        <w:t xml:space="preserve"> Poměr Čistý dluh/EBITDA dosáhl k 30. červnu 201</w:t>
      </w:r>
      <w:r w:rsidR="003405CE">
        <w:t>8</w:t>
      </w:r>
      <w:r w:rsidRPr="006C048C">
        <w:t xml:space="preserve"> 3,</w:t>
      </w:r>
      <w:r w:rsidR="003405CE">
        <w:t>72</w:t>
      </w:r>
      <w:r w:rsidRPr="006C048C">
        <w:t xml:space="preserve"> násobku. </w:t>
      </w:r>
      <w:r w:rsidR="00EC762C">
        <w:t>Reálná hodnota křížových měnových swapů, které zajišťují emise dluhopisů</w:t>
      </w:r>
      <w:r w:rsidR="000270D1">
        <w:t>,</w:t>
      </w:r>
      <w:r w:rsidR="00EC762C">
        <w:t xml:space="preserve"> představovala k 30. červnu 2018 pohledávku ve </w:t>
      </w:r>
      <w:r w:rsidR="00EC762C" w:rsidRPr="00EC762C">
        <w:t>výši 103,7 milionů Kč</w:t>
      </w:r>
      <w:r w:rsidRPr="00EC762C">
        <w:t xml:space="preserve"> a efektivně tak </w:t>
      </w:r>
      <w:r w:rsidR="000270D1" w:rsidRPr="00EC762C">
        <w:t>snižovala</w:t>
      </w:r>
      <w:r w:rsidRPr="00EC762C">
        <w:t xml:space="preserve"> hodnotu čistého dluhu na </w:t>
      </w:r>
      <w:r w:rsidR="00EC762C" w:rsidRPr="00EC762C">
        <w:t>4 666</w:t>
      </w:r>
      <w:r w:rsidRPr="00EC762C">
        <w:t xml:space="preserve">,0 milionu </w:t>
      </w:r>
      <w:r w:rsidR="00EC762C" w:rsidRPr="00EC762C">
        <w:t>Kč, resp. 3,64 násobek EBITDA</w:t>
      </w:r>
      <w:r w:rsidRPr="00EC762C">
        <w:t>.</w:t>
      </w:r>
      <w:r w:rsidRPr="006C048C">
        <w:t xml:space="preserve"> </w:t>
      </w:r>
    </w:p>
    <w:p w14:paraId="712E4580" w14:textId="77777777" w:rsidR="009A2369" w:rsidRDefault="009A2369" w:rsidP="00BF3C3D">
      <w:pPr>
        <w:pStyle w:val="Nadpis4"/>
        <w:sectPr w:rsidR="009A2369" w:rsidSect="00E431E6">
          <w:type w:val="continuous"/>
          <w:pgSz w:w="11906" w:h="16838"/>
          <w:pgMar w:top="1417" w:right="1417" w:bottom="1417" w:left="1417" w:header="708" w:footer="708" w:gutter="0"/>
          <w:cols w:num="2" w:space="708"/>
          <w:docGrid w:linePitch="360"/>
        </w:sectPr>
      </w:pPr>
    </w:p>
    <w:p w14:paraId="72BBE3AA" w14:textId="0ADD91C7" w:rsidR="00BF3C3D" w:rsidRDefault="00BF3C3D" w:rsidP="00BF3C3D">
      <w:pPr>
        <w:pStyle w:val="Nadpis4"/>
      </w:pPr>
      <w:r>
        <w:lastRenderedPageBreak/>
        <w:t>Volné peněžní toky</w:t>
      </w:r>
    </w:p>
    <w:p w14:paraId="2D19E978" w14:textId="6ED6E2A7" w:rsidR="00BF3C3D" w:rsidRDefault="00BF3C3D" w:rsidP="00BF3C3D">
      <w:r>
        <w:t xml:space="preserve">Prakticky veškeré volné peněžní toky jsou použity na financování </w:t>
      </w:r>
      <w:r w:rsidR="009A2369">
        <w:t>investičních výdajů a obsluhu dluhu, jak je patrné z níže uvedené tabulky sestavené z údajů z přehledu o peněžních tocích.</w:t>
      </w:r>
    </w:p>
    <w:tbl>
      <w:tblPr>
        <w:tblW w:w="5000" w:type="pct"/>
        <w:tblBorders>
          <w:top w:val="single" w:sz="4" w:space="0" w:color="9C9D9F"/>
          <w:bottom w:val="single" w:sz="4" w:space="0" w:color="9C9D9F"/>
          <w:insideH w:val="single" w:sz="4" w:space="0" w:color="9C9D9F"/>
        </w:tblBorders>
        <w:tblLook w:val="04A0" w:firstRow="1" w:lastRow="0" w:firstColumn="1" w:lastColumn="0" w:noHBand="0" w:noVBand="1"/>
      </w:tblPr>
      <w:tblGrid>
        <w:gridCol w:w="2970"/>
        <w:gridCol w:w="1212"/>
      </w:tblGrid>
      <w:tr w:rsidR="00BF3C3D" w:rsidRPr="006C048C" w14:paraId="43283605" w14:textId="77777777" w:rsidTr="00BF3C3D">
        <w:trPr>
          <w:trHeight w:val="315"/>
        </w:trPr>
        <w:tc>
          <w:tcPr>
            <w:tcW w:w="3551" w:type="pct"/>
            <w:shd w:val="clear" w:color="auto" w:fill="A6A6A6" w:themeFill="background1" w:themeFillShade="A6"/>
            <w:vAlign w:val="bottom"/>
            <w:hideMark/>
          </w:tcPr>
          <w:p w14:paraId="561E6C0C" w14:textId="3A3022B7" w:rsidR="00BF3C3D" w:rsidRPr="006C048C" w:rsidRDefault="009A2369" w:rsidP="00BF3C3D">
            <w:pPr>
              <w:spacing w:before="0" w:beforeAutospacing="0" w:after="0" w:afterAutospacing="0"/>
              <w:jc w:val="left"/>
              <w:rPr>
                <w:rFonts w:cs="Arial"/>
                <w:b/>
                <w:bCs/>
                <w:sz w:val="20"/>
                <w:szCs w:val="20"/>
              </w:rPr>
            </w:pPr>
            <w:r w:rsidRPr="009A2369">
              <w:rPr>
                <w:b/>
                <w:bCs/>
                <w:sz w:val="20"/>
                <w:szCs w:val="20"/>
              </w:rPr>
              <w:t>Čisté peněžní toky z provozní činnosti</w:t>
            </w:r>
          </w:p>
        </w:tc>
        <w:tc>
          <w:tcPr>
            <w:tcW w:w="1449" w:type="pct"/>
            <w:shd w:val="clear" w:color="auto" w:fill="A6A6A6" w:themeFill="background1" w:themeFillShade="A6"/>
            <w:noWrap/>
            <w:vAlign w:val="bottom"/>
          </w:tcPr>
          <w:p w14:paraId="6823DED3" w14:textId="37079D24" w:rsidR="00BF3C3D" w:rsidRPr="006C048C" w:rsidRDefault="00BF3C3D" w:rsidP="009A2369">
            <w:pPr>
              <w:spacing w:before="0" w:beforeAutospacing="0" w:after="0" w:afterAutospacing="0"/>
              <w:ind w:firstLineChars="100" w:firstLine="200"/>
              <w:jc w:val="right"/>
              <w:rPr>
                <w:rFonts w:cs="Arial"/>
                <w:b/>
                <w:bCs/>
                <w:sz w:val="20"/>
                <w:szCs w:val="20"/>
                <w:lang w:eastAsia="en-US"/>
              </w:rPr>
            </w:pPr>
            <w:r>
              <w:rPr>
                <w:rFonts w:cs="Calibri"/>
                <w:b/>
                <w:bCs/>
                <w:sz w:val="20"/>
                <w:szCs w:val="20"/>
              </w:rPr>
              <w:t>608</w:t>
            </w:r>
            <w:r w:rsidR="009A2369">
              <w:rPr>
                <w:rFonts w:cs="Calibri"/>
                <w:b/>
                <w:bCs/>
                <w:sz w:val="20"/>
                <w:szCs w:val="20"/>
              </w:rPr>
              <w:t xml:space="preserve"> </w:t>
            </w:r>
            <w:r>
              <w:rPr>
                <w:rFonts w:cs="Calibri"/>
                <w:b/>
                <w:bCs/>
                <w:sz w:val="20"/>
                <w:szCs w:val="20"/>
              </w:rPr>
              <w:t>562</w:t>
            </w:r>
          </w:p>
        </w:tc>
      </w:tr>
      <w:tr w:rsidR="00BF3C3D" w14:paraId="133CA3CF" w14:textId="77777777" w:rsidTr="00BF3C3D">
        <w:trPr>
          <w:trHeight w:val="276"/>
        </w:trPr>
        <w:tc>
          <w:tcPr>
            <w:tcW w:w="3551" w:type="pct"/>
            <w:shd w:val="clear" w:color="auto" w:fill="auto"/>
            <w:vAlign w:val="bottom"/>
            <w:hideMark/>
          </w:tcPr>
          <w:p w14:paraId="78AD30D5" w14:textId="7B1B9655" w:rsidR="00BF3C3D" w:rsidRPr="006C048C" w:rsidRDefault="009A2369" w:rsidP="00BF3C3D">
            <w:pPr>
              <w:spacing w:before="0" w:beforeAutospacing="0" w:after="0" w:afterAutospacing="0"/>
              <w:jc w:val="left"/>
              <w:rPr>
                <w:rFonts w:cs="Arial"/>
                <w:sz w:val="20"/>
                <w:szCs w:val="20"/>
              </w:rPr>
            </w:pPr>
            <w:r w:rsidRPr="009A2369">
              <w:rPr>
                <w:sz w:val="20"/>
                <w:szCs w:val="20"/>
              </w:rPr>
              <w:t>Pořízení dlouhodobého hmotného a nehmotného majetku</w:t>
            </w:r>
          </w:p>
        </w:tc>
        <w:tc>
          <w:tcPr>
            <w:tcW w:w="1449" w:type="pct"/>
            <w:shd w:val="clear" w:color="auto" w:fill="auto"/>
            <w:noWrap/>
            <w:vAlign w:val="bottom"/>
          </w:tcPr>
          <w:p w14:paraId="27376579" w14:textId="0B63F2D6" w:rsidR="00BF3C3D" w:rsidRPr="006C048C" w:rsidRDefault="009A2369" w:rsidP="009A2369">
            <w:pPr>
              <w:spacing w:before="0" w:beforeAutospacing="0" w:after="0" w:afterAutospacing="0"/>
              <w:ind w:firstLineChars="100" w:firstLine="200"/>
              <w:jc w:val="right"/>
              <w:rPr>
                <w:rFonts w:cs="Arial"/>
                <w:sz w:val="20"/>
                <w:szCs w:val="20"/>
                <w:lang w:eastAsia="en-US"/>
              </w:rPr>
            </w:pPr>
            <w:r>
              <w:rPr>
                <w:rFonts w:cs="Calibri"/>
                <w:sz w:val="20"/>
                <w:szCs w:val="20"/>
              </w:rPr>
              <w:t>-</w:t>
            </w:r>
            <w:r w:rsidR="00BF3C3D" w:rsidRPr="007B298D">
              <w:rPr>
                <w:rFonts w:cs="Calibri"/>
                <w:sz w:val="20"/>
                <w:szCs w:val="20"/>
              </w:rPr>
              <w:t>25</w:t>
            </w:r>
            <w:r w:rsidR="00BF3C3D">
              <w:rPr>
                <w:rFonts w:cs="Calibri"/>
                <w:sz w:val="20"/>
                <w:szCs w:val="20"/>
              </w:rPr>
              <w:t>2</w:t>
            </w:r>
            <w:r>
              <w:rPr>
                <w:rFonts w:cs="Calibri"/>
                <w:sz w:val="20"/>
                <w:szCs w:val="20"/>
              </w:rPr>
              <w:t xml:space="preserve"> </w:t>
            </w:r>
            <w:r w:rsidR="00BF3C3D">
              <w:rPr>
                <w:rFonts w:cs="Calibri"/>
                <w:sz w:val="20"/>
                <w:szCs w:val="20"/>
              </w:rPr>
              <w:t>570</w:t>
            </w:r>
          </w:p>
        </w:tc>
      </w:tr>
      <w:tr w:rsidR="00BF3C3D" w14:paraId="0DBA6342" w14:textId="77777777" w:rsidTr="00BF3C3D">
        <w:trPr>
          <w:trHeight w:val="276"/>
        </w:trPr>
        <w:tc>
          <w:tcPr>
            <w:tcW w:w="3551" w:type="pct"/>
            <w:shd w:val="clear" w:color="auto" w:fill="auto"/>
            <w:vAlign w:val="bottom"/>
            <w:hideMark/>
          </w:tcPr>
          <w:p w14:paraId="1864EF4E" w14:textId="5A400742" w:rsidR="00BF3C3D" w:rsidRPr="006C048C" w:rsidRDefault="009A2369" w:rsidP="00BF3C3D">
            <w:pPr>
              <w:spacing w:before="0" w:beforeAutospacing="0" w:after="0" w:afterAutospacing="0"/>
              <w:jc w:val="left"/>
              <w:rPr>
                <w:rFonts w:cs="Arial"/>
                <w:sz w:val="20"/>
                <w:szCs w:val="20"/>
              </w:rPr>
            </w:pPr>
            <w:r w:rsidRPr="009A2369">
              <w:rPr>
                <w:sz w:val="20"/>
                <w:szCs w:val="20"/>
              </w:rPr>
              <w:t>Růst/(pokles) krátkodobých bankovních úvěrů a dluhopisů</w:t>
            </w:r>
          </w:p>
        </w:tc>
        <w:tc>
          <w:tcPr>
            <w:tcW w:w="1449" w:type="pct"/>
            <w:shd w:val="clear" w:color="auto" w:fill="auto"/>
            <w:noWrap/>
            <w:vAlign w:val="bottom"/>
          </w:tcPr>
          <w:p w14:paraId="733D322A" w14:textId="7B258C5E" w:rsidR="00BF3C3D" w:rsidRPr="006C048C" w:rsidRDefault="009A2369" w:rsidP="009A2369">
            <w:pPr>
              <w:spacing w:before="0" w:beforeAutospacing="0" w:after="0" w:afterAutospacing="0"/>
              <w:ind w:firstLineChars="100" w:firstLine="200"/>
              <w:jc w:val="right"/>
              <w:rPr>
                <w:rFonts w:cs="Arial"/>
                <w:sz w:val="20"/>
                <w:szCs w:val="20"/>
                <w:lang w:eastAsia="en-US"/>
              </w:rPr>
            </w:pPr>
            <w:bookmarkStart w:id="16" w:name="_GoBack"/>
            <w:bookmarkEnd w:id="16"/>
            <w:r>
              <w:rPr>
                <w:rFonts w:cs="Calibri"/>
                <w:sz w:val="20"/>
                <w:szCs w:val="20"/>
              </w:rPr>
              <w:t>-</w:t>
            </w:r>
            <w:r w:rsidR="00BF3C3D" w:rsidRPr="007B298D">
              <w:rPr>
                <w:rFonts w:cs="Calibri"/>
                <w:sz w:val="20"/>
                <w:szCs w:val="20"/>
              </w:rPr>
              <w:t>271</w:t>
            </w:r>
            <w:r>
              <w:rPr>
                <w:rFonts w:cs="Calibri"/>
                <w:sz w:val="20"/>
                <w:szCs w:val="20"/>
              </w:rPr>
              <w:t xml:space="preserve"> </w:t>
            </w:r>
            <w:r w:rsidR="00BF3C3D" w:rsidRPr="007B298D">
              <w:rPr>
                <w:rFonts w:cs="Calibri"/>
                <w:sz w:val="20"/>
                <w:szCs w:val="20"/>
              </w:rPr>
              <w:t>418</w:t>
            </w:r>
          </w:p>
        </w:tc>
      </w:tr>
      <w:tr w:rsidR="00BF3C3D" w14:paraId="7D6795A1" w14:textId="77777777" w:rsidTr="00BF3C3D">
        <w:trPr>
          <w:trHeight w:val="276"/>
        </w:trPr>
        <w:tc>
          <w:tcPr>
            <w:tcW w:w="3551" w:type="pct"/>
            <w:shd w:val="clear" w:color="auto" w:fill="auto"/>
            <w:vAlign w:val="bottom"/>
            <w:hideMark/>
          </w:tcPr>
          <w:p w14:paraId="427E80F7" w14:textId="2F4BB9D5" w:rsidR="00BF3C3D" w:rsidRPr="006C048C" w:rsidRDefault="009A2369" w:rsidP="00BF3C3D">
            <w:pPr>
              <w:spacing w:before="0" w:beforeAutospacing="0" w:after="0" w:afterAutospacing="0"/>
              <w:jc w:val="left"/>
              <w:rPr>
                <w:rFonts w:cs="Arial"/>
                <w:sz w:val="20"/>
                <w:szCs w:val="20"/>
              </w:rPr>
            </w:pPr>
            <w:r w:rsidRPr="009A2369">
              <w:rPr>
                <w:sz w:val="20"/>
                <w:szCs w:val="20"/>
              </w:rPr>
              <w:t>Růst/(pokles) ostatních dlouhodobých závazků</w:t>
            </w:r>
          </w:p>
        </w:tc>
        <w:tc>
          <w:tcPr>
            <w:tcW w:w="1449" w:type="pct"/>
            <w:shd w:val="clear" w:color="auto" w:fill="auto"/>
            <w:noWrap/>
            <w:vAlign w:val="bottom"/>
          </w:tcPr>
          <w:p w14:paraId="0A266118" w14:textId="6CD75315" w:rsidR="00BF3C3D" w:rsidRPr="006C048C" w:rsidRDefault="009A2369" w:rsidP="009A2369">
            <w:pPr>
              <w:spacing w:before="0" w:beforeAutospacing="0" w:after="0" w:afterAutospacing="0"/>
              <w:ind w:firstLineChars="100" w:firstLine="200"/>
              <w:jc w:val="right"/>
              <w:rPr>
                <w:rFonts w:cs="Arial"/>
                <w:sz w:val="20"/>
                <w:szCs w:val="20"/>
                <w:lang w:eastAsia="en-US"/>
              </w:rPr>
            </w:pPr>
            <w:r>
              <w:rPr>
                <w:rFonts w:cs="Calibri"/>
                <w:sz w:val="20"/>
                <w:szCs w:val="20"/>
              </w:rPr>
              <w:t>-</w:t>
            </w:r>
            <w:r w:rsidR="00BF3C3D">
              <w:rPr>
                <w:rFonts w:cs="Calibri"/>
                <w:sz w:val="20"/>
                <w:szCs w:val="20"/>
              </w:rPr>
              <w:t>2</w:t>
            </w:r>
            <w:r>
              <w:rPr>
                <w:rFonts w:cs="Calibri"/>
                <w:sz w:val="20"/>
                <w:szCs w:val="20"/>
              </w:rPr>
              <w:t xml:space="preserve"> </w:t>
            </w:r>
            <w:r w:rsidR="00BF3C3D">
              <w:rPr>
                <w:rFonts w:cs="Calibri"/>
                <w:sz w:val="20"/>
                <w:szCs w:val="20"/>
              </w:rPr>
              <w:t>543</w:t>
            </w:r>
          </w:p>
        </w:tc>
      </w:tr>
      <w:tr w:rsidR="00BF3C3D" w14:paraId="3C13FB3D" w14:textId="77777777" w:rsidTr="00BF3C3D">
        <w:trPr>
          <w:trHeight w:val="276"/>
        </w:trPr>
        <w:tc>
          <w:tcPr>
            <w:tcW w:w="3551" w:type="pct"/>
            <w:shd w:val="clear" w:color="auto" w:fill="auto"/>
            <w:vAlign w:val="bottom"/>
            <w:hideMark/>
          </w:tcPr>
          <w:p w14:paraId="09E43F5F" w14:textId="7307C7C6" w:rsidR="00BF3C3D" w:rsidRPr="006C048C" w:rsidRDefault="009A2369" w:rsidP="00BF3C3D">
            <w:pPr>
              <w:spacing w:before="0" w:beforeAutospacing="0" w:after="0" w:afterAutospacing="0"/>
              <w:jc w:val="left"/>
              <w:rPr>
                <w:rFonts w:cs="Arial"/>
                <w:sz w:val="20"/>
                <w:szCs w:val="20"/>
              </w:rPr>
            </w:pPr>
            <w:r w:rsidRPr="009A2369">
              <w:rPr>
                <w:sz w:val="20"/>
                <w:szCs w:val="20"/>
              </w:rPr>
              <w:t>Zaplacené úroky</w:t>
            </w:r>
          </w:p>
        </w:tc>
        <w:tc>
          <w:tcPr>
            <w:tcW w:w="1449" w:type="pct"/>
            <w:shd w:val="clear" w:color="auto" w:fill="auto"/>
            <w:noWrap/>
            <w:vAlign w:val="bottom"/>
          </w:tcPr>
          <w:p w14:paraId="145FD8FC" w14:textId="128C9378" w:rsidR="00BF3C3D" w:rsidRPr="006C048C" w:rsidRDefault="009A2369" w:rsidP="009A2369">
            <w:pPr>
              <w:spacing w:before="0" w:beforeAutospacing="0" w:after="0" w:afterAutospacing="0"/>
              <w:ind w:firstLineChars="100" w:firstLine="200"/>
              <w:jc w:val="right"/>
              <w:rPr>
                <w:rFonts w:cs="Arial"/>
                <w:sz w:val="20"/>
                <w:szCs w:val="20"/>
                <w:lang w:eastAsia="en-US"/>
              </w:rPr>
            </w:pPr>
            <w:r>
              <w:rPr>
                <w:rFonts w:cs="Calibri"/>
                <w:sz w:val="20"/>
                <w:szCs w:val="20"/>
              </w:rPr>
              <w:t>-</w:t>
            </w:r>
            <w:r w:rsidR="00BF3C3D" w:rsidRPr="007B298D">
              <w:rPr>
                <w:rFonts w:cs="Calibri"/>
                <w:sz w:val="20"/>
                <w:szCs w:val="20"/>
              </w:rPr>
              <w:t>24</w:t>
            </w:r>
            <w:r>
              <w:rPr>
                <w:rFonts w:cs="Calibri"/>
                <w:sz w:val="20"/>
                <w:szCs w:val="20"/>
              </w:rPr>
              <w:t xml:space="preserve"> </w:t>
            </w:r>
            <w:r w:rsidR="00BF3C3D" w:rsidRPr="007B298D">
              <w:rPr>
                <w:rFonts w:cs="Calibri"/>
                <w:sz w:val="20"/>
                <w:szCs w:val="20"/>
              </w:rPr>
              <w:t>255</w:t>
            </w:r>
          </w:p>
        </w:tc>
      </w:tr>
      <w:tr w:rsidR="00BF3C3D" w:rsidRPr="00FC4C13" w14:paraId="78D6A7C4" w14:textId="77777777" w:rsidTr="00BF3C3D">
        <w:trPr>
          <w:trHeight w:val="276"/>
        </w:trPr>
        <w:tc>
          <w:tcPr>
            <w:tcW w:w="3551" w:type="pct"/>
            <w:shd w:val="clear" w:color="auto" w:fill="auto"/>
            <w:vAlign w:val="bottom"/>
          </w:tcPr>
          <w:p w14:paraId="659A15C5" w14:textId="5D843638" w:rsidR="00BF3C3D" w:rsidRPr="00FC4C13" w:rsidRDefault="009A2369" w:rsidP="00BF3C3D">
            <w:pPr>
              <w:spacing w:before="0" w:beforeAutospacing="0" w:after="0" w:afterAutospacing="0"/>
              <w:jc w:val="left"/>
              <w:rPr>
                <w:b/>
                <w:sz w:val="20"/>
                <w:szCs w:val="20"/>
              </w:rPr>
            </w:pPr>
            <w:r>
              <w:rPr>
                <w:b/>
                <w:sz w:val="20"/>
                <w:szCs w:val="20"/>
              </w:rPr>
              <w:t>Volné peněžní toky</w:t>
            </w:r>
          </w:p>
        </w:tc>
        <w:tc>
          <w:tcPr>
            <w:tcW w:w="1449" w:type="pct"/>
            <w:shd w:val="clear" w:color="auto" w:fill="auto"/>
            <w:noWrap/>
            <w:vAlign w:val="bottom"/>
          </w:tcPr>
          <w:p w14:paraId="634212C3" w14:textId="3EE12DA3" w:rsidR="00BF3C3D" w:rsidRPr="00FC4C13" w:rsidRDefault="00BF3C3D" w:rsidP="009A2369">
            <w:pPr>
              <w:spacing w:before="0" w:beforeAutospacing="0" w:after="0" w:afterAutospacing="0"/>
              <w:ind w:firstLineChars="100" w:firstLine="200"/>
              <w:jc w:val="right"/>
              <w:rPr>
                <w:rFonts w:cs="Calibri"/>
                <w:b/>
                <w:sz w:val="20"/>
                <w:szCs w:val="20"/>
              </w:rPr>
            </w:pPr>
            <w:r w:rsidRPr="00FC4C13">
              <w:rPr>
                <w:rFonts w:cs="Calibri"/>
                <w:b/>
                <w:sz w:val="20"/>
                <w:szCs w:val="20"/>
              </w:rPr>
              <w:t>57</w:t>
            </w:r>
            <w:r w:rsidR="009A2369">
              <w:rPr>
                <w:rFonts w:cs="Calibri"/>
                <w:b/>
                <w:sz w:val="20"/>
                <w:szCs w:val="20"/>
              </w:rPr>
              <w:t xml:space="preserve"> </w:t>
            </w:r>
            <w:r w:rsidRPr="00FC4C13">
              <w:rPr>
                <w:rFonts w:cs="Calibri"/>
                <w:b/>
                <w:sz w:val="20"/>
                <w:szCs w:val="20"/>
              </w:rPr>
              <w:t>776</w:t>
            </w:r>
          </w:p>
        </w:tc>
      </w:tr>
    </w:tbl>
    <w:p w14:paraId="2766CED1" w14:textId="6C569633" w:rsidR="00BF3C3D" w:rsidRDefault="009A2369" w:rsidP="009A2369">
      <w:pPr>
        <w:pStyle w:val="Normlnweb"/>
        <w:spacing w:before="0" w:beforeAutospacing="0" w:after="0" w:afterAutospacing="0"/>
        <w:rPr>
          <w:sz w:val="20"/>
          <w:szCs w:val="20"/>
        </w:rPr>
      </w:pPr>
      <w:r w:rsidRPr="009A2369">
        <w:rPr>
          <w:sz w:val="20"/>
          <w:szCs w:val="20"/>
        </w:rPr>
        <w:t>V tis. Kč</w:t>
      </w:r>
    </w:p>
    <w:p w14:paraId="50CD03B5" w14:textId="77777777" w:rsidR="009A2369" w:rsidRPr="009A2369" w:rsidRDefault="009A2369" w:rsidP="009A2369">
      <w:pPr>
        <w:pStyle w:val="Normlnweb"/>
        <w:spacing w:before="0" w:beforeAutospacing="0" w:after="0" w:afterAutospacing="0"/>
        <w:rPr>
          <w:sz w:val="20"/>
          <w:szCs w:val="20"/>
        </w:rPr>
      </w:pPr>
    </w:p>
    <w:p w14:paraId="75FBAC32" w14:textId="6E4B3B0E" w:rsidR="000C292F" w:rsidRPr="006C048C" w:rsidRDefault="000C292F" w:rsidP="000C292F">
      <w:pPr>
        <w:pStyle w:val="Nadpis2"/>
      </w:pPr>
      <w:bookmarkStart w:id="17" w:name="_Toc269907488"/>
      <w:bookmarkStart w:id="18" w:name="_Toc522086607"/>
      <w:r w:rsidRPr="003405CE">
        <w:t>Přehled hospodaření Společnosti v</w:t>
      </w:r>
      <w:r w:rsidR="00894B01" w:rsidRPr="003405CE">
        <w:t> </w:t>
      </w:r>
      <w:r w:rsidRPr="003405CE">
        <w:t>prvním pololetí 201</w:t>
      </w:r>
      <w:bookmarkEnd w:id="17"/>
      <w:r w:rsidRPr="003405CE">
        <w:t>8</w:t>
      </w:r>
      <w:bookmarkEnd w:id="18"/>
    </w:p>
    <w:p w14:paraId="5309E097" w14:textId="3EEC2E3B" w:rsidR="000C292F" w:rsidRPr="009566C6" w:rsidRDefault="000C292F" w:rsidP="000C292F">
      <w:pPr>
        <w:pStyle w:val="Normlnweb"/>
      </w:pPr>
      <w:r w:rsidRPr="006C048C">
        <w:t>Celková produkce první jakosti dosáhla v</w:t>
      </w:r>
      <w:r w:rsidR="00B43B2C">
        <w:t> </w:t>
      </w:r>
      <w:r w:rsidRPr="006C048C">
        <w:t>prvním pololetí roku 201</w:t>
      </w:r>
      <w:r w:rsidR="00B43B2C">
        <w:t>8</w:t>
      </w:r>
      <w:r w:rsidRPr="006C048C">
        <w:t xml:space="preserve"> hodnoty </w:t>
      </w:r>
      <w:r w:rsidR="00B43B2C">
        <w:t>54</w:t>
      </w:r>
      <w:r w:rsidR="003405CE">
        <w:t> </w:t>
      </w:r>
      <w:r w:rsidR="00B43B2C">
        <w:t>533</w:t>
      </w:r>
      <w:r w:rsidRPr="006C048C">
        <w:t xml:space="preserve"> tun, což představuje nárůst o </w:t>
      </w:r>
      <w:r w:rsidR="00B43B2C">
        <w:t>4,0</w:t>
      </w:r>
      <w:r w:rsidRPr="006C048C">
        <w:t xml:space="preserve"> % ve srovnání s prvním pololetím roku 201</w:t>
      </w:r>
      <w:r w:rsidR="00B43B2C">
        <w:t>7</w:t>
      </w:r>
      <w:r w:rsidRPr="006C048C">
        <w:t>. Ve druhém čtvrtletí 201</w:t>
      </w:r>
      <w:r w:rsidR="00B43B2C">
        <w:t>8</w:t>
      </w:r>
      <w:r w:rsidRPr="006C048C">
        <w:t xml:space="preserve"> Společnost vyrobila 27 </w:t>
      </w:r>
      <w:r w:rsidR="00B43B2C">
        <w:t>466</w:t>
      </w:r>
      <w:r w:rsidR="00B43B2C" w:rsidRPr="006C048C">
        <w:t xml:space="preserve"> </w:t>
      </w:r>
      <w:r w:rsidRPr="006C048C">
        <w:t xml:space="preserve">tun, tj. o </w:t>
      </w:r>
      <w:r w:rsidR="00B43B2C">
        <w:t>1,4</w:t>
      </w:r>
      <w:r w:rsidRPr="006C048C">
        <w:t xml:space="preserve"> % více v porovnání se stejným obdobím loňského </w:t>
      </w:r>
      <w:r w:rsidRPr="009566C6">
        <w:t xml:space="preserve">roku. </w:t>
      </w:r>
    </w:p>
    <w:p w14:paraId="3CF9E662" w14:textId="726DA1B2" w:rsidR="000C292F" w:rsidRPr="009566C6" w:rsidRDefault="000C292F" w:rsidP="000C292F">
      <w:pPr>
        <w:pStyle w:val="Normlnweb"/>
      </w:pPr>
      <w:r w:rsidRPr="009566C6">
        <w:t>Podíl výnosů z prodeje netkaných textilií určených k výrobě hygienických produktů na celkových výnosech činil v prvním pololetí roku 201</w:t>
      </w:r>
      <w:r w:rsidR="009566C6" w:rsidRPr="009566C6">
        <w:t>8</w:t>
      </w:r>
      <w:r w:rsidRPr="009566C6">
        <w:t xml:space="preserve"> 8</w:t>
      </w:r>
      <w:r w:rsidR="009566C6" w:rsidRPr="009566C6">
        <w:t>9</w:t>
      </w:r>
      <w:r w:rsidRPr="009566C6">
        <w:t>,</w:t>
      </w:r>
      <w:r w:rsidR="009566C6" w:rsidRPr="009566C6">
        <w:t>2</w:t>
      </w:r>
      <w:r w:rsidRPr="009566C6">
        <w:t xml:space="preserve"> %. </w:t>
      </w:r>
    </w:p>
    <w:p w14:paraId="042D3394" w14:textId="523D7F3C" w:rsidR="000C292F" w:rsidRDefault="000C292F" w:rsidP="000C292F">
      <w:pPr>
        <w:pStyle w:val="Normlnweb"/>
      </w:pPr>
      <w:r w:rsidRPr="009566C6">
        <w:t>Rozdělení výnosů dle geografie trhů</w:t>
      </w:r>
      <w:r w:rsidRPr="009566C6">
        <w:rPr>
          <w:rStyle w:val="Znakapoznpodarou"/>
          <w:rFonts w:cs="Arial"/>
        </w:rPr>
        <w:footnoteReference w:id="1"/>
      </w:r>
      <w:r w:rsidRPr="009566C6">
        <w:t xml:space="preserve"> potvrzuje stálou koncentraci odbytu Společnosti na širší oblast Evropy. Výnosy z prodejů do západní Evropy dosáhly v prvním pololetí roku 201</w:t>
      </w:r>
      <w:r w:rsidR="009566C6" w:rsidRPr="009566C6">
        <w:t>8</w:t>
      </w:r>
      <w:r w:rsidRPr="009566C6">
        <w:t xml:space="preserve"> 34,</w:t>
      </w:r>
      <w:r w:rsidR="009566C6" w:rsidRPr="009566C6">
        <w:t>2</w:t>
      </w:r>
      <w:r w:rsidRPr="009566C6">
        <w:t>%</w:t>
      </w:r>
      <w:r w:rsidR="009566C6" w:rsidRPr="009566C6">
        <w:t>, v</w:t>
      </w:r>
      <w:r w:rsidRPr="009566C6">
        <w:t xml:space="preserve">ýnosy z </w:t>
      </w:r>
      <w:r w:rsidRPr="009566C6">
        <w:lastRenderedPageBreak/>
        <w:t xml:space="preserve">prodeje do střední a východní Evropy a Ruska </w:t>
      </w:r>
      <w:r w:rsidR="009566C6" w:rsidRPr="009566C6">
        <w:t>39,5 % a v</w:t>
      </w:r>
      <w:r w:rsidRPr="009566C6">
        <w:t xml:space="preserve">ýnosy z prodeje do ostatních teritorií činily </w:t>
      </w:r>
      <w:r w:rsidR="009566C6" w:rsidRPr="009566C6">
        <w:t xml:space="preserve">zbylých 26,3 </w:t>
      </w:r>
      <w:r w:rsidRPr="009566C6">
        <w:t>%.</w:t>
      </w:r>
    </w:p>
    <w:p w14:paraId="552070B5" w14:textId="77777777" w:rsidR="000C292F" w:rsidRPr="006C048C" w:rsidRDefault="000C292F" w:rsidP="000C292F">
      <w:pPr>
        <w:pStyle w:val="Nadpis2"/>
      </w:pPr>
      <w:bookmarkStart w:id="19" w:name="_Toc269907490"/>
      <w:bookmarkStart w:id="20" w:name="_Toc522086608"/>
      <w:bookmarkStart w:id="21" w:name="OLE_LINK1"/>
      <w:bookmarkStart w:id="22" w:name="OLE_LINK2"/>
      <w:bookmarkStart w:id="23" w:name="_Toc165188441"/>
      <w:r w:rsidRPr="006C048C">
        <w:t>Výzkum a vývoj</w:t>
      </w:r>
      <w:bookmarkEnd w:id="19"/>
      <w:bookmarkEnd w:id="20"/>
    </w:p>
    <w:p w14:paraId="5890B595" w14:textId="350663CF" w:rsidR="000C292F" w:rsidRPr="006C048C" w:rsidRDefault="000C292F" w:rsidP="009602F7">
      <w:bookmarkStart w:id="24" w:name="_Toc269111121"/>
      <w:bookmarkStart w:id="25" w:name="_Toc269118394"/>
      <w:bookmarkStart w:id="26" w:name="_Toc269139293"/>
      <w:bookmarkStart w:id="27" w:name="_Toc269111123"/>
      <w:bookmarkStart w:id="28" w:name="_Toc269118396"/>
      <w:bookmarkStart w:id="29" w:name="_Toc269139295"/>
      <w:bookmarkStart w:id="30" w:name="_Toc269111128"/>
      <w:bookmarkStart w:id="31" w:name="_Toc269118401"/>
      <w:bookmarkStart w:id="32" w:name="_Toc269139300"/>
      <w:bookmarkStart w:id="33" w:name="_Toc519774587"/>
      <w:bookmarkStart w:id="34" w:name="_Toc269907491"/>
      <w:bookmarkEnd w:id="21"/>
      <w:bookmarkEnd w:id="22"/>
      <w:bookmarkEnd w:id="24"/>
      <w:bookmarkEnd w:id="25"/>
      <w:bookmarkEnd w:id="26"/>
      <w:bookmarkEnd w:id="27"/>
      <w:bookmarkEnd w:id="28"/>
      <w:bookmarkEnd w:id="29"/>
      <w:bookmarkEnd w:id="30"/>
      <w:bookmarkEnd w:id="31"/>
      <w:bookmarkEnd w:id="32"/>
      <w:r w:rsidRPr="006C048C">
        <w:t>Vývoj nových aplikací, výrobků a</w:t>
      </w:r>
      <w:r w:rsidR="00497D37">
        <w:t> </w:t>
      </w:r>
      <w:r w:rsidRPr="006C048C">
        <w:t>optimalizace technologií jsou jednou z</w:t>
      </w:r>
      <w:r w:rsidR="00497D37">
        <w:t> </w:t>
      </w:r>
      <w:r w:rsidRPr="006C048C">
        <w:t>klíčových oblastí současné a budoucí strategie Společnosti. Bližší informace pro oblast výzkumu a vývoje jsou k dispozici ve Výroční zprávě za rok 2017.</w:t>
      </w:r>
      <w:bookmarkEnd w:id="33"/>
      <w:r w:rsidRPr="006C048C">
        <w:t xml:space="preserve"> </w:t>
      </w:r>
    </w:p>
    <w:p w14:paraId="614F8FC3" w14:textId="77777777" w:rsidR="000C292F" w:rsidRPr="006C048C" w:rsidRDefault="000C292F" w:rsidP="000C292F">
      <w:pPr>
        <w:pStyle w:val="Nadpis2"/>
      </w:pPr>
      <w:bookmarkStart w:id="35" w:name="_Toc269907492"/>
      <w:bookmarkStart w:id="36" w:name="_Toc522086609"/>
      <w:bookmarkEnd w:id="34"/>
      <w:r w:rsidRPr="006C048C">
        <w:t>Rizikové faktory</w:t>
      </w:r>
      <w:bookmarkEnd w:id="35"/>
      <w:bookmarkEnd w:id="36"/>
    </w:p>
    <w:p w14:paraId="444B2393" w14:textId="1AAC590F" w:rsidR="000C292F" w:rsidRPr="006C048C" w:rsidRDefault="000C292F" w:rsidP="000C292F">
      <w:r w:rsidRPr="006C048C">
        <w:t xml:space="preserve">Podnikání, provozní a finanční činnost Společnosti mohou být nepříznivě ovlivněny </w:t>
      </w:r>
      <w:r w:rsidR="00E431E6" w:rsidRPr="006C048C">
        <w:t xml:space="preserve">řadou </w:t>
      </w:r>
      <w:r w:rsidRPr="006C048C">
        <w:t>faktor</w:t>
      </w:r>
      <w:r w:rsidR="00E431E6" w:rsidRPr="006C048C">
        <w:t>ů</w:t>
      </w:r>
      <w:r w:rsidRPr="006C048C">
        <w:t>. Jednotlivé rizikové faktory jsou popsány ve Výroční zp</w:t>
      </w:r>
      <w:r w:rsidR="00736620">
        <w:t>r</w:t>
      </w:r>
      <w:r w:rsidRPr="006C048C">
        <w:t>ávě za rok 2017.</w:t>
      </w:r>
    </w:p>
    <w:p w14:paraId="11A0A249" w14:textId="06E7C8DD" w:rsidR="000C292F" w:rsidRPr="006C048C" w:rsidRDefault="000C292F" w:rsidP="000C292F">
      <w:pPr>
        <w:pStyle w:val="Nadpis2"/>
      </w:pPr>
      <w:bookmarkStart w:id="37" w:name="_Toc522086610"/>
      <w:r w:rsidRPr="006C048C">
        <w:t xml:space="preserve">Očekáváný vývoj </w:t>
      </w:r>
      <w:r w:rsidR="004620EA" w:rsidRPr="004620EA">
        <w:t>finanční situace, podnikatelské činnosti a výsledků hospodaření</w:t>
      </w:r>
      <w:r w:rsidRPr="006C048C">
        <w:t xml:space="preserve"> v 2. pololetí 2018</w:t>
      </w:r>
      <w:bookmarkEnd w:id="37"/>
    </w:p>
    <w:p w14:paraId="5A7E82DD" w14:textId="1940F574" w:rsidR="000C292F" w:rsidRPr="00FA5E46" w:rsidRDefault="004620EA" w:rsidP="000C292F">
      <w:r w:rsidRPr="00FA5E46">
        <w:t xml:space="preserve">Podnikání Společnosti není v podstatě ovlivňováno sezónními ani ekonomickými faktory mimo běžného ekonomického cyklu, ačkoliv trh s hygienickými potřebami je do značné míry necyklický. V druhém pololetí tak Společnost neočekává významnou změnu objemu prodeje, resp. výroby oproti prvnímu pololetí. </w:t>
      </w:r>
      <w:r w:rsidR="000C292F" w:rsidRPr="00FA5E46">
        <w:t xml:space="preserve">Celkový vývoj </w:t>
      </w:r>
      <w:r w:rsidRPr="00FA5E46">
        <w:t xml:space="preserve">hospodaření </w:t>
      </w:r>
      <w:r w:rsidR="000C292F" w:rsidRPr="00FA5E46">
        <w:t>Společnosti je</w:t>
      </w:r>
      <w:r w:rsidRPr="00FA5E46">
        <w:t xml:space="preserve"> do jisté míry</w:t>
      </w:r>
      <w:r w:rsidR="000C292F" w:rsidRPr="00FA5E46">
        <w:t xml:space="preserve"> </w:t>
      </w:r>
      <w:r w:rsidRPr="00FA5E46">
        <w:t xml:space="preserve">ovlivněn externími vlivy, z nichž je nejvýznamnější </w:t>
      </w:r>
      <w:r w:rsidR="000C292F" w:rsidRPr="00FA5E46">
        <w:t xml:space="preserve">vývoj cenových indexů polymerů, které ovlivňují jak </w:t>
      </w:r>
      <w:r w:rsidR="00736620" w:rsidRPr="00FA5E46">
        <w:t>výš</w:t>
      </w:r>
      <w:r w:rsidR="00190491" w:rsidRPr="00FA5E46">
        <w:t>i</w:t>
      </w:r>
      <w:r w:rsidR="000C292F" w:rsidRPr="00FA5E46">
        <w:t xml:space="preserve"> nákladů, tak tržeb Společnosti. Vývoj cenových indexů polymer</w:t>
      </w:r>
      <w:r w:rsidR="00F521E5" w:rsidRPr="00FA5E46">
        <w:t>ů nelze s dostatečnou spolehlivostí predikovat.</w:t>
      </w:r>
    </w:p>
    <w:p w14:paraId="772A7ED4" w14:textId="50BD48E3" w:rsidR="00A1545C" w:rsidRDefault="000C292F" w:rsidP="000C292F">
      <w:r w:rsidRPr="00FA5E46">
        <w:lastRenderedPageBreak/>
        <w:t xml:space="preserve">V průběhu 2. pololetí 2018 </w:t>
      </w:r>
      <w:r w:rsidR="00A1545C">
        <w:t>budou do struktury řízení Skupiny zaveden</w:t>
      </w:r>
      <w:r w:rsidR="00BE7891">
        <w:t>a</w:t>
      </w:r>
      <w:r w:rsidR="00A1545C">
        <w:t xml:space="preserve"> standardní koncernová pravidla a opatření. </w:t>
      </w:r>
    </w:p>
    <w:p w14:paraId="426F48E7" w14:textId="096EB536" w:rsidR="000C292F" w:rsidRPr="00FA5E46" w:rsidRDefault="000C292F" w:rsidP="000C292F">
      <w:r w:rsidRPr="00FA5E46">
        <w:t>Společnost bude pokračovat v investic</w:t>
      </w:r>
      <w:r w:rsidR="00F521E5" w:rsidRPr="00FA5E46">
        <w:t>i</w:t>
      </w:r>
      <w:r w:rsidRPr="00FA5E46">
        <w:t xml:space="preserve"> do výstavby nového výrobního závodu v Jihoafrické republice a </w:t>
      </w:r>
      <w:r w:rsidR="00F521E5" w:rsidRPr="00FA5E46">
        <w:t xml:space="preserve">bude připravovat prostory pro </w:t>
      </w:r>
      <w:r w:rsidRPr="00FA5E46">
        <w:t>instalac</w:t>
      </w:r>
      <w:r w:rsidR="00F521E5" w:rsidRPr="00FA5E46">
        <w:t>i</w:t>
      </w:r>
      <w:r w:rsidRPr="00FA5E46">
        <w:t xml:space="preserve"> nové semi-komerční linky v</w:t>
      </w:r>
      <w:r w:rsidR="00F521E5" w:rsidRPr="00FA5E46">
        <w:t>e stávající budově výrobně</w:t>
      </w:r>
      <w:r w:rsidR="000C10BD" w:rsidRPr="00FA5E46">
        <w:t>-</w:t>
      </w:r>
      <w:r w:rsidR="00F521E5" w:rsidRPr="00FA5E46">
        <w:t>skladové haly v</w:t>
      </w:r>
      <w:r w:rsidRPr="00FA5E46">
        <w:t> závodě ve Znojmě-Příměticích.</w:t>
      </w:r>
    </w:p>
    <w:p w14:paraId="424C9FFB" w14:textId="722A22CC" w:rsidR="000C292F" w:rsidRDefault="000C292F" w:rsidP="000C292F">
      <w:r w:rsidRPr="00FA5E46">
        <w:t xml:space="preserve">Společnost se bude dále zaměřovat na průběžné opravy a modernizace stávajících výrobních zařízení a na plnění </w:t>
      </w:r>
      <w:r w:rsidR="000C10BD" w:rsidRPr="00FA5E46">
        <w:t xml:space="preserve">strategických </w:t>
      </w:r>
      <w:r w:rsidRPr="00FA5E46">
        <w:t>cílů Společnosti.</w:t>
      </w:r>
    </w:p>
    <w:p w14:paraId="0757E3E4" w14:textId="4BBAC20A" w:rsidR="00BE7891" w:rsidRPr="000546B5" w:rsidRDefault="00BE7891" w:rsidP="00BE7891">
      <w:pPr>
        <w:rPr>
          <w:b/>
          <w:color w:val="2A7FC6"/>
        </w:rPr>
      </w:pPr>
      <w:r>
        <w:rPr>
          <w:b/>
          <w:color w:val="2A7FC6"/>
        </w:rPr>
        <w:t>Refinancování dluhopisů v listopadu 2018</w:t>
      </w:r>
    </w:p>
    <w:p w14:paraId="5585E5A4" w14:textId="1E6074C2" w:rsidR="00BE7891" w:rsidRPr="006C048C" w:rsidRDefault="00BE7891" w:rsidP="00BE7891">
      <w:pPr>
        <w:pStyle w:val="Normlnweb"/>
      </w:pPr>
      <w:r>
        <w:t>Dne 14. listopadu 2018 je splatná emise veřejných dluhopisů (</w:t>
      </w:r>
      <w:r w:rsidRPr="00C80184">
        <w:t>CZ0000000559</w:t>
      </w:r>
      <w:r>
        <w:rPr>
          <w:lang w:val="en-US"/>
        </w:rPr>
        <w:t>) v nominální výši 2 302 mil. Kč, resp. 90 mil. EUR. Na splacení emise Společnost použije výtěžek z privátní emise bondů z ledna 2017 ve výši 50 mil. EUR, resp. 1 300 mil. Kč, které jsou za tímto účelem uloženy na zvláštním účtu. Dalších 187 mil. Kč Společnost obdrží z titulu křížového měnového swapu, který emisi veřejných dluhopisů zajišťuje. Zbývajících přibližně 31 mil. EUR, resp. 815 mil. Kč bude refinancováno krátkodobým bankovním úvěrem.</w:t>
      </w:r>
    </w:p>
    <w:p w14:paraId="14361B05" w14:textId="2E9790DB" w:rsidR="00F521E5" w:rsidRPr="000546B5" w:rsidRDefault="00F521E5" w:rsidP="00F521E5">
      <w:pPr>
        <w:rPr>
          <w:b/>
          <w:color w:val="2A7FC6"/>
        </w:rPr>
      </w:pPr>
      <w:bookmarkStart w:id="38" w:name="_Toc165188447"/>
      <w:bookmarkEnd w:id="23"/>
      <w:r w:rsidRPr="000546B5">
        <w:rPr>
          <w:b/>
          <w:color w:val="2A7FC6"/>
        </w:rPr>
        <w:t>Potvrzení výhledu hospodaření na rok 2018</w:t>
      </w:r>
    </w:p>
    <w:p w14:paraId="7AB748BC" w14:textId="77777777" w:rsidR="00F521E5" w:rsidRPr="006C048C" w:rsidRDefault="00F521E5" w:rsidP="00F521E5">
      <w:pPr>
        <w:pStyle w:val="Normlnweb"/>
      </w:pPr>
      <w:r w:rsidRPr="006C048C">
        <w:t xml:space="preserve">V prvním pololetí roku 2018 Společnost dosáhla hospodářských výsledků, jež jsou v souladu s jejím očekáváním a se zveřejněným výhledem na celý rok 2018. </w:t>
      </w:r>
    </w:p>
    <w:p w14:paraId="646E3DCB" w14:textId="77777777" w:rsidR="00F521E5" w:rsidRPr="006C048C" w:rsidRDefault="00F521E5" w:rsidP="00F521E5">
      <w:pPr>
        <w:pStyle w:val="Normlnweb"/>
      </w:pPr>
      <w:r w:rsidRPr="006C048C">
        <w:t xml:space="preserve">Na základě dosažených výsledků za první pololetí 2018 a s ohledem na vývoj na evropském trhu netkaných textilií včetně očekávaného vývoje na trhu s polymery potvrzuje Společnost svůj předchozí výhled </w:t>
      </w:r>
      <w:r w:rsidRPr="006C048C">
        <w:lastRenderedPageBreak/>
        <w:t>na rok 2018 a očekává, že ukazatel EBITDA v tomto roce vzroste na hodnotu v rozmezí 1,22 až 1,38 miliardy Kč.</w:t>
      </w:r>
    </w:p>
    <w:p w14:paraId="74458B5B" w14:textId="77777777" w:rsidR="00F521E5" w:rsidRPr="006C048C" w:rsidRDefault="00F521E5" w:rsidP="00F521E5">
      <w:pPr>
        <w:pStyle w:val="Normlnweb"/>
      </w:pPr>
      <w:r w:rsidRPr="006C048C">
        <w:t xml:space="preserve">Společnost plánuje, že celkové investiční výdaje v roce 2018 nepřesáhnou úroveň 1,05 miliardy Kč. </w:t>
      </w:r>
    </w:p>
    <w:p w14:paraId="3C8173DE" w14:textId="77777777" w:rsidR="000C292F" w:rsidRPr="006C048C" w:rsidRDefault="000C292F" w:rsidP="000C292F">
      <w:pPr>
        <w:pStyle w:val="Nadpis1"/>
        <w:sectPr w:rsidR="000C292F" w:rsidRPr="006C048C" w:rsidSect="00C1376F">
          <w:pgSz w:w="11906" w:h="16838"/>
          <w:pgMar w:top="1417" w:right="1417" w:bottom="1417" w:left="1417" w:header="708" w:footer="708" w:gutter="0"/>
          <w:cols w:num="2" w:space="708"/>
          <w:docGrid w:linePitch="360"/>
        </w:sectPr>
      </w:pPr>
    </w:p>
    <w:p w14:paraId="4D46DAFF" w14:textId="77777777" w:rsidR="000C292F" w:rsidRPr="006C048C" w:rsidRDefault="000C292F" w:rsidP="000C292F">
      <w:pPr>
        <w:pStyle w:val="Nadpis1"/>
      </w:pPr>
      <w:bookmarkStart w:id="39" w:name="_Toc269907493"/>
      <w:bookmarkStart w:id="40" w:name="_Toc522086611"/>
      <w:r w:rsidRPr="006C048C">
        <w:lastRenderedPageBreak/>
        <w:t>Akcie a akcionářská struktura</w:t>
      </w:r>
      <w:bookmarkEnd w:id="39"/>
      <w:bookmarkEnd w:id="40"/>
    </w:p>
    <w:p w14:paraId="324C5030" w14:textId="77777777" w:rsidR="000C292F" w:rsidRPr="006C048C" w:rsidRDefault="000C292F" w:rsidP="000C292F">
      <w:pPr>
        <w:pStyle w:val="Nadpis1"/>
      </w:pPr>
      <w:r w:rsidRPr="006C048C">
        <w:t xml:space="preserve"> </w:t>
      </w:r>
    </w:p>
    <w:p w14:paraId="34AD1C54" w14:textId="77777777" w:rsidR="000C292F" w:rsidRPr="006C048C" w:rsidRDefault="000C292F" w:rsidP="000C292F">
      <w:pPr>
        <w:sectPr w:rsidR="000C292F" w:rsidRPr="006C048C" w:rsidSect="00E431E6">
          <w:pgSz w:w="11906" w:h="16838"/>
          <w:pgMar w:top="1417" w:right="1417" w:bottom="1417" w:left="1417" w:header="708" w:footer="708" w:gutter="0"/>
          <w:cols w:space="708"/>
          <w:docGrid w:linePitch="360"/>
        </w:sectPr>
      </w:pPr>
    </w:p>
    <w:p w14:paraId="702482A7" w14:textId="77777777" w:rsidR="000C292F" w:rsidRPr="006C048C" w:rsidRDefault="000C292F" w:rsidP="000C292F">
      <w:pPr>
        <w:pStyle w:val="Nadpis4"/>
      </w:pPr>
      <w:r w:rsidRPr="006C048C">
        <w:lastRenderedPageBreak/>
        <w:t>Struktura akcionářů k 30. červnu 2018</w:t>
      </w:r>
    </w:p>
    <w:tbl>
      <w:tblPr>
        <w:tblW w:w="4625" w:type="pct"/>
        <w:tblBorders>
          <w:top w:val="single" w:sz="4" w:space="0" w:color="9C9D9F"/>
          <w:bottom w:val="single" w:sz="4" w:space="0" w:color="9C9D9F"/>
          <w:insideH w:val="single" w:sz="4" w:space="0" w:color="9C9D9F"/>
        </w:tblBorders>
        <w:tblLook w:val="01E0" w:firstRow="1" w:lastRow="1" w:firstColumn="1" w:lastColumn="1" w:noHBand="0" w:noVBand="0"/>
      </w:tblPr>
      <w:tblGrid>
        <w:gridCol w:w="2841"/>
        <w:gridCol w:w="1027"/>
      </w:tblGrid>
      <w:tr w:rsidR="000C292F" w:rsidRPr="006A75D4" w14:paraId="58CFCBB3" w14:textId="77777777" w:rsidTr="006A75D4">
        <w:tc>
          <w:tcPr>
            <w:tcW w:w="3673" w:type="pct"/>
            <w:shd w:val="clear" w:color="auto" w:fill="A6A6A6" w:themeFill="background1" w:themeFillShade="A6"/>
          </w:tcPr>
          <w:p w14:paraId="43B52D17" w14:textId="31337B79" w:rsidR="000C292F" w:rsidRPr="006A75D4" w:rsidRDefault="00FA5E46" w:rsidP="00E431E6">
            <w:pPr>
              <w:jc w:val="left"/>
              <w:rPr>
                <w:b/>
                <w:sz w:val="20"/>
                <w:szCs w:val="20"/>
              </w:rPr>
            </w:pPr>
            <w:r w:rsidRPr="006A75D4">
              <w:rPr>
                <w:b/>
                <w:sz w:val="20"/>
                <w:szCs w:val="20"/>
              </w:rPr>
              <w:t>Celkem</w:t>
            </w:r>
            <w:r w:rsidR="000C292F" w:rsidRPr="006A75D4">
              <w:rPr>
                <w:b/>
                <w:sz w:val="20"/>
                <w:szCs w:val="20"/>
              </w:rPr>
              <w:t xml:space="preserve"> </w:t>
            </w:r>
          </w:p>
        </w:tc>
        <w:tc>
          <w:tcPr>
            <w:tcW w:w="1327" w:type="pct"/>
            <w:shd w:val="clear" w:color="auto" w:fill="A6A6A6" w:themeFill="background1" w:themeFillShade="A6"/>
            <w:vAlign w:val="center"/>
          </w:tcPr>
          <w:p w14:paraId="188F9EE7" w14:textId="77777777" w:rsidR="000C292F" w:rsidRPr="006A75D4" w:rsidRDefault="000C292F" w:rsidP="00E431E6">
            <w:pPr>
              <w:jc w:val="right"/>
              <w:rPr>
                <w:b/>
                <w:sz w:val="20"/>
                <w:szCs w:val="20"/>
              </w:rPr>
            </w:pPr>
            <w:r w:rsidRPr="006A75D4">
              <w:rPr>
                <w:b/>
                <w:sz w:val="20"/>
                <w:szCs w:val="20"/>
              </w:rPr>
              <w:t>100,0 %</w:t>
            </w:r>
          </w:p>
        </w:tc>
      </w:tr>
      <w:tr w:rsidR="000C292F" w:rsidRPr="006A75D4" w14:paraId="3B8A9F86" w14:textId="77777777" w:rsidTr="006A75D4">
        <w:tc>
          <w:tcPr>
            <w:tcW w:w="3673" w:type="pct"/>
          </w:tcPr>
          <w:p w14:paraId="36C66C51" w14:textId="77777777" w:rsidR="000C292F" w:rsidRPr="006A75D4" w:rsidRDefault="000C292F" w:rsidP="00E431E6">
            <w:pPr>
              <w:ind w:left="270"/>
              <w:jc w:val="left"/>
              <w:rPr>
                <w:sz w:val="20"/>
                <w:szCs w:val="20"/>
              </w:rPr>
            </w:pPr>
            <w:r w:rsidRPr="006A75D4">
              <w:rPr>
                <w:sz w:val="20"/>
                <w:szCs w:val="20"/>
              </w:rPr>
              <w:t>z toho PFNonwovens Holding s.r.o.</w:t>
            </w:r>
          </w:p>
        </w:tc>
        <w:tc>
          <w:tcPr>
            <w:tcW w:w="1327" w:type="pct"/>
            <w:vAlign w:val="center"/>
          </w:tcPr>
          <w:p w14:paraId="7536348B" w14:textId="77777777" w:rsidR="000C292F" w:rsidRPr="006A75D4" w:rsidRDefault="000C292F" w:rsidP="00E431E6">
            <w:pPr>
              <w:jc w:val="right"/>
              <w:rPr>
                <w:sz w:val="20"/>
                <w:szCs w:val="20"/>
              </w:rPr>
            </w:pPr>
            <w:r w:rsidRPr="006A75D4">
              <w:rPr>
                <w:sz w:val="20"/>
                <w:szCs w:val="20"/>
              </w:rPr>
              <w:t>88,7 %</w:t>
            </w:r>
          </w:p>
        </w:tc>
      </w:tr>
      <w:tr w:rsidR="000C292F" w:rsidRPr="006A75D4" w14:paraId="19D4D4DC" w14:textId="77777777" w:rsidTr="006A75D4">
        <w:tc>
          <w:tcPr>
            <w:tcW w:w="3673" w:type="pct"/>
          </w:tcPr>
          <w:p w14:paraId="5016A83A" w14:textId="688CF186" w:rsidR="000C292F" w:rsidRPr="006A75D4" w:rsidRDefault="000C292F" w:rsidP="00E431E6">
            <w:pPr>
              <w:ind w:left="270"/>
              <w:jc w:val="left"/>
              <w:rPr>
                <w:sz w:val="20"/>
                <w:szCs w:val="20"/>
              </w:rPr>
            </w:pPr>
            <w:r w:rsidRPr="006A75D4">
              <w:rPr>
                <w:sz w:val="20"/>
                <w:szCs w:val="20"/>
              </w:rPr>
              <w:t xml:space="preserve">z toho </w:t>
            </w:r>
            <w:r w:rsidR="00FA5E46" w:rsidRPr="006A75D4">
              <w:rPr>
                <w:sz w:val="20"/>
                <w:szCs w:val="20"/>
              </w:rPr>
              <w:t>free float (</w:t>
            </w:r>
            <w:r w:rsidRPr="006A75D4">
              <w:rPr>
                <w:sz w:val="20"/>
                <w:szCs w:val="20"/>
              </w:rPr>
              <w:t>instituciální a</w:t>
            </w:r>
            <w:r w:rsidR="00F7306C" w:rsidRPr="006A75D4">
              <w:rPr>
                <w:sz w:val="20"/>
                <w:szCs w:val="20"/>
              </w:rPr>
              <w:t> </w:t>
            </w:r>
            <w:r w:rsidRPr="006A75D4">
              <w:rPr>
                <w:sz w:val="20"/>
                <w:szCs w:val="20"/>
              </w:rPr>
              <w:t>drobní investoři</w:t>
            </w:r>
            <w:r w:rsidR="00FA5E46" w:rsidRPr="006A75D4">
              <w:rPr>
                <w:sz w:val="20"/>
                <w:szCs w:val="20"/>
              </w:rPr>
              <w:t>)</w:t>
            </w:r>
          </w:p>
        </w:tc>
        <w:tc>
          <w:tcPr>
            <w:tcW w:w="1327" w:type="pct"/>
            <w:vAlign w:val="center"/>
          </w:tcPr>
          <w:p w14:paraId="10409D07" w14:textId="77777777" w:rsidR="000C292F" w:rsidRPr="006A75D4" w:rsidRDefault="000C292F" w:rsidP="00E431E6">
            <w:pPr>
              <w:jc w:val="right"/>
              <w:rPr>
                <w:sz w:val="20"/>
                <w:szCs w:val="20"/>
              </w:rPr>
            </w:pPr>
            <w:r w:rsidRPr="006A75D4">
              <w:rPr>
                <w:sz w:val="20"/>
                <w:szCs w:val="20"/>
              </w:rPr>
              <w:t>11,3 %</w:t>
            </w:r>
          </w:p>
        </w:tc>
      </w:tr>
      <w:tr w:rsidR="000C292F" w:rsidRPr="006A75D4" w14:paraId="089990BD" w14:textId="77777777" w:rsidTr="006A75D4">
        <w:tc>
          <w:tcPr>
            <w:tcW w:w="3673" w:type="pct"/>
          </w:tcPr>
          <w:p w14:paraId="14F6C20F" w14:textId="77777777" w:rsidR="000C292F" w:rsidRPr="006A75D4" w:rsidRDefault="000C292F" w:rsidP="00E431E6">
            <w:pPr>
              <w:ind w:left="270"/>
              <w:jc w:val="left"/>
              <w:rPr>
                <w:sz w:val="20"/>
                <w:szCs w:val="20"/>
              </w:rPr>
            </w:pPr>
            <w:r w:rsidRPr="006A75D4">
              <w:rPr>
                <w:sz w:val="20"/>
                <w:szCs w:val="20"/>
              </w:rPr>
              <w:t>z toho vlastní akcie</w:t>
            </w:r>
          </w:p>
        </w:tc>
        <w:tc>
          <w:tcPr>
            <w:tcW w:w="1327" w:type="pct"/>
            <w:vAlign w:val="center"/>
          </w:tcPr>
          <w:p w14:paraId="597F6D86" w14:textId="77777777" w:rsidR="000C292F" w:rsidRPr="006A75D4" w:rsidRDefault="000C292F" w:rsidP="00E431E6">
            <w:pPr>
              <w:jc w:val="right"/>
              <w:rPr>
                <w:sz w:val="20"/>
                <w:szCs w:val="20"/>
              </w:rPr>
            </w:pPr>
            <w:r w:rsidRPr="006A75D4">
              <w:rPr>
                <w:sz w:val="20"/>
                <w:szCs w:val="20"/>
              </w:rPr>
              <w:t>0,0 %</w:t>
            </w:r>
          </w:p>
        </w:tc>
      </w:tr>
      <w:tr w:rsidR="000C292F" w:rsidRPr="006A75D4" w14:paraId="77565223" w14:textId="77777777" w:rsidTr="006A75D4">
        <w:tc>
          <w:tcPr>
            <w:tcW w:w="3673" w:type="pct"/>
          </w:tcPr>
          <w:p w14:paraId="06525B16" w14:textId="77777777" w:rsidR="000C292F" w:rsidRPr="006A75D4" w:rsidRDefault="000C292F" w:rsidP="00E431E6">
            <w:pPr>
              <w:ind w:left="270"/>
              <w:jc w:val="left"/>
              <w:rPr>
                <w:sz w:val="20"/>
                <w:szCs w:val="20"/>
              </w:rPr>
            </w:pPr>
            <w:r w:rsidRPr="006A75D4">
              <w:rPr>
                <w:sz w:val="20"/>
                <w:szCs w:val="20"/>
              </w:rPr>
              <w:t>z toho v držení představenstva</w:t>
            </w:r>
          </w:p>
        </w:tc>
        <w:tc>
          <w:tcPr>
            <w:tcW w:w="1327" w:type="pct"/>
            <w:vAlign w:val="center"/>
          </w:tcPr>
          <w:p w14:paraId="207D05DA" w14:textId="77777777" w:rsidR="000C292F" w:rsidRPr="006A75D4" w:rsidRDefault="000C292F" w:rsidP="00E431E6">
            <w:pPr>
              <w:jc w:val="right"/>
              <w:rPr>
                <w:sz w:val="20"/>
                <w:szCs w:val="20"/>
              </w:rPr>
            </w:pPr>
            <w:r w:rsidRPr="006A75D4">
              <w:rPr>
                <w:sz w:val="20"/>
                <w:szCs w:val="20"/>
              </w:rPr>
              <w:t>0,0 %</w:t>
            </w:r>
          </w:p>
        </w:tc>
      </w:tr>
    </w:tbl>
    <w:p w14:paraId="4599EFAB" w14:textId="1F14AA80" w:rsidR="000C292F" w:rsidRPr="006C048C" w:rsidRDefault="000C292F" w:rsidP="000C292F">
      <w:pPr>
        <w:pStyle w:val="Normlnweb"/>
      </w:pPr>
    </w:p>
    <w:p w14:paraId="3D8C3CC7" w14:textId="0104E8F9" w:rsidR="000C292F" w:rsidRPr="006C048C" w:rsidRDefault="000C292F" w:rsidP="000546B5">
      <w:pPr>
        <w:pStyle w:val="Nadpis4"/>
      </w:pPr>
      <w:bookmarkStart w:id="41" w:name="_Toc519774592"/>
      <w:r w:rsidRPr="006C048C">
        <w:t>Veřejná obchodovatelnost akcií</w:t>
      </w:r>
      <w:bookmarkEnd w:id="41"/>
    </w:p>
    <w:p w14:paraId="480466F9" w14:textId="77777777" w:rsidR="000C292F" w:rsidRPr="006C048C" w:rsidRDefault="000C292F" w:rsidP="000C292F">
      <w:r w:rsidRPr="006C048C">
        <w:t xml:space="preserve">Akcie Společnosti jsou obchodovány na Burze cenných papírů v Praze (BCPP) pod identifikačním číslem ISIN LU0275164910 od 18. prosince 2006. Od 19. března 2007 jsou součástí PX indexu, jenž sestává ze všech hlavních emisí na BCPP. </w:t>
      </w:r>
    </w:p>
    <w:p w14:paraId="6BEF3FA3" w14:textId="77777777" w:rsidR="000C292F" w:rsidRPr="006C048C" w:rsidRDefault="000C292F" w:rsidP="000C292F">
      <w:r w:rsidRPr="006C048C">
        <w:t>Seznam akcionářů nahrazuje evidence zaknihovaných cenných papírů vedená Centrálním depozitářem cenných papírů, a.s. podle zvláštního právního předpisu.</w:t>
      </w:r>
    </w:p>
    <w:p w14:paraId="5469409B" w14:textId="77777777" w:rsidR="000C292F" w:rsidRPr="006C048C" w:rsidRDefault="000C292F" w:rsidP="000C292F">
      <w:pPr>
        <w:pStyle w:val="Nadpis4"/>
      </w:pPr>
      <w:r w:rsidRPr="006C048C">
        <w:t>Vývoj ceny akcií a vývoj obchodování v první polovině roku 2018</w:t>
      </w:r>
    </w:p>
    <w:p w14:paraId="64E065D4" w14:textId="7C55016F" w:rsidR="000C292F" w:rsidRPr="006C048C" w:rsidRDefault="000C292F" w:rsidP="000C292F">
      <w:pPr>
        <w:pStyle w:val="Normlnweb"/>
      </w:pPr>
      <w:r w:rsidRPr="006C048C">
        <w:t xml:space="preserve">V první polovině roku 2018 se akcie Společnosti na BCPP zobchodovaly v celkovém objemu 275 milionů Kč. Nejnižší cena v průběhu prvních šesti měsíců roku 2018 </w:t>
      </w:r>
      <w:r w:rsidR="000C10BD" w:rsidRPr="006C048C">
        <w:t xml:space="preserve">byla </w:t>
      </w:r>
      <w:r w:rsidRPr="006C048C">
        <w:t>804 Kč a nejvyšší 936</w:t>
      </w:r>
      <w:r w:rsidRPr="006C048C" w:rsidDel="005C6A33">
        <w:t xml:space="preserve"> </w:t>
      </w:r>
      <w:r w:rsidRPr="006C048C">
        <w:t>Kč.</w:t>
      </w:r>
    </w:p>
    <w:p w14:paraId="0FAF68F5" w14:textId="77777777" w:rsidR="000C292F" w:rsidRPr="006C048C" w:rsidRDefault="000C292F" w:rsidP="000C292F">
      <w:pPr>
        <w:pStyle w:val="Normlnweb"/>
      </w:pPr>
      <w:r w:rsidRPr="006C048C">
        <w:t xml:space="preserve">Zavírací cena k 30. červnu 2018 činila 910 Kč na BCPP a tržní kapitalizace dosáhla téměř 8,0 miliardy Kč. </w:t>
      </w:r>
    </w:p>
    <w:p w14:paraId="575A4AE8" w14:textId="77777777" w:rsidR="000C292F" w:rsidRPr="006C048C" w:rsidRDefault="000C292F" w:rsidP="000C292F">
      <w:pPr>
        <w:pStyle w:val="Nadpis4"/>
      </w:pPr>
      <w:r w:rsidRPr="006C048C">
        <w:t>Následné události</w:t>
      </w:r>
    </w:p>
    <w:p w14:paraId="3DF88032" w14:textId="53AC0262" w:rsidR="000C292F" w:rsidRDefault="000C292F" w:rsidP="000C292F">
      <w:r w:rsidRPr="006C048C">
        <w:lastRenderedPageBreak/>
        <w:t>Vedení Společnosti si není vědomo žádných skutečností, jež vznikly po 30. červnu 2018 a jež by měly významný dopad na Společnost.</w:t>
      </w:r>
    </w:p>
    <w:p w14:paraId="5ED290A0" w14:textId="29E50481" w:rsidR="003405CE" w:rsidRPr="006C048C" w:rsidRDefault="003405CE" w:rsidP="000C292F"/>
    <w:p w14:paraId="015AD6CF" w14:textId="77777777" w:rsidR="000C292F" w:rsidRPr="006C048C" w:rsidRDefault="000C292F" w:rsidP="000C292F">
      <w:pPr>
        <w:sectPr w:rsidR="000C292F" w:rsidRPr="006C048C" w:rsidSect="00E431E6">
          <w:type w:val="continuous"/>
          <w:pgSz w:w="11906" w:h="16838"/>
          <w:pgMar w:top="1417" w:right="1417" w:bottom="1417" w:left="1417" w:header="708" w:footer="708" w:gutter="0"/>
          <w:cols w:num="2" w:space="708"/>
          <w:docGrid w:linePitch="360"/>
        </w:sectPr>
      </w:pPr>
      <w:r w:rsidRPr="006C048C">
        <w:t xml:space="preserve"> </w:t>
      </w:r>
    </w:p>
    <w:p w14:paraId="14EF721B" w14:textId="77777777" w:rsidR="000C292F" w:rsidRPr="006C048C" w:rsidRDefault="000C292F" w:rsidP="000C292F">
      <w:pPr>
        <w:sectPr w:rsidR="000C292F" w:rsidRPr="006C048C" w:rsidSect="00E431E6">
          <w:pgSz w:w="11906" w:h="16838"/>
          <w:pgMar w:top="1417" w:right="1417" w:bottom="1417" w:left="1417" w:header="708" w:footer="708" w:gutter="0"/>
          <w:cols w:num="2" w:space="708"/>
          <w:docGrid w:linePitch="360"/>
        </w:sectPr>
      </w:pPr>
    </w:p>
    <w:p w14:paraId="40F94469" w14:textId="77777777" w:rsidR="000C292F" w:rsidRPr="000546B5" w:rsidRDefault="000C292F" w:rsidP="000C292F">
      <w:pPr>
        <w:rPr>
          <w:b/>
          <w:color w:val="2A7FC6"/>
        </w:rPr>
      </w:pPr>
      <w:r w:rsidRPr="000546B5">
        <w:rPr>
          <w:b/>
          <w:color w:val="2A7FC6"/>
        </w:rPr>
        <w:lastRenderedPageBreak/>
        <w:t>Vývoj ceny akcie Společnosti na BCPP (od 1. ledna 2018 do 30. června 2018)</w:t>
      </w:r>
    </w:p>
    <w:p w14:paraId="69339A21" w14:textId="25F12F7D" w:rsidR="00F7306C" w:rsidRDefault="00F7306C" w:rsidP="000C292F">
      <w:pPr>
        <w:spacing w:after="0" w:afterAutospacing="0"/>
        <w:jc w:val="center"/>
        <w:rPr>
          <w:noProof/>
        </w:rPr>
      </w:pPr>
      <w:r>
        <w:rPr>
          <w:noProof/>
        </w:rPr>
        <w:drawing>
          <wp:inline distT="0" distB="0" distL="0" distR="0" wp14:anchorId="229A78C0" wp14:editId="2D65656F">
            <wp:extent cx="5218430" cy="2755900"/>
            <wp:effectExtent l="0" t="0" r="1270"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8430" cy="2755900"/>
                    </a:xfrm>
                    <a:prstGeom prst="rect">
                      <a:avLst/>
                    </a:prstGeom>
                    <a:noFill/>
                  </pic:spPr>
                </pic:pic>
              </a:graphicData>
            </a:graphic>
          </wp:inline>
        </w:drawing>
      </w:r>
    </w:p>
    <w:p w14:paraId="35C243E1" w14:textId="023E9439" w:rsidR="000C292F" w:rsidRPr="006C048C" w:rsidRDefault="000C292F" w:rsidP="000C292F">
      <w:pPr>
        <w:spacing w:after="0" w:afterAutospacing="0"/>
        <w:jc w:val="center"/>
      </w:pPr>
    </w:p>
    <w:p w14:paraId="78B2D4B8" w14:textId="77777777" w:rsidR="000C292F" w:rsidRPr="006C048C" w:rsidRDefault="000C292F" w:rsidP="000C292F">
      <w:pPr>
        <w:spacing w:before="0" w:beforeAutospacing="0"/>
        <w:jc w:val="left"/>
      </w:pPr>
      <w:r w:rsidRPr="006C048C">
        <w:rPr>
          <w:i/>
          <w:sz w:val="20"/>
          <w:szCs w:val="20"/>
        </w:rPr>
        <w:t>Zdroj: BCPP</w:t>
      </w:r>
    </w:p>
    <w:p w14:paraId="7F9789B5" w14:textId="5B10B443" w:rsidR="000C292F" w:rsidRPr="006C048C" w:rsidRDefault="00F7306C" w:rsidP="000C292F">
      <w:pPr>
        <w:spacing w:before="0" w:beforeAutospacing="0" w:after="0" w:afterAutospacing="0"/>
        <w:jc w:val="center"/>
      </w:pPr>
      <w:r>
        <w:rPr>
          <w:noProof/>
        </w:rPr>
        <w:drawing>
          <wp:inline distT="0" distB="0" distL="0" distR="0" wp14:anchorId="50362344" wp14:editId="0126FCC8">
            <wp:extent cx="5328285" cy="3371215"/>
            <wp:effectExtent l="0" t="0" r="5715" b="63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8285" cy="3371215"/>
                    </a:xfrm>
                    <a:prstGeom prst="rect">
                      <a:avLst/>
                    </a:prstGeom>
                    <a:noFill/>
                  </pic:spPr>
                </pic:pic>
              </a:graphicData>
            </a:graphic>
          </wp:inline>
        </w:drawing>
      </w:r>
    </w:p>
    <w:p w14:paraId="738AD020" w14:textId="77777777" w:rsidR="000C292F" w:rsidRPr="006C048C" w:rsidRDefault="000C292F" w:rsidP="000C292F">
      <w:pPr>
        <w:spacing w:before="0" w:beforeAutospacing="0"/>
        <w:jc w:val="left"/>
      </w:pPr>
      <w:r w:rsidRPr="006C048C">
        <w:rPr>
          <w:i/>
          <w:sz w:val="20"/>
          <w:szCs w:val="20"/>
        </w:rPr>
        <w:t>Zdroj: BCPP</w:t>
      </w:r>
    </w:p>
    <w:p w14:paraId="2F5F40B4" w14:textId="77777777" w:rsidR="000C292F" w:rsidRPr="006C048C" w:rsidRDefault="000C292F" w:rsidP="000C292F">
      <w:pPr>
        <w:spacing w:before="0" w:beforeAutospacing="0" w:after="0" w:afterAutospacing="0"/>
        <w:jc w:val="left"/>
      </w:pPr>
    </w:p>
    <w:p w14:paraId="74421493" w14:textId="77777777" w:rsidR="000C292F" w:rsidRPr="006C048C" w:rsidRDefault="000C292F" w:rsidP="000C292F">
      <w:pPr>
        <w:spacing w:before="0" w:beforeAutospacing="0" w:after="0" w:afterAutospacing="0"/>
        <w:jc w:val="left"/>
        <w:sectPr w:rsidR="000C292F" w:rsidRPr="006C048C" w:rsidSect="00E431E6">
          <w:type w:val="continuous"/>
          <w:pgSz w:w="11906" w:h="16838"/>
          <w:pgMar w:top="1417" w:right="1417" w:bottom="1417" w:left="1417" w:header="708" w:footer="708" w:gutter="0"/>
          <w:cols w:space="708"/>
          <w:docGrid w:linePitch="360"/>
        </w:sectPr>
      </w:pPr>
    </w:p>
    <w:p w14:paraId="261C4DC8" w14:textId="77777777" w:rsidR="000C292F" w:rsidRPr="006C048C" w:rsidRDefault="000C292F" w:rsidP="000C292F">
      <w:pPr>
        <w:pStyle w:val="Nadpis1"/>
      </w:pPr>
      <w:bookmarkStart w:id="42" w:name="_Toc522086612"/>
      <w:bookmarkStart w:id="43" w:name="_Toc269907494"/>
      <w:r w:rsidRPr="006C048C">
        <w:lastRenderedPageBreak/>
        <w:t>Dividendová politika</w:t>
      </w:r>
      <w:bookmarkEnd w:id="42"/>
      <w:r w:rsidRPr="006C048C">
        <w:t xml:space="preserve"> </w:t>
      </w:r>
      <w:bookmarkEnd w:id="43"/>
    </w:p>
    <w:p w14:paraId="26E0A73B" w14:textId="77777777" w:rsidR="000C292F" w:rsidRPr="006C048C" w:rsidRDefault="000C292F" w:rsidP="000C292F">
      <w:pPr>
        <w:sectPr w:rsidR="000C292F" w:rsidRPr="006C048C" w:rsidSect="00E431E6">
          <w:pgSz w:w="11906" w:h="16838"/>
          <w:pgMar w:top="1417" w:right="1417" w:bottom="1417" w:left="1417" w:header="708" w:footer="708" w:gutter="0"/>
          <w:cols w:space="708"/>
          <w:docGrid w:linePitch="360"/>
        </w:sectPr>
      </w:pPr>
    </w:p>
    <w:p w14:paraId="137C5768" w14:textId="77777777" w:rsidR="000C292F" w:rsidRPr="006C048C" w:rsidRDefault="000C292F" w:rsidP="000C292F">
      <w:r w:rsidRPr="006C048C">
        <w:lastRenderedPageBreak/>
        <w:t>Vzhledem ke stávající úrovni čistého dluhu a s cílem posílit finanční stabilitu Společnosti a kumulovat zdroje k dlouhodobému růstu rozhodla řádná valná hromada Společnosti konaná dne 15. června 2018 nevyplatit dividendu za rok 2017.</w:t>
      </w:r>
    </w:p>
    <w:p w14:paraId="5F035BC9" w14:textId="77777777" w:rsidR="000C292F" w:rsidRPr="006C048C" w:rsidRDefault="000C292F" w:rsidP="000C292F">
      <w:pPr>
        <w:sectPr w:rsidR="000C292F" w:rsidRPr="006C048C" w:rsidSect="00E431E6">
          <w:type w:val="continuous"/>
          <w:pgSz w:w="11906" w:h="16838"/>
          <w:pgMar w:top="1417" w:right="1417" w:bottom="1417" w:left="1417" w:header="708" w:footer="708" w:gutter="0"/>
          <w:cols w:space="708"/>
          <w:docGrid w:linePitch="360"/>
        </w:sectPr>
      </w:pPr>
    </w:p>
    <w:p w14:paraId="1AF49047" w14:textId="19C9E580" w:rsidR="00F82151" w:rsidRPr="006C048C" w:rsidRDefault="00F82151">
      <w:pPr>
        <w:spacing w:before="0" w:beforeAutospacing="0" w:after="160" w:afterAutospacing="0" w:line="259" w:lineRule="auto"/>
        <w:jc w:val="left"/>
        <w:rPr>
          <w:b/>
          <w:bCs/>
          <w:kern w:val="32"/>
          <w:sz w:val="48"/>
          <w:szCs w:val="48"/>
        </w:rPr>
      </w:pPr>
      <w:bookmarkStart w:id="44" w:name="_Toc332213930"/>
      <w:bookmarkStart w:id="45" w:name="_Toc269907496"/>
      <w:bookmarkEnd w:id="44"/>
    </w:p>
    <w:p w14:paraId="7BDB8396" w14:textId="1CDB0FA9" w:rsidR="000C292F" w:rsidRPr="006C048C" w:rsidRDefault="000C292F" w:rsidP="000C292F">
      <w:pPr>
        <w:pStyle w:val="Nadpis1"/>
      </w:pPr>
      <w:bookmarkStart w:id="46" w:name="_Toc522086613"/>
      <w:r w:rsidRPr="006C048C">
        <w:t xml:space="preserve">Správa a řízení </w:t>
      </w:r>
      <w:bookmarkEnd w:id="38"/>
      <w:r w:rsidRPr="006C048C">
        <w:t>Společnosti</w:t>
      </w:r>
      <w:bookmarkEnd w:id="45"/>
      <w:bookmarkEnd w:id="46"/>
    </w:p>
    <w:p w14:paraId="2F5407F5" w14:textId="77777777" w:rsidR="000C292F" w:rsidRPr="006C048C" w:rsidRDefault="000C292F" w:rsidP="000C292F">
      <w:pPr>
        <w:pStyle w:val="Nadpis4"/>
      </w:pPr>
      <w:r w:rsidRPr="006C048C">
        <w:t>Řádná valná hromada konaná dne 15. června 2018</w:t>
      </w:r>
    </w:p>
    <w:p w14:paraId="45C1FC39" w14:textId="77777777" w:rsidR="000C292F" w:rsidRPr="006C048C" w:rsidRDefault="000C292F" w:rsidP="000C292F">
      <w:pPr>
        <w:pStyle w:val="Normlnweb"/>
      </w:pPr>
      <w:r w:rsidRPr="006C048C">
        <w:t xml:space="preserve">Na řádné valné hromadě akcionářů PEGAS NONWOVENS a.s., jež se konala 15. června 2018 ve Znojmě-Příměticích, byly schváleny všechny body programu předložené k projednání a hlasování. </w:t>
      </w:r>
    </w:p>
    <w:p w14:paraId="3DF5F5B7" w14:textId="77777777" w:rsidR="000C292F" w:rsidRPr="006C048C" w:rsidRDefault="000C292F" w:rsidP="000C292F">
      <w:pPr>
        <w:pStyle w:val="Normlnweb"/>
      </w:pPr>
      <w:r w:rsidRPr="006C048C">
        <w:t>Program řádné valné hromady byl následující:</w:t>
      </w:r>
    </w:p>
    <w:p w14:paraId="1FE0539C"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Volba předsedy valné hromady, zapisovatele, ověřovatelů zápisu a osob pověřených sčítáním hlasů.</w:t>
      </w:r>
    </w:p>
    <w:p w14:paraId="7BF45140"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Schválení jednacího řádu valné hromady.</w:t>
      </w:r>
    </w:p>
    <w:p w14:paraId="66DDEC53"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Změna obchodní firmy Společnosti na PFNonwovens a.s. a odpovídající změna stanov.</w:t>
      </w:r>
    </w:p>
    <w:p w14:paraId="6AC01187"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Zpráva představenstva o podnikatelské činnosti Společnosti a o stavu jejího majetku za rok 2017; souhrnná vysvětlující zpráva podle § 118 odst. 9 zákona č. 256/2004 Sb., o podnikání na kapitálovém trhu, v aktuálním znění; závěry zprávy o vztazích Společnosti za rok 2017.</w:t>
      </w:r>
    </w:p>
    <w:p w14:paraId="656D5F07"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Zpráva dozorčí rady o výsledcích její činnosti za rok 2017; vyjádření dozorčí rady k řádné konsolidované účetní závěrce za rok 2017, k řádné nekonsolidované účetní závěrce za rok 2017, k návrhu na vypořádání zisku za rok 2017 a ke zprávě o vztazích Společnosti za rok 2017.</w:t>
      </w:r>
    </w:p>
    <w:p w14:paraId="2FE37A78"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Schválení řádné konsolidované účetní závěrky Společnosti sestavené k 31.12.2017.</w:t>
      </w:r>
    </w:p>
    <w:p w14:paraId="44DE08CA"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Schválení řádné nekonsolidované účetní závěrky Společnosti sestavené k 31.12.2017.</w:t>
      </w:r>
    </w:p>
    <w:p w14:paraId="1503F3E5"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Rozhodnutí o vypořádání zisku Společnosti za rok 2017.</w:t>
      </w:r>
    </w:p>
    <w:p w14:paraId="53B048BE"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Určení auditora k provedení povinného auditu Společnosti pro rok 2018.</w:t>
      </w:r>
    </w:p>
    <w:p w14:paraId="2CE395D7" w14:textId="77777777" w:rsidR="000C292F" w:rsidRPr="006C048C" w:rsidRDefault="000C292F" w:rsidP="000C292F">
      <w:pPr>
        <w:pStyle w:val="Odstavecseseznamem"/>
        <w:numPr>
          <w:ilvl w:val="0"/>
          <w:numId w:val="16"/>
        </w:numPr>
        <w:tabs>
          <w:tab w:val="clear" w:pos="720"/>
          <w:tab w:val="left" w:pos="900"/>
        </w:tabs>
        <w:ind w:left="360"/>
        <w:rPr>
          <w:rFonts w:eastAsia="SimSun"/>
        </w:rPr>
      </w:pPr>
      <w:r w:rsidRPr="006C048C">
        <w:rPr>
          <w:rFonts w:eastAsia="SimSun"/>
        </w:rPr>
        <w:t>Schválení smlouvy o výkonu funkce pro Ivana Hayeka a Hanu Černou, členy výboru pro audit.</w:t>
      </w:r>
    </w:p>
    <w:p w14:paraId="31F81367" w14:textId="77777777" w:rsidR="000C292F" w:rsidRPr="006C048C" w:rsidRDefault="000C292F" w:rsidP="000C292F">
      <w:pPr>
        <w:pStyle w:val="Odstavecseseznamem"/>
        <w:rPr>
          <w:rFonts w:eastAsia="SimSun"/>
        </w:rPr>
      </w:pPr>
    </w:p>
    <w:p w14:paraId="02E6B3D9" w14:textId="77777777" w:rsidR="009566C6" w:rsidRDefault="009566C6">
      <w:pPr>
        <w:spacing w:before="0" w:beforeAutospacing="0" w:after="160" w:afterAutospacing="0" w:line="259" w:lineRule="auto"/>
        <w:jc w:val="left"/>
        <w:rPr>
          <w:b/>
          <w:color w:val="2A7FC6"/>
        </w:rPr>
      </w:pPr>
      <w:bookmarkStart w:id="47" w:name="_Toc165188449"/>
      <w:r>
        <w:br w:type="page"/>
      </w:r>
    </w:p>
    <w:p w14:paraId="150D1609" w14:textId="55E9BC39" w:rsidR="000C292F" w:rsidRPr="006C048C" w:rsidRDefault="000C292F" w:rsidP="000C292F">
      <w:pPr>
        <w:pStyle w:val="Nadpis4"/>
      </w:pPr>
      <w:r w:rsidRPr="006C048C">
        <w:lastRenderedPageBreak/>
        <w:t>Složení představe</w:t>
      </w:r>
      <w:bookmarkEnd w:id="47"/>
      <w:r w:rsidRPr="006C048C">
        <w:t>nstva Společnosti ke dni 30. června 2018</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087"/>
        <w:gridCol w:w="3309"/>
        <w:gridCol w:w="2676"/>
      </w:tblGrid>
      <w:tr w:rsidR="000C292F" w:rsidRPr="006C048C" w14:paraId="67DCCF6E" w14:textId="77777777" w:rsidTr="006A75D4">
        <w:trPr>
          <w:cantSplit/>
          <w:trHeight w:val="535"/>
        </w:trPr>
        <w:tc>
          <w:tcPr>
            <w:tcW w:w="1701" w:type="pct"/>
            <w:shd w:val="clear" w:color="auto" w:fill="2A7FC6"/>
            <w:vAlign w:val="center"/>
          </w:tcPr>
          <w:p w14:paraId="321312EA" w14:textId="77777777" w:rsidR="000C292F" w:rsidRPr="006C048C" w:rsidRDefault="000C292F" w:rsidP="000C292F">
            <w:pPr>
              <w:pStyle w:val="AODocTxtCharChar"/>
              <w:numPr>
                <w:ilvl w:val="0"/>
                <w:numId w:val="2"/>
              </w:numPr>
              <w:spacing w:before="0" w:beforeAutospacing="0" w:after="0" w:afterAutospacing="0" w:line="360" w:lineRule="auto"/>
              <w:jc w:val="left"/>
              <w:rPr>
                <w:b/>
                <w:color w:val="FFFFFF" w:themeColor="background1"/>
                <w:lang w:val="cs-CZ"/>
              </w:rPr>
            </w:pPr>
            <w:r w:rsidRPr="006C048C">
              <w:rPr>
                <w:b/>
                <w:color w:val="FFFFFF" w:themeColor="background1"/>
                <w:lang w:val="cs-CZ"/>
              </w:rPr>
              <w:t>Jméno</w:t>
            </w:r>
          </w:p>
        </w:tc>
        <w:tc>
          <w:tcPr>
            <w:tcW w:w="1823" w:type="pct"/>
            <w:shd w:val="clear" w:color="auto" w:fill="2A7FC6"/>
            <w:vAlign w:val="center"/>
          </w:tcPr>
          <w:p w14:paraId="20C964F7" w14:textId="77777777" w:rsidR="000C292F" w:rsidRPr="006C048C" w:rsidRDefault="000C292F" w:rsidP="000C292F">
            <w:pPr>
              <w:pStyle w:val="AODocTxtCharChar"/>
              <w:numPr>
                <w:ilvl w:val="0"/>
                <w:numId w:val="2"/>
              </w:numPr>
              <w:spacing w:before="0" w:beforeAutospacing="0" w:after="0" w:afterAutospacing="0" w:line="360" w:lineRule="auto"/>
              <w:jc w:val="left"/>
              <w:rPr>
                <w:b/>
                <w:color w:val="FFFFFF" w:themeColor="background1"/>
                <w:lang w:val="cs-CZ"/>
              </w:rPr>
            </w:pPr>
            <w:r w:rsidRPr="006C048C">
              <w:rPr>
                <w:b/>
                <w:color w:val="FFFFFF" w:themeColor="background1"/>
                <w:lang w:val="cs-CZ"/>
              </w:rPr>
              <w:t>Pozice/funkce</w:t>
            </w:r>
          </w:p>
        </w:tc>
        <w:tc>
          <w:tcPr>
            <w:tcW w:w="1475" w:type="pct"/>
            <w:shd w:val="clear" w:color="auto" w:fill="2A7FC6"/>
            <w:vAlign w:val="center"/>
          </w:tcPr>
          <w:p w14:paraId="693315EB" w14:textId="77777777" w:rsidR="000C292F" w:rsidRPr="006C048C" w:rsidRDefault="000C292F" w:rsidP="000C292F">
            <w:pPr>
              <w:pStyle w:val="AODocTxtCharChar"/>
              <w:numPr>
                <w:ilvl w:val="0"/>
                <w:numId w:val="2"/>
              </w:numPr>
              <w:spacing w:before="0" w:beforeAutospacing="0" w:after="0" w:afterAutospacing="0" w:line="360" w:lineRule="auto"/>
              <w:jc w:val="right"/>
              <w:rPr>
                <w:b/>
                <w:color w:val="FFFFFF" w:themeColor="background1"/>
                <w:lang w:val="cs-CZ"/>
              </w:rPr>
            </w:pPr>
            <w:r w:rsidRPr="006C048C">
              <w:rPr>
                <w:b/>
                <w:color w:val="FFFFFF" w:themeColor="background1"/>
                <w:lang w:val="cs-CZ"/>
              </w:rPr>
              <w:t>Funkční období v první polovině 2018</w:t>
            </w:r>
          </w:p>
        </w:tc>
      </w:tr>
      <w:tr w:rsidR="000C292F" w:rsidRPr="006C048C" w14:paraId="41FDA0B1" w14:textId="77777777" w:rsidTr="006A75D4">
        <w:trPr>
          <w:cantSplit/>
          <w:trHeight w:val="346"/>
        </w:trPr>
        <w:tc>
          <w:tcPr>
            <w:tcW w:w="1701" w:type="pct"/>
            <w:vAlign w:val="center"/>
          </w:tcPr>
          <w:p w14:paraId="1D0EA0DB"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František Řezáč</w:t>
            </w:r>
          </w:p>
        </w:tc>
        <w:tc>
          <w:tcPr>
            <w:tcW w:w="1823" w:type="pct"/>
            <w:vAlign w:val="center"/>
          </w:tcPr>
          <w:p w14:paraId="553DA8A1"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předseda představenstva</w:t>
            </w:r>
          </w:p>
        </w:tc>
        <w:tc>
          <w:tcPr>
            <w:tcW w:w="1475" w:type="pct"/>
            <w:vAlign w:val="center"/>
          </w:tcPr>
          <w:p w14:paraId="397B15BC"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12807D8B" w14:textId="77777777" w:rsidTr="006A75D4">
        <w:trPr>
          <w:cantSplit/>
        </w:trPr>
        <w:tc>
          <w:tcPr>
            <w:tcW w:w="1701" w:type="pct"/>
            <w:vAlign w:val="center"/>
          </w:tcPr>
          <w:p w14:paraId="3A0A8682"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František Klaška</w:t>
            </w:r>
          </w:p>
        </w:tc>
        <w:tc>
          <w:tcPr>
            <w:tcW w:w="1823" w:type="pct"/>
            <w:vAlign w:val="center"/>
          </w:tcPr>
          <w:p w14:paraId="40D70BC2"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člen představenstva</w:t>
            </w:r>
          </w:p>
        </w:tc>
        <w:tc>
          <w:tcPr>
            <w:tcW w:w="1475" w:type="pct"/>
            <w:vAlign w:val="center"/>
          </w:tcPr>
          <w:p w14:paraId="14EAE5D9"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1C8C36D3" w14:textId="77777777" w:rsidTr="006A75D4">
        <w:trPr>
          <w:cantSplit/>
        </w:trPr>
        <w:tc>
          <w:tcPr>
            <w:tcW w:w="1701" w:type="pct"/>
            <w:vAlign w:val="center"/>
          </w:tcPr>
          <w:p w14:paraId="665CEA73"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Marian Rašík</w:t>
            </w:r>
          </w:p>
        </w:tc>
        <w:tc>
          <w:tcPr>
            <w:tcW w:w="1823" w:type="pct"/>
            <w:vAlign w:val="center"/>
          </w:tcPr>
          <w:p w14:paraId="159B3D62"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člen představenstva</w:t>
            </w:r>
          </w:p>
        </w:tc>
        <w:tc>
          <w:tcPr>
            <w:tcW w:w="1475" w:type="pct"/>
            <w:vAlign w:val="center"/>
          </w:tcPr>
          <w:p w14:paraId="7F8E98E3"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4C6554B9" w14:textId="77777777" w:rsidTr="006A75D4">
        <w:tblPrEx>
          <w:tblCellMar>
            <w:left w:w="108" w:type="dxa"/>
            <w:right w:w="108" w:type="dxa"/>
          </w:tblCellMar>
        </w:tblPrEx>
        <w:tc>
          <w:tcPr>
            <w:tcW w:w="1701" w:type="pct"/>
            <w:vAlign w:val="center"/>
          </w:tcPr>
          <w:p w14:paraId="4A2007F4"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Michal Smrek</w:t>
            </w:r>
          </w:p>
        </w:tc>
        <w:tc>
          <w:tcPr>
            <w:tcW w:w="1823" w:type="pct"/>
            <w:vAlign w:val="center"/>
          </w:tcPr>
          <w:p w14:paraId="49DE0A89"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člen představenstva</w:t>
            </w:r>
          </w:p>
        </w:tc>
        <w:tc>
          <w:tcPr>
            <w:tcW w:w="1475" w:type="pct"/>
            <w:vAlign w:val="center"/>
          </w:tcPr>
          <w:p w14:paraId="6646FD03"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60A1DCBC" w14:textId="77777777" w:rsidTr="006A75D4">
        <w:tblPrEx>
          <w:tblCellMar>
            <w:left w:w="108" w:type="dxa"/>
            <w:right w:w="108" w:type="dxa"/>
          </w:tblCellMar>
        </w:tblPrEx>
        <w:tc>
          <w:tcPr>
            <w:tcW w:w="1701" w:type="pct"/>
            <w:vAlign w:val="center"/>
          </w:tcPr>
          <w:p w14:paraId="667027FA"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Jakub Dyba</w:t>
            </w:r>
          </w:p>
        </w:tc>
        <w:tc>
          <w:tcPr>
            <w:tcW w:w="1823" w:type="pct"/>
            <w:vAlign w:val="center"/>
          </w:tcPr>
          <w:p w14:paraId="77BA9BCD"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člen představenstva</w:t>
            </w:r>
          </w:p>
        </w:tc>
        <w:tc>
          <w:tcPr>
            <w:tcW w:w="1475" w:type="pct"/>
            <w:vAlign w:val="center"/>
          </w:tcPr>
          <w:p w14:paraId="4CF7FC96"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bl>
    <w:p w14:paraId="3C9DF4C2" w14:textId="7F9965BD" w:rsidR="000C292F" w:rsidRDefault="000C292F" w:rsidP="000C292F">
      <w:r w:rsidRPr="006C048C">
        <w:t>Během prvního pololetí roku 2018 nedošlo k žádným personálním změnám v představenstvu Společnosti.</w:t>
      </w:r>
    </w:p>
    <w:p w14:paraId="641E96E0" w14:textId="6A86F578" w:rsidR="009566C6" w:rsidRDefault="000C10BD" w:rsidP="009566C6">
      <w:r>
        <w:t>Následně, d</w:t>
      </w:r>
      <w:r w:rsidR="009566C6">
        <w:t>ne 17. července 2018 Společnost oznámila, že s účinnost</w:t>
      </w:r>
      <w:r w:rsidR="00D62F44">
        <w:t>í</w:t>
      </w:r>
      <w:r w:rsidR="009566C6">
        <w:t xml:space="preserve"> k 16. červenci 2018 odstupuje pan Mari</w:t>
      </w:r>
      <w:r>
        <w:t>a</w:t>
      </w:r>
      <w:r w:rsidR="009566C6">
        <w:t xml:space="preserve">n Rašík z pozice člena představenstva PFNonwovens a.s. </w:t>
      </w:r>
      <w:r w:rsidR="009566C6" w:rsidRPr="008D1D7A">
        <w:t xml:space="preserve">Pan Rašík působil v představenstvu Společnosti od 1. března 2010 a </w:t>
      </w:r>
      <w:r>
        <w:t xml:space="preserve">nadále se </w:t>
      </w:r>
      <w:r w:rsidR="009566C6" w:rsidRPr="008D1D7A">
        <w:t>bude plně věnovat pozici finančního ředitele (Group CFO) na úrovni společnosti PFNonwovens Holding s.r.o. pro celý koncern PFNonwovens.</w:t>
      </w:r>
    </w:p>
    <w:p w14:paraId="048EEF70" w14:textId="77777777" w:rsidR="009566C6" w:rsidRDefault="009566C6" w:rsidP="009566C6">
      <w:r>
        <w:t xml:space="preserve">Společnost dne 17. července 2018 dále oznámila, že </w:t>
      </w:r>
      <w:r w:rsidRPr="008D1D7A">
        <w:t>dozorčí rada Společnosti s účinností od 17. července 2018 zvolila pana Allena Bodforda členem představenstva Společnosti na funkční období 3 let. Pan Bodford je zároveň generálním ředitelem celého koncernu PFNonwovens na úrovni společnosti PFNonwovens Holding s.r.o.</w:t>
      </w:r>
    </w:p>
    <w:p w14:paraId="00FC4EE0" w14:textId="2D8861D9" w:rsidR="003405CE" w:rsidRPr="006C048C" w:rsidRDefault="003405CE" w:rsidP="000C292F"/>
    <w:p w14:paraId="12C395DD" w14:textId="77777777" w:rsidR="000C292F" w:rsidRPr="006C048C" w:rsidRDefault="000C292F" w:rsidP="000C292F">
      <w:pPr>
        <w:pStyle w:val="Nadpis4"/>
      </w:pPr>
      <w:r w:rsidRPr="006C048C">
        <w:t>Složení dozorčí rady Společnosti ke dni 30. června 2018</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088"/>
        <w:gridCol w:w="3308"/>
        <w:gridCol w:w="2676"/>
      </w:tblGrid>
      <w:tr w:rsidR="000C292F" w:rsidRPr="006C048C" w14:paraId="562ED901" w14:textId="77777777" w:rsidTr="006A75D4">
        <w:trPr>
          <w:cantSplit/>
          <w:trHeight w:val="535"/>
        </w:trPr>
        <w:tc>
          <w:tcPr>
            <w:tcW w:w="1702" w:type="pct"/>
            <w:shd w:val="clear" w:color="auto" w:fill="2A7FC6"/>
            <w:vAlign w:val="center"/>
          </w:tcPr>
          <w:p w14:paraId="7458FB86" w14:textId="77777777" w:rsidR="000C292F" w:rsidRPr="006C048C" w:rsidRDefault="000C292F" w:rsidP="000C292F">
            <w:pPr>
              <w:pStyle w:val="AODocTxtCharChar"/>
              <w:numPr>
                <w:ilvl w:val="0"/>
                <w:numId w:val="2"/>
              </w:numPr>
              <w:spacing w:before="0" w:beforeAutospacing="0" w:after="0" w:afterAutospacing="0" w:line="360" w:lineRule="auto"/>
              <w:jc w:val="left"/>
              <w:rPr>
                <w:b/>
                <w:color w:val="FFFFFF" w:themeColor="background1"/>
                <w:lang w:val="cs-CZ"/>
              </w:rPr>
            </w:pPr>
            <w:r w:rsidRPr="006C048C">
              <w:rPr>
                <w:b/>
                <w:color w:val="FFFFFF" w:themeColor="background1"/>
                <w:lang w:val="cs-CZ"/>
              </w:rPr>
              <w:t>Jméno</w:t>
            </w:r>
          </w:p>
        </w:tc>
        <w:tc>
          <w:tcPr>
            <w:tcW w:w="1823" w:type="pct"/>
            <w:shd w:val="clear" w:color="auto" w:fill="2A7FC6"/>
            <w:vAlign w:val="center"/>
          </w:tcPr>
          <w:p w14:paraId="14B64562" w14:textId="77777777" w:rsidR="000C292F" w:rsidRPr="006C048C" w:rsidRDefault="000C292F" w:rsidP="000C292F">
            <w:pPr>
              <w:pStyle w:val="AODocTxtCharChar"/>
              <w:numPr>
                <w:ilvl w:val="0"/>
                <w:numId w:val="2"/>
              </w:numPr>
              <w:spacing w:before="0" w:beforeAutospacing="0" w:after="0" w:afterAutospacing="0" w:line="360" w:lineRule="auto"/>
              <w:jc w:val="left"/>
              <w:rPr>
                <w:b/>
                <w:color w:val="FFFFFF" w:themeColor="background1"/>
                <w:lang w:val="cs-CZ"/>
              </w:rPr>
            </w:pPr>
            <w:r w:rsidRPr="006C048C">
              <w:rPr>
                <w:b/>
                <w:color w:val="FFFFFF" w:themeColor="background1"/>
                <w:lang w:val="cs-CZ"/>
              </w:rPr>
              <w:t>Pozice/funkce</w:t>
            </w:r>
          </w:p>
        </w:tc>
        <w:tc>
          <w:tcPr>
            <w:tcW w:w="1475" w:type="pct"/>
            <w:shd w:val="clear" w:color="auto" w:fill="2A7FC6"/>
            <w:vAlign w:val="center"/>
          </w:tcPr>
          <w:p w14:paraId="2F908443" w14:textId="77777777" w:rsidR="000C292F" w:rsidRPr="006C048C" w:rsidRDefault="000C292F" w:rsidP="000C292F">
            <w:pPr>
              <w:pStyle w:val="AODocTxtCharChar"/>
              <w:numPr>
                <w:ilvl w:val="0"/>
                <w:numId w:val="2"/>
              </w:numPr>
              <w:spacing w:before="0" w:beforeAutospacing="0" w:after="0" w:afterAutospacing="0" w:line="360" w:lineRule="auto"/>
              <w:jc w:val="right"/>
              <w:rPr>
                <w:b/>
                <w:color w:val="FFFFFF" w:themeColor="background1"/>
                <w:lang w:val="cs-CZ"/>
              </w:rPr>
            </w:pPr>
            <w:r w:rsidRPr="006C048C">
              <w:rPr>
                <w:b/>
                <w:color w:val="FFFFFF" w:themeColor="background1"/>
                <w:lang w:val="cs-CZ"/>
              </w:rPr>
              <w:t>Funkční období v první polovině 2018</w:t>
            </w:r>
          </w:p>
        </w:tc>
      </w:tr>
      <w:tr w:rsidR="000C292F" w:rsidRPr="006C048C" w14:paraId="0B368F51" w14:textId="77777777" w:rsidTr="006A75D4">
        <w:trPr>
          <w:cantSplit/>
          <w:trHeight w:val="346"/>
        </w:trPr>
        <w:tc>
          <w:tcPr>
            <w:tcW w:w="1702" w:type="pct"/>
            <w:vAlign w:val="center"/>
          </w:tcPr>
          <w:p w14:paraId="5E47CCF5"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Oldřich Šlemr</w:t>
            </w:r>
          </w:p>
        </w:tc>
        <w:tc>
          <w:tcPr>
            <w:tcW w:w="1823" w:type="pct"/>
            <w:vAlign w:val="center"/>
          </w:tcPr>
          <w:p w14:paraId="038ECBCB"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předseda dozorčí rady</w:t>
            </w:r>
          </w:p>
        </w:tc>
        <w:tc>
          <w:tcPr>
            <w:tcW w:w="1475" w:type="pct"/>
            <w:vAlign w:val="center"/>
          </w:tcPr>
          <w:p w14:paraId="182CD6BB"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6DE36921" w14:textId="77777777" w:rsidTr="006A75D4">
        <w:trPr>
          <w:cantSplit/>
        </w:trPr>
        <w:tc>
          <w:tcPr>
            <w:tcW w:w="1702" w:type="pct"/>
            <w:vAlign w:val="center"/>
          </w:tcPr>
          <w:p w14:paraId="4724BF90"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Pavel Baudiš</w:t>
            </w:r>
          </w:p>
        </w:tc>
        <w:tc>
          <w:tcPr>
            <w:tcW w:w="1823" w:type="pct"/>
            <w:vAlign w:val="center"/>
          </w:tcPr>
          <w:p w14:paraId="67D5C66F"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člen dozorčí rady</w:t>
            </w:r>
          </w:p>
        </w:tc>
        <w:tc>
          <w:tcPr>
            <w:tcW w:w="1475" w:type="pct"/>
            <w:vAlign w:val="center"/>
          </w:tcPr>
          <w:p w14:paraId="0F2A8956"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749638DB" w14:textId="77777777" w:rsidTr="006A75D4">
        <w:trPr>
          <w:cantSplit/>
        </w:trPr>
        <w:tc>
          <w:tcPr>
            <w:tcW w:w="1702" w:type="pct"/>
            <w:vAlign w:val="center"/>
          </w:tcPr>
          <w:p w14:paraId="4844FC5E"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Eduard Kučera</w:t>
            </w:r>
          </w:p>
        </w:tc>
        <w:tc>
          <w:tcPr>
            <w:tcW w:w="1823" w:type="pct"/>
            <w:vAlign w:val="center"/>
          </w:tcPr>
          <w:p w14:paraId="199272D9"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člen dozorčí rady</w:t>
            </w:r>
          </w:p>
        </w:tc>
        <w:tc>
          <w:tcPr>
            <w:tcW w:w="1475" w:type="pct"/>
            <w:vAlign w:val="center"/>
          </w:tcPr>
          <w:p w14:paraId="224CBA5D"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bl>
    <w:p w14:paraId="421016CE" w14:textId="77777777" w:rsidR="000C292F" w:rsidRPr="006C048C" w:rsidRDefault="000C292F" w:rsidP="000C292F">
      <w:r w:rsidRPr="006C048C">
        <w:t>Během prvního pololetí roku 2018 nedošlo k žádným personálním změnám v dozorčí radě Společnosti.</w:t>
      </w:r>
    </w:p>
    <w:p w14:paraId="7F695413" w14:textId="77777777" w:rsidR="009566C6" w:rsidRDefault="009566C6">
      <w:pPr>
        <w:spacing w:before="0" w:beforeAutospacing="0" w:after="160" w:afterAutospacing="0" w:line="259" w:lineRule="auto"/>
        <w:jc w:val="left"/>
        <w:rPr>
          <w:b/>
          <w:color w:val="2A7FC6"/>
        </w:rPr>
      </w:pPr>
      <w:r>
        <w:br w:type="page"/>
      </w:r>
    </w:p>
    <w:p w14:paraId="7E47B061" w14:textId="688CDF8F" w:rsidR="000C292F" w:rsidRPr="006C048C" w:rsidRDefault="000C292F" w:rsidP="000C292F">
      <w:pPr>
        <w:pStyle w:val="Nadpis4"/>
      </w:pPr>
      <w:r w:rsidRPr="006C048C">
        <w:lastRenderedPageBreak/>
        <w:t>Složení výboru pro audit ke dni 30. června 2018</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088"/>
        <w:gridCol w:w="3308"/>
        <w:gridCol w:w="2676"/>
      </w:tblGrid>
      <w:tr w:rsidR="000C292F" w:rsidRPr="006C048C" w14:paraId="274635E0" w14:textId="77777777" w:rsidTr="006A75D4">
        <w:trPr>
          <w:cantSplit/>
          <w:trHeight w:val="535"/>
        </w:trPr>
        <w:tc>
          <w:tcPr>
            <w:tcW w:w="1702" w:type="pct"/>
            <w:shd w:val="clear" w:color="auto" w:fill="2A7FC6"/>
            <w:vAlign w:val="center"/>
          </w:tcPr>
          <w:p w14:paraId="1F466763" w14:textId="77777777" w:rsidR="000C292F" w:rsidRPr="006C048C" w:rsidRDefault="000C292F" w:rsidP="000C292F">
            <w:pPr>
              <w:pStyle w:val="AODocTxtCharChar"/>
              <w:numPr>
                <w:ilvl w:val="0"/>
                <w:numId w:val="2"/>
              </w:numPr>
              <w:spacing w:before="0" w:beforeAutospacing="0" w:after="0" w:afterAutospacing="0" w:line="360" w:lineRule="auto"/>
              <w:jc w:val="left"/>
              <w:rPr>
                <w:b/>
                <w:color w:val="FFFFFF" w:themeColor="background1"/>
                <w:lang w:val="cs-CZ"/>
              </w:rPr>
            </w:pPr>
            <w:r w:rsidRPr="006C048C">
              <w:rPr>
                <w:b/>
                <w:color w:val="FFFFFF" w:themeColor="background1"/>
                <w:lang w:val="cs-CZ"/>
              </w:rPr>
              <w:t>Jméno</w:t>
            </w:r>
          </w:p>
        </w:tc>
        <w:tc>
          <w:tcPr>
            <w:tcW w:w="1823" w:type="pct"/>
            <w:shd w:val="clear" w:color="auto" w:fill="2A7FC6"/>
            <w:vAlign w:val="center"/>
          </w:tcPr>
          <w:p w14:paraId="6AF8F50A" w14:textId="77777777" w:rsidR="000C292F" w:rsidRPr="006C048C" w:rsidRDefault="000C292F" w:rsidP="000C292F">
            <w:pPr>
              <w:pStyle w:val="AODocTxtCharChar"/>
              <w:numPr>
                <w:ilvl w:val="0"/>
                <w:numId w:val="2"/>
              </w:numPr>
              <w:spacing w:before="0" w:beforeAutospacing="0" w:after="0" w:afterAutospacing="0" w:line="360" w:lineRule="auto"/>
              <w:jc w:val="left"/>
              <w:rPr>
                <w:b/>
                <w:color w:val="FFFFFF" w:themeColor="background1"/>
                <w:lang w:val="cs-CZ"/>
              </w:rPr>
            </w:pPr>
            <w:r w:rsidRPr="006C048C">
              <w:rPr>
                <w:b/>
                <w:color w:val="FFFFFF" w:themeColor="background1"/>
                <w:lang w:val="cs-CZ"/>
              </w:rPr>
              <w:t>Pozice/funkce</w:t>
            </w:r>
          </w:p>
        </w:tc>
        <w:tc>
          <w:tcPr>
            <w:tcW w:w="1475" w:type="pct"/>
            <w:shd w:val="clear" w:color="auto" w:fill="2A7FC6"/>
            <w:vAlign w:val="center"/>
          </w:tcPr>
          <w:p w14:paraId="6BDD63B0" w14:textId="77777777" w:rsidR="000C292F" w:rsidRPr="006C048C" w:rsidRDefault="000C292F" w:rsidP="000C292F">
            <w:pPr>
              <w:pStyle w:val="AODocTxtCharChar"/>
              <w:numPr>
                <w:ilvl w:val="0"/>
                <w:numId w:val="2"/>
              </w:numPr>
              <w:spacing w:before="0" w:beforeAutospacing="0" w:after="0" w:afterAutospacing="0" w:line="360" w:lineRule="auto"/>
              <w:jc w:val="right"/>
              <w:rPr>
                <w:b/>
                <w:color w:val="FFFFFF" w:themeColor="background1"/>
                <w:lang w:val="cs-CZ"/>
              </w:rPr>
            </w:pPr>
            <w:r w:rsidRPr="006C048C">
              <w:rPr>
                <w:b/>
                <w:color w:val="FFFFFF" w:themeColor="background1"/>
                <w:lang w:val="cs-CZ"/>
              </w:rPr>
              <w:t>Funkční období v první polovině 2018</w:t>
            </w:r>
          </w:p>
        </w:tc>
      </w:tr>
      <w:tr w:rsidR="000C292F" w:rsidRPr="006C048C" w14:paraId="58A7B775" w14:textId="77777777" w:rsidTr="006A75D4">
        <w:trPr>
          <w:cantSplit/>
          <w:trHeight w:val="346"/>
        </w:trPr>
        <w:tc>
          <w:tcPr>
            <w:tcW w:w="1702" w:type="pct"/>
            <w:vAlign w:val="center"/>
          </w:tcPr>
          <w:p w14:paraId="4B8D8B3F"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Ivan Hayek</w:t>
            </w:r>
          </w:p>
        </w:tc>
        <w:tc>
          <w:tcPr>
            <w:tcW w:w="1823" w:type="pct"/>
            <w:vAlign w:val="center"/>
          </w:tcPr>
          <w:p w14:paraId="1023C48F"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předseda výboru</w:t>
            </w:r>
          </w:p>
        </w:tc>
        <w:tc>
          <w:tcPr>
            <w:tcW w:w="1475" w:type="pct"/>
            <w:vAlign w:val="center"/>
          </w:tcPr>
          <w:p w14:paraId="47385F2A"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2C4310D4" w14:textId="77777777" w:rsidTr="006A75D4">
        <w:trPr>
          <w:cantSplit/>
        </w:trPr>
        <w:tc>
          <w:tcPr>
            <w:tcW w:w="1702" w:type="pct"/>
            <w:vAlign w:val="center"/>
          </w:tcPr>
          <w:p w14:paraId="3535DE3E" w14:textId="77777777" w:rsidR="000C292F" w:rsidRPr="006C048C" w:rsidRDefault="000C292F" w:rsidP="000C292F">
            <w:pPr>
              <w:pStyle w:val="AODocTxtCharChar"/>
              <w:numPr>
                <w:ilvl w:val="0"/>
                <w:numId w:val="2"/>
              </w:numPr>
              <w:spacing w:before="0" w:beforeAutospacing="0" w:after="0" w:afterAutospacing="0" w:line="360" w:lineRule="auto"/>
              <w:jc w:val="left"/>
              <w:rPr>
                <w:lang w:val="cs-CZ"/>
              </w:rPr>
            </w:pPr>
            <w:r w:rsidRPr="006C048C">
              <w:rPr>
                <w:lang w:val="cs-CZ"/>
              </w:rPr>
              <w:t>Hana Černá</w:t>
            </w:r>
          </w:p>
        </w:tc>
        <w:tc>
          <w:tcPr>
            <w:tcW w:w="1823" w:type="pct"/>
            <w:vAlign w:val="center"/>
          </w:tcPr>
          <w:p w14:paraId="6E9BC916"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člen výboru</w:t>
            </w:r>
          </w:p>
        </w:tc>
        <w:tc>
          <w:tcPr>
            <w:tcW w:w="1475" w:type="pct"/>
            <w:vAlign w:val="center"/>
          </w:tcPr>
          <w:p w14:paraId="697E45A7"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r w:rsidR="000C292F" w:rsidRPr="006C048C" w14:paraId="26067013" w14:textId="77777777" w:rsidTr="006A75D4">
        <w:trPr>
          <w:cantSplit/>
        </w:trPr>
        <w:tc>
          <w:tcPr>
            <w:tcW w:w="1702" w:type="pct"/>
            <w:vAlign w:val="center"/>
          </w:tcPr>
          <w:p w14:paraId="23E963D8"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Alena Naatz</w:t>
            </w:r>
          </w:p>
        </w:tc>
        <w:tc>
          <w:tcPr>
            <w:tcW w:w="1823" w:type="pct"/>
            <w:vAlign w:val="center"/>
          </w:tcPr>
          <w:p w14:paraId="4BA80C3E" w14:textId="77777777" w:rsidR="000C292F" w:rsidRPr="006C048C" w:rsidRDefault="000C292F" w:rsidP="000C292F">
            <w:pPr>
              <w:pStyle w:val="AODocTxtCharChar"/>
              <w:numPr>
                <w:ilvl w:val="0"/>
                <w:numId w:val="2"/>
              </w:numPr>
              <w:spacing w:before="0" w:beforeAutospacing="0" w:after="0" w:afterAutospacing="0" w:line="360" w:lineRule="auto"/>
              <w:jc w:val="left"/>
              <w:rPr>
                <w:rFonts w:eastAsia="Batang"/>
                <w:lang w:val="cs-CZ"/>
              </w:rPr>
            </w:pPr>
            <w:r w:rsidRPr="006C048C">
              <w:rPr>
                <w:lang w:val="cs-CZ"/>
              </w:rPr>
              <w:t>člen výboru</w:t>
            </w:r>
          </w:p>
        </w:tc>
        <w:tc>
          <w:tcPr>
            <w:tcW w:w="1475" w:type="pct"/>
            <w:vAlign w:val="center"/>
          </w:tcPr>
          <w:p w14:paraId="08EA77E6" w14:textId="77777777" w:rsidR="000C292F" w:rsidRPr="006C048C" w:rsidRDefault="000C292F" w:rsidP="000C292F">
            <w:pPr>
              <w:pStyle w:val="AODocTxtCharChar"/>
              <w:numPr>
                <w:ilvl w:val="0"/>
                <w:numId w:val="2"/>
              </w:numPr>
              <w:spacing w:before="0" w:beforeAutospacing="0" w:after="0" w:afterAutospacing="0" w:line="360" w:lineRule="auto"/>
              <w:jc w:val="right"/>
              <w:rPr>
                <w:lang w:val="cs-CZ"/>
              </w:rPr>
            </w:pPr>
            <w:r w:rsidRPr="006C048C">
              <w:rPr>
                <w:lang w:val="cs-CZ"/>
              </w:rPr>
              <w:t>1. 1. 2018 – 30. 6. 2018</w:t>
            </w:r>
          </w:p>
        </w:tc>
      </w:tr>
    </w:tbl>
    <w:p w14:paraId="6006413F" w14:textId="77777777" w:rsidR="000C292F" w:rsidRPr="006C048C" w:rsidRDefault="000C292F" w:rsidP="000C292F">
      <w:r w:rsidRPr="006C048C">
        <w:t>Během prvního pololetí roku 2018 nedošlo k žádným personálním změnám ve výboru pro audit Společnosti.</w:t>
      </w:r>
    </w:p>
    <w:p w14:paraId="3E93A309" w14:textId="40F814BC" w:rsidR="00F82151" w:rsidRPr="006C048C" w:rsidRDefault="00F82151">
      <w:pPr>
        <w:spacing w:before="0" w:beforeAutospacing="0" w:after="160" w:afterAutospacing="0" w:line="259" w:lineRule="auto"/>
        <w:jc w:val="left"/>
        <w:rPr>
          <w:b/>
          <w:color w:val="E2001C"/>
        </w:rPr>
      </w:pPr>
    </w:p>
    <w:p w14:paraId="6B01FE80" w14:textId="3DAD5B48" w:rsidR="000C292F" w:rsidRPr="006C048C" w:rsidRDefault="000C292F" w:rsidP="000C292F">
      <w:pPr>
        <w:pStyle w:val="Nadpis4"/>
      </w:pPr>
      <w:r w:rsidRPr="006C048C">
        <w:t>Účetní jednotky Skupiny</w:t>
      </w:r>
    </w:p>
    <w:p w14:paraId="468D74ED" w14:textId="3D0CF083" w:rsidR="000C292F" w:rsidRPr="006C048C" w:rsidRDefault="000C292F" w:rsidP="000C292F">
      <w:pPr>
        <w:pStyle w:val="Normlnweb"/>
      </w:pPr>
      <w:r w:rsidRPr="006C048C">
        <w:t xml:space="preserve">K přepočtu základního kapitálu dceřiných společností jsou použity kurzy Kč/USD </w:t>
      </w:r>
      <w:r w:rsidR="00F0747D">
        <w:t>22,318</w:t>
      </w:r>
      <w:r w:rsidRPr="006C048C">
        <w:t xml:space="preserve">, Kč/ZAR </w:t>
      </w:r>
      <w:r w:rsidR="00F0747D">
        <w:t>1,621</w:t>
      </w:r>
      <w:r w:rsidR="00F0747D" w:rsidRPr="006C048C">
        <w:t xml:space="preserve"> </w:t>
      </w:r>
      <w:r w:rsidRPr="006C048C">
        <w:t>platné k 30. červnu 2018.</w:t>
      </w:r>
    </w:p>
    <w:tbl>
      <w:tblPr>
        <w:tblW w:w="5000" w:type="pct"/>
        <w:tblBorders>
          <w:top w:val="single" w:sz="4" w:space="0" w:color="9C9D9F"/>
          <w:bottom w:val="single" w:sz="4" w:space="0" w:color="9C9D9F"/>
          <w:insideH w:val="single" w:sz="4" w:space="0" w:color="9C9D9F"/>
        </w:tblBorders>
        <w:tblLook w:val="01E0" w:firstRow="1" w:lastRow="1" w:firstColumn="1" w:lastColumn="1" w:noHBand="0" w:noVBand="0"/>
      </w:tblPr>
      <w:tblGrid>
        <w:gridCol w:w="1614"/>
        <w:gridCol w:w="1369"/>
        <w:gridCol w:w="1354"/>
        <w:gridCol w:w="1413"/>
        <w:gridCol w:w="1170"/>
        <w:gridCol w:w="2152"/>
      </w:tblGrid>
      <w:tr w:rsidR="000C292F" w:rsidRPr="006C048C" w14:paraId="4FE6D366" w14:textId="77777777" w:rsidTr="001959D4">
        <w:tc>
          <w:tcPr>
            <w:tcW w:w="889" w:type="pct"/>
            <w:shd w:val="clear" w:color="auto" w:fill="2A7FC6"/>
          </w:tcPr>
          <w:p w14:paraId="3BCB8ED3" w14:textId="77777777" w:rsidR="000C292F" w:rsidRPr="006C048C" w:rsidRDefault="000C292F" w:rsidP="00E431E6">
            <w:pPr>
              <w:pStyle w:val="Normlnweb"/>
              <w:ind w:right="-147"/>
              <w:jc w:val="center"/>
              <w:rPr>
                <w:b/>
                <w:color w:val="FFFFFF" w:themeColor="background1"/>
                <w:sz w:val="18"/>
                <w:szCs w:val="18"/>
              </w:rPr>
            </w:pPr>
            <w:r w:rsidRPr="006C048C">
              <w:rPr>
                <w:b/>
                <w:color w:val="FFFFFF" w:themeColor="background1"/>
                <w:sz w:val="18"/>
                <w:szCs w:val="18"/>
              </w:rPr>
              <w:t>Název společnosti</w:t>
            </w:r>
          </w:p>
        </w:tc>
        <w:tc>
          <w:tcPr>
            <w:tcW w:w="754" w:type="pct"/>
            <w:shd w:val="clear" w:color="auto" w:fill="2A7FC6"/>
          </w:tcPr>
          <w:p w14:paraId="0B330F9E" w14:textId="77777777" w:rsidR="000C292F" w:rsidRPr="006C048C" w:rsidRDefault="000C292F" w:rsidP="00E431E6">
            <w:pPr>
              <w:pStyle w:val="Normlnweb"/>
              <w:jc w:val="center"/>
              <w:rPr>
                <w:b/>
                <w:color w:val="FFFFFF" w:themeColor="background1"/>
                <w:sz w:val="18"/>
                <w:szCs w:val="18"/>
              </w:rPr>
            </w:pPr>
            <w:r w:rsidRPr="006C048C">
              <w:rPr>
                <w:b/>
                <w:color w:val="FFFFFF" w:themeColor="background1"/>
                <w:sz w:val="18"/>
                <w:szCs w:val="18"/>
              </w:rPr>
              <w:t>Datum převzetí/zápisu</w:t>
            </w:r>
          </w:p>
        </w:tc>
        <w:tc>
          <w:tcPr>
            <w:tcW w:w="746" w:type="pct"/>
            <w:shd w:val="clear" w:color="auto" w:fill="2A7FC6"/>
          </w:tcPr>
          <w:p w14:paraId="40EAE781" w14:textId="77777777" w:rsidR="000C292F" w:rsidRPr="006C048C" w:rsidRDefault="000C292F" w:rsidP="00E431E6">
            <w:pPr>
              <w:pStyle w:val="Normlnweb"/>
              <w:jc w:val="center"/>
              <w:rPr>
                <w:b/>
                <w:color w:val="FFFFFF" w:themeColor="background1"/>
                <w:sz w:val="18"/>
                <w:szCs w:val="18"/>
              </w:rPr>
            </w:pPr>
            <w:r w:rsidRPr="006C048C">
              <w:rPr>
                <w:b/>
                <w:color w:val="FFFFFF" w:themeColor="background1"/>
                <w:sz w:val="18"/>
                <w:szCs w:val="18"/>
              </w:rPr>
              <w:t>Podíly v dceřiných společnostech</w:t>
            </w:r>
          </w:p>
        </w:tc>
        <w:tc>
          <w:tcPr>
            <w:tcW w:w="779" w:type="pct"/>
            <w:shd w:val="clear" w:color="auto" w:fill="2A7FC6"/>
          </w:tcPr>
          <w:p w14:paraId="0EC0282B" w14:textId="77777777" w:rsidR="000C292F" w:rsidRPr="006C048C" w:rsidRDefault="000C292F" w:rsidP="00E431E6">
            <w:pPr>
              <w:pStyle w:val="Normlnweb"/>
              <w:jc w:val="center"/>
              <w:rPr>
                <w:b/>
                <w:color w:val="FFFFFF" w:themeColor="background1"/>
                <w:sz w:val="18"/>
                <w:szCs w:val="18"/>
              </w:rPr>
            </w:pPr>
            <w:r w:rsidRPr="006C048C">
              <w:rPr>
                <w:b/>
                <w:color w:val="FFFFFF" w:themeColor="background1"/>
                <w:sz w:val="18"/>
                <w:szCs w:val="18"/>
              </w:rPr>
              <w:t>Základní kapitál v tis. Kč/tis. USD/tis. ZAR</w:t>
            </w:r>
          </w:p>
        </w:tc>
        <w:tc>
          <w:tcPr>
            <w:tcW w:w="645" w:type="pct"/>
            <w:shd w:val="clear" w:color="auto" w:fill="2A7FC6"/>
          </w:tcPr>
          <w:p w14:paraId="7CD1A719" w14:textId="77777777" w:rsidR="000C292F" w:rsidRPr="006C048C" w:rsidRDefault="000C292F" w:rsidP="00E431E6">
            <w:pPr>
              <w:pStyle w:val="Normlnweb"/>
              <w:jc w:val="center"/>
              <w:rPr>
                <w:b/>
                <w:color w:val="FFFFFF" w:themeColor="background1"/>
                <w:sz w:val="18"/>
                <w:szCs w:val="18"/>
              </w:rPr>
            </w:pPr>
            <w:r w:rsidRPr="006C048C">
              <w:rPr>
                <w:b/>
                <w:color w:val="FFFFFF" w:themeColor="background1"/>
                <w:sz w:val="18"/>
                <w:szCs w:val="18"/>
              </w:rPr>
              <w:t>Základní kapitál v tis. Kč</w:t>
            </w:r>
          </w:p>
        </w:tc>
        <w:tc>
          <w:tcPr>
            <w:tcW w:w="1186" w:type="pct"/>
            <w:shd w:val="clear" w:color="auto" w:fill="2A7FC6"/>
          </w:tcPr>
          <w:p w14:paraId="1204741A" w14:textId="77777777" w:rsidR="000C292F" w:rsidRPr="006C048C" w:rsidRDefault="000C292F" w:rsidP="00E431E6">
            <w:pPr>
              <w:pStyle w:val="Normlnweb"/>
              <w:jc w:val="center"/>
              <w:rPr>
                <w:b/>
                <w:color w:val="FFFFFF" w:themeColor="background1"/>
                <w:sz w:val="18"/>
                <w:szCs w:val="18"/>
              </w:rPr>
            </w:pPr>
            <w:r w:rsidRPr="006C048C">
              <w:rPr>
                <w:b/>
                <w:color w:val="FFFFFF" w:themeColor="background1"/>
                <w:sz w:val="18"/>
                <w:szCs w:val="18"/>
              </w:rPr>
              <w:t>Počet akcií a jejich nominální hodnota</w:t>
            </w:r>
          </w:p>
        </w:tc>
      </w:tr>
      <w:tr w:rsidR="000C292F" w:rsidRPr="006C048C" w14:paraId="548925C5" w14:textId="77777777" w:rsidTr="001959D4">
        <w:trPr>
          <w:trHeight w:val="580"/>
        </w:trPr>
        <w:tc>
          <w:tcPr>
            <w:tcW w:w="889" w:type="pct"/>
          </w:tcPr>
          <w:p w14:paraId="6548D49B" w14:textId="77777777" w:rsidR="000C292F" w:rsidRPr="006C048C" w:rsidRDefault="000C292F" w:rsidP="00E431E6">
            <w:pPr>
              <w:ind w:right="-147"/>
              <w:jc w:val="left"/>
              <w:rPr>
                <w:sz w:val="18"/>
                <w:szCs w:val="18"/>
                <w:vertAlign w:val="superscript"/>
              </w:rPr>
            </w:pPr>
            <w:r w:rsidRPr="006C048C">
              <w:rPr>
                <w:sz w:val="18"/>
                <w:szCs w:val="18"/>
              </w:rPr>
              <w:t>PEGAS NONWOVENS Czech s.r.o.</w:t>
            </w:r>
          </w:p>
        </w:tc>
        <w:tc>
          <w:tcPr>
            <w:tcW w:w="754" w:type="pct"/>
          </w:tcPr>
          <w:p w14:paraId="3611355F" w14:textId="77777777" w:rsidR="000C292F" w:rsidRPr="006C048C" w:rsidRDefault="000C292F" w:rsidP="00E431E6">
            <w:pPr>
              <w:jc w:val="right"/>
              <w:rPr>
                <w:sz w:val="18"/>
                <w:szCs w:val="18"/>
              </w:rPr>
            </w:pPr>
            <w:r w:rsidRPr="006C048C">
              <w:rPr>
                <w:sz w:val="18"/>
                <w:szCs w:val="18"/>
              </w:rPr>
              <w:t>5. 12. 2005</w:t>
            </w:r>
          </w:p>
        </w:tc>
        <w:tc>
          <w:tcPr>
            <w:tcW w:w="746" w:type="pct"/>
          </w:tcPr>
          <w:p w14:paraId="4D39490A" w14:textId="77777777" w:rsidR="000C292F" w:rsidRPr="006C048C" w:rsidRDefault="000C292F" w:rsidP="00E431E6">
            <w:pPr>
              <w:jc w:val="center"/>
              <w:rPr>
                <w:sz w:val="18"/>
                <w:szCs w:val="18"/>
              </w:rPr>
            </w:pPr>
            <w:r w:rsidRPr="006C048C">
              <w:rPr>
                <w:sz w:val="18"/>
                <w:szCs w:val="18"/>
              </w:rPr>
              <w:t>100 %</w:t>
            </w:r>
          </w:p>
        </w:tc>
        <w:tc>
          <w:tcPr>
            <w:tcW w:w="779" w:type="pct"/>
          </w:tcPr>
          <w:p w14:paraId="29B3E212" w14:textId="77777777" w:rsidR="000C292F" w:rsidRPr="006C048C" w:rsidRDefault="000C292F" w:rsidP="00E431E6">
            <w:pPr>
              <w:jc w:val="right"/>
              <w:rPr>
                <w:sz w:val="18"/>
                <w:szCs w:val="18"/>
              </w:rPr>
            </w:pPr>
            <w:r w:rsidRPr="006C048C">
              <w:rPr>
                <w:sz w:val="18"/>
                <w:szCs w:val="18"/>
              </w:rPr>
              <w:t>3 633 tis. Kč</w:t>
            </w:r>
          </w:p>
        </w:tc>
        <w:tc>
          <w:tcPr>
            <w:tcW w:w="645" w:type="pct"/>
          </w:tcPr>
          <w:p w14:paraId="74F4936B" w14:textId="3E8733F6" w:rsidR="000C292F" w:rsidRPr="006C048C" w:rsidRDefault="00F0747D" w:rsidP="00F0747D">
            <w:pPr>
              <w:ind w:right="-120"/>
              <w:jc w:val="right"/>
              <w:rPr>
                <w:sz w:val="18"/>
                <w:szCs w:val="18"/>
              </w:rPr>
            </w:pPr>
            <w:r w:rsidRPr="006C048C">
              <w:rPr>
                <w:sz w:val="18"/>
                <w:szCs w:val="18"/>
              </w:rPr>
              <w:t>3 633 tis. Kč</w:t>
            </w:r>
          </w:p>
        </w:tc>
        <w:tc>
          <w:tcPr>
            <w:tcW w:w="1186" w:type="pct"/>
          </w:tcPr>
          <w:p w14:paraId="65C869A1" w14:textId="77777777" w:rsidR="000C292F" w:rsidRPr="006C048C" w:rsidRDefault="000C292F" w:rsidP="00E431E6">
            <w:pPr>
              <w:jc w:val="right"/>
              <w:rPr>
                <w:sz w:val="18"/>
                <w:szCs w:val="18"/>
              </w:rPr>
            </w:pPr>
            <w:r w:rsidRPr="006C048C">
              <w:rPr>
                <w:sz w:val="18"/>
                <w:szCs w:val="18"/>
              </w:rPr>
              <w:t>100 % podíl v hodnotě 3</w:t>
            </w:r>
            <w:r w:rsidRPr="006C048C">
              <w:rPr>
                <w:b/>
                <w:sz w:val="18"/>
                <w:szCs w:val="18"/>
              </w:rPr>
              <w:t> </w:t>
            </w:r>
            <w:r w:rsidRPr="006C048C">
              <w:rPr>
                <w:sz w:val="18"/>
                <w:szCs w:val="18"/>
              </w:rPr>
              <w:t>633 tis. Kč</w:t>
            </w:r>
          </w:p>
        </w:tc>
      </w:tr>
      <w:tr w:rsidR="000C292F" w:rsidRPr="006C048C" w14:paraId="779A842F" w14:textId="77777777" w:rsidTr="001959D4">
        <w:tc>
          <w:tcPr>
            <w:tcW w:w="889" w:type="pct"/>
          </w:tcPr>
          <w:p w14:paraId="2C7AE011" w14:textId="77777777" w:rsidR="000C292F" w:rsidRPr="006C048C" w:rsidRDefault="000C292F" w:rsidP="00E431E6">
            <w:pPr>
              <w:ind w:right="-147"/>
              <w:jc w:val="left"/>
              <w:rPr>
                <w:sz w:val="18"/>
                <w:szCs w:val="18"/>
              </w:rPr>
            </w:pPr>
            <w:r w:rsidRPr="006C048C">
              <w:rPr>
                <w:sz w:val="18"/>
                <w:szCs w:val="18"/>
              </w:rPr>
              <w:t>PEGAS - NW a.s.</w:t>
            </w:r>
          </w:p>
        </w:tc>
        <w:tc>
          <w:tcPr>
            <w:tcW w:w="754" w:type="pct"/>
          </w:tcPr>
          <w:p w14:paraId="00F2BC6E" w14:textId="77777777" w:rsidR="000C292F" w:rsidRPr="006C048C" w:rsidRDefault="000C292F" w:rsidP="00E431E6">
            <w:pPr>
              <w:jc w:val="right"/>
              <w:rPr>
                <w:sz w:val="18"/>
                <w:szCs w:val="18"/>
              </w:rPr>
            </w:pPr>
            <w:r w:rsidRPr="006C048C">
              <w:rPr>
                <w:sz w:val="18"/>
                <w:szCs w:val="18"/>
              </w:rPr>
              <w:t>14. 12. 2005</w:t>
            </w:r>
          </w:p>
        </w:tc>
        <w:tc>
          <w:tcPr>
            <w:tcW w:w="746" w:type="pct"/>
          </w:tcPr>
          <w:p w14:paraId="7B3369AD" w14:textId="77777777" w:rsidR="000C292F" w:rsidRPr="006C048C" w:rsidRDefault="000C292F" w:rsidP="00E431E6">
            <w:pPr>
              <w:jc w:val="center"/>
              <w:rPr>
                <w:sz w:val="18"/>
                <w:szCs w:val="18"/>
              </w:rPr>
            </w:pPr>
            <w:r w:rsidRPr="006C048C">
              <w:rPr>
                <w:sz w:val="18"/>
                <w:szCs w:val="18"/>
              </w:rPr>
              <w:t>100 %</w:t>
            </w:r>
          </w:p>
        </w:tc>
        <w:tc>
          <w:tcPr>
            <w:tcW w:w="779" w:type="pct"/>
          </w:tcPr>
          <w:p w14:paraId="7E6A0802" w14:textId="77777777" w:rsidR="000C292F" w:rsidRPr="006C048C" w:rsidRDefault="000C292F" w:rsidP="00E431E6">
            <w:pPr>
              <w:jc w:val="right"/>
              <w:rPr>
                <w:sz w:val="18"/>
                <w:szCs w:val="18"/>
              </w:rPr>
            </w:pPr>
            <w:r w:rsidRPr="006C048C">
              <w:rPr>
                <w:sz w:val="18"/>
                <w:szCs w:val="18"/>
              </w:rPr>
              <w:t>650 000 tis. Kč</w:t>
            </w:r>
          </w:p>
          <w:p w14:paraId="44C22B57" w14:textId="77777777" w:rsidR="000C292F" w:rsidRPr="006C048C" w:rsidRDefault="000C292F" w:rsidP="00E431E6">
            <w:pPr>
              <w:jc w:val="right"/>
              <w:rPr>
                <w:sz w:val="18"/>
                <w:szCs w:val="18"/>
              </w:rPr>
            </w:pPr>
          </w:p>
        </w:tc>
        <w:tc>
          <w:tcPr>
            <w:tcW w:w="645" w:type="pct"/>
          </w:tcPr>
          <w:p w14:paraId="680570C2" w14:textId="4C60D19A" w:rsidR="000C292F" w:rsidRPr="006C048C" w:rsidRDefault="00F0747D" w:rsidP="000546B5">
            <w:pPr>
              <w:ind w:right="-120"/>
              <w:jc w:val="right"/>
              <w:rPr>
                <w:sz w:val="18"/>
                <w:szCs w:val="18"/>
              </w:rPr>
            </w:pPr>
            <w:r w:rsidRPr="006C048C">
              <w:rPr>
                <w:sz w:val="18"/>
                <w:szCs w:val="18"/>
              </w:rPr>
              <w:t>650 000 tis. Kč</w:t>
            </w:r>
          </w:p>
        </w:tc>
        <w:tc>
          <w:tcPr>
            <w:tcW w:w="1186" w:type="pct"/>
          </w:tcPr>
          <w:p w14:paraId="33C3BF9C" w14:textId="77777777" w:rsidR="000C292F" w:rsidRPr="006C048C" w:rsidRDefault="000C292F" w:rsidP="00E431E6">
            <w:pPr>
              <w:jc w:val="right"/>
              <w:rPr>
                <w:sz w:val="18"/>
                <w:szCs w:val="18"/>
              </w:rPr>
            </w:pPr>
            <w:r w:rsidRPr="006C048C">
              <w:rPr>
                <w:sz w:val="18"/>
                <w:szCs w:val="18"/>
              </w:rPr>
              <w:t>64 akcií v nomin. hodnotě 10 000 tis. Kč za akcii a 10 akcií v nomin. hodnotě 1 000 tis. za akcii</w:t>
            </w:r>
          </w:p>
        </w:tc>
      </w:tr>
      <w:tr w:rsidR="000C292F" w:rsidRPr="006C048C" w14:paraId="46BEA0F1" w14:textId="77777777" w:rsidTr="001959D4">
        <w:tc>
          <w:tcPr>
            <w:tcW w:w="889" w:type="pct"/>
          </w:tcPr>
          <w:p w14:paraId="7DCDE7F8" w14:textId="77777777" w:rsidR="000C292F" w:rsidRPr="006C048C" w:rsidRDefault="000C292F" w:rsidP="00E431E6">
            <w:pPr>
              <w:ind w:right="-147"/>
              <w:jc w:val="left"/>
              <w:rPr>
                <w:sz w:val="18"/>
                <w:szCs w:val="18"/>
                <w:vertAlign w:val="superscript"/>
              </w:rPr>
            </w:pPr>
            <w:r w:rsidRPr="006C048C">
              <w:rPr>
                <w:sz w:val="18"/>
                <w:szCs w:val="18"/>
              </w:rPr>
              <w:t>PEGAS - NS a.s.</w:t>
            </w:r>
          </w:p>
        </w:tc>
        <w:tc>
          <w:tcPr>
            <w:tcW w:w="754" w:type="pct"/>
          </w:tcPr>
          <w:p w14:paraId="5F4920AF" w14:textId="77777777" w:rsidR="000C292F" w:rsidRPr="006C048C" w:rsidRDefault="000C292F" w:rsidP="00E431E6">
            <w:pPr>
              <w:jc w:val="right"/>
              <w:rPr>
                <w:sz w:val="18"/>
                <w:szCs w:val="18"/>
              </w:rPr>
            </w:pPr>
            <w:r w:rsidRPr="006C048C">
              <w:rPr>
                <w:sz w:val="18"/>
                <w:szCs w:val="18"/>
              </w:rPr>
              <w:t>3. 12. 2007</w:t>
            </w:r>
          </w:p>
        </w:tc>
        <w:tc>
          <w:tcPr>
            <w:tcW w:w="746" w:type="pct"/>
          </w:tcPr>
          <w:p w14:paraId="1377C2B4" w14:textId="77777777" w:rsidR="000C292F" w:rsidRPr="006C048C" w:rsidRDefault="000C292F" w:rsidP="00E431E6">
            <w:pPr>
              <w:jc w:val="center"/>
              <w:rPr>
                <w:sz w:val="18"/>
                <w:szCs w:val="18"/>
              </w:rPr>
            </w:pPr>
            <w:r w:rsidRPr="006C048C">
              <w:rPr>
                <w:sz w:val="18"/>
                <w:szCs w:val="18"/>
              </w:rPr>
              <w:t>100 %</w:t>
            </w:r>
          </w:p>
        </w:tc>
        <w:tc>
          <w:tcPr>
            <w:tcW w:w="779" w:type="pct"/>
          </w:tcPr>
          <w:p w14:paraId="747520CB" w14:textId="77777777" w:rsidR="000C292F" w:rsidRPr="006C048C" w:rsidRDefault="000C292F" w:rsidP="00E431E6">
            <w:pPr>
              <w:jc w:val="right"/>
              <w:rPr>
                <w:sz w:val="18"/>
                <w:szCs w:val="18"/>
              </w:rPr>
            </w:pPr>
            <w:r w:rsidRPr="006C048C">
              <w:rPr>
                <w:sz w:val="18"/>
                <w:szCs w:val="18"/>
              </w:rPr>
              <w:t>650 000 tis. Kč</w:t>
            </w:r>
          </w:p>
          <w:p w14:paraId="4C780ECC" w14:textId="77777777" w:rsidR="000C292F" w:rsidRPr="006C048C" w:rsidRDefault="000C292F" w:rsidP="00E431E6">
            <w:pPr>
              <w:jc w:val="right"/>
              <w:rPr>
                <w:sz w:val="18"/>
                <w:szCs w:val="18"/>
              </w:rPr>
            </w:pPr>
          </w:p>
        </w:tc>
        <w:tc>
          <w:tcPr>
            <w:tcW w:w="645" w:type="pct"/>
          </w:tcPr>
          <w:p w14:paraId="34DC761C" w14:textId="4B83A91F" w:rsidR="000C292F" w:rsidRPr="006C048C" w:rsidRDefault="00F0747D" w:rsidP="000546B5">
            <w:pPr>
              <w:ind w:right="-120"/>
              <w:jc w:val="right"/>
              <w:rPr>
                <w:sz w:val="18"/>
                <w:szCs w:val="18"/>
              </w:rPr>
            </w:pPr>
            <w:r w:rsidRPr="006C048C">
              <w:rPr>
                <w:sz w:val="18"/>
                <w:szCs w:val="18"/>
              </w:rPr>
              <w:t>650 000 tis. Kč</w:t>
            </w:r>
          </w:p>
        </w:tc>
        <w:tc>
          <w:tcPr>
            <w:tcW w:w="1186" w:type="pct"/>
          </w:tcPr>
          <w:p w14:paraId="08ABED63" w14:textId="77777777" w:rsidR="000C292F" w:rsidRPr="006C048C" w:rsidRDefault="000C292F" w:rsidP="00E431E6">
            <w:pPr>
              <w:jc w:val="right"/>
              <w:rPr>
                <w:sz w:val="18"/>
                <w:szCs w:val="18"/>
              </w:rPr>
            </w:pPr>
            <w:r w:rsidRPr="006C048C">
              <w:rPr>
                <w:sz w:val="18"/>
                <w:szCs w:val="18"/>
              </w:rPr>
              <w:t xml:space="preserve">64 akcií v nomin. hodnotě 10 000 tis. Kč za akcii a 10 akcií v nomin. hodnotě 1 000 tis. za akcii </w:t>
            </w:r>
          </w:p>
        </w:tc>
      </w:tr>
      <w:tr w:rsidR="000C292F" w:rsidRPr="006C048C" w14:paraId="6FFADD36" w14:textId="77777777" w:rsidTr="001959D4">
        <w:tc>
          <w:tcPr>
            <w:tcW w:w="889" w:type="pct"/>
          </w:tcPr>
          <w:p w14:paraId="1A311D50" w14:textId="77777777" w:rsidR="000C292F" w:rsidRPr="006C048C" w:rsidRDefault="000C292F" w:rsidP="00E431E6">
            <w:pPr>
              <w:ind w:right="-147"/>
              <w:jc w:val="left"/>
              <w:rPr>
                <w:sz w:val="18"/>
                <w:szCs w:val="18"/>
              </w:rPr>
            </w:pPr>
            <w:r w:rsidRPr="006C048C">
              <w:rPr>
                <w:sz w:val="18"/>
                <w:szCs w:val="18"/>
              </w:rPr>
              <w:t>PEGAS – GIC a.s.</w:t>
            </w:r>
          </w:p>
        </w:tc>
        <w:tc>
          <w:tcPr>
            <w:tcW w:w="754" w:type="pct"/>
          </w:tcPr>
          <w:p w14:paraId="693E3EC8" w14:textId="77777777" w:rsidR="000C292F" w:rsidRPr="006C048C" w:rsidRDefault="000C292F" w:rsidP="00E431E6">
            <w:pPr>
              <w:jc w:val="right"/>
              <w:rPr>
                <w:sz w:val="18"/>
                <w:szCs w:val="18"/>
              </w:rPr>
            </w:pPr>
            <w:r w:rsidRPr="006C048C">
              <w:rPr>
                <w:sz w:val="18"/>
                <w:szCs w:val="18"/>
              </w:rPr>
              <w:t>11. 9. 2017</w:t>
            </w:r>
          </w:p>
        </w:tc>
        <w:tc>
          <w:tcPr>
            <w:tcW w:w="746" w:type="pct"/>
          </w:tcPr>
          <w:p w14:paraId="13FB6BC1" w14:textId="77777777" w:rsidR="000C292F" w:rsidRPr="006C048C" w:rsidRDefault="000C292F" w:rsidP="00E431E6">
            <w:pPr>
              <w:jc w:val="center"/>
              <w:rPr>
                <w:sz w:val="18"/>
                <w:szCs w:val="18"/>
              </w:rPr>
            </w:pPr>
            <w:r w:rsidRPr="006C048C">
              <w:rPr>
                <w:sz w:val="18"/>
                <w:szCs w:val="18"/>
              </w:rPr>
              <w:t>100 %</w:t>
            </w:r>
          </w:p>
        </w:tc>
        <w:tc>
          <w:tcPr>
            <w:tcW w:w="779" w:type="pct"/>
          </w:tcPr>
          <w:p w14:paraId="2F619093" w14:textId="77777777" w:rsidR="000C292F" w:rsidRPr="006C048C" w:rsidRDefault="000C292F" w:rsidP="00E431E6">
            <w:pPr>
              <w:jc w:val="right"/>
              <w:rPr>
                <w:sz w:val="18"/>
                <w:szCs w:val="18"/>
              </w:rPr>
            </w:pPr>
            <w:r w:rsidRPr="006C048C">
              <w:rPr>
                <w:sz w:val="18"/>
                <w:szCs w:val="18"/>
              </w:rPr>
              <w:t>2 000 tis. Kč</w:t>
            </w:r>
          </w:p>
        </w:tc>
        <w:tc>
          <w:tcPr>
            <w:tcW w:w="645" w:type="pct"/>
          </w:tcPr>
          <w:p w14:paraId="4CF4197D" w14:textId="090D7C77" w:rsidR="000C292F" w:rsidRPr="006C048C" w:rsidDel="00EC3EFD" w:rsidRDefault="00F0747D" w:rsidP="000546B5">
            <w:pPr>
              <w:ind w:right="-120"/>
              <w:jc w:val="right"/>
              <w:rPr>
                <w:sz w:val="18"/>
                <w:szCs w:val="18"/>
              </w:rPr>
            </w:pPr>
            <w:r w:rsidRPr="006C048C">
              <w:rPr>
                <w:sz w:val="18"/>
                <w:szCs w:val="18"/>
              </w:rPr>
              <w:t>2 000 tis. Kč</w:t>
            </w:r>
          </w:p>
        </w:tc>
        <w:tc>
          <w:tcPr>
            <w:tcW w:w="1186" w:type="pct"/>
          </w:tcPr>
          <w:p w14:paraId="4B82B231" w14:textId="77777777" w:rsidR="000C292F" w:rsidRPr="006C048C" w:rsidRDefault="000C292F" w:rsidP="00E431E6">
            <w:pPr>
              <w:jc w:val="right"/>
              <w:rPr>
                <w:sz w:val="18"/>
                <w:szCs w:val="18"/>
              </w:rPr>
            </w:pPr>
            <w:r w:rsidRPr="006C048C">
              <w:rPr>
                <w:sz w:val="18"/>
                <w:szCs w:val="18"/>
              </w:rPr>
              <w:t>2 ks akcií na jméno v listinné podobě v nominální hodnotě 1 000 tis. Kč</w:t>
            </w:r>
          </w:p>
        </w:tc>
      </w:tr>
      <w:tr w:rsidR="000C292F" w:rsidRPr="006C048C" w14:paraId="6841AA0A" w14:textId="77777777" w:rsidTr="001959D4">
        <w:tc>
          <w:tcPr>
            <w:tcW w:w="889" w:type="pct"/>
          </w:tcPr>
          <w:p w14:paraId="0605518A" w14:textId="77777777" w:rsidR="000C292F" w:rsidRPr="006C048C" w:rsidRDefault="000C292F" w:rsidP="00E431E6">
            <w:pPr>
              <w:ind w:right="-147"/>
              <w:jc w:val="left"/>
              <w:rPr>
                <w:sz w:val="18"/>
                <w:szCs w:val="18"/>
              </w:rPr>
            </w:pPr>
            <w:r w:rsidRPr="006C048C">
              <w:rPr>
                <w:sz w:val="18"/>
                <w:szCs w:val="18"/>
              </w:rPr>
              <w:t>PEGAS NONWOVENS International s.r.o.**</w:t>
            </w:r>
          </w:p>
        </w:tc>
        <w:tc>
          <w:tcPr>
            <w:tcW w:w="754" w:type="pct"/>
          </w:tcPr>
          <w:p w14:paraId="1515C46C" w14:textId="77777777" w:rsidR="000C292F" w:rsidRPr="006C048C" w:rsidRDefault="000C292F" w:rsidP="00E431E6">
            <w:pPr>
              <w:jc w:val="right"/>
              <w:rPr>
                <w:sz w:val="18"/>
                <w:szCs w:val="18"/>
              </w:rPr>
            </w:pPr>
            <w:r w:rsidRPr="006C048C">
              <w:rPr>
                <w:sz w:val="18"/>
                <w:szCs w:val="18"/>
              </w:rPr>
              <w:t>18. 10. 2010</w:t>
            </w:r>
          </w:p>
        </w:tc>
        <w:tc>
          <w:tcPr>
            <w:tcW w:w="746" w:type="pct"/>
          </w:tcPr>
          <w:p w14:paraId="7F1D19EE" w14:textId="77777777" w:rsidR="000C292F" w:rsidRPr="006C048C" w:rsidRDefault="000C292F" w:rsidP="00E431E6">
            <w:pPr>
              <w:jc w:val="center"/>
              <w:rPr>
                <w:sz w:val="18"/>
                <w:szCs w:val="18"/>
              </w:rPr>
            </w:pPr>
            <w:r w:rsidRPr="006C048C">
              <w:rPr>
                <w:sz w:val="18"/>
                <w:szCs w:val="18"/>
              </w:rPr>
              <w:t>100 %</w:t>
            </w:r>
          </w:p>
        </w:tc>
        <w:tc>
          <w:tcPr>
            <w:tcW w:w="779" w:type="pct"/>
          </w:tcPr>
          <w:p w14:paraId="1A78B03B" w14:textId="77777777" w:rsidR="000C292F" w:rsidRPr="006C048C" w:rsidRDefault="000C292F" w:rsidP="00E431E6">
            <w:pPr>
              <w:jc w:val="right"/>
              <w:rPr>
                <w:sz w:val="18"/>
                <w:szCs w:val="18"/>
              </w:rPr>
            </w:pPr>
            <w:r w:rsidRPr="006C048C">
              <w:rPr>
                <w:sz w:val="18"/>
                <w:szCs w:val="18"/>
              </w:rPr>
              <w:t>200 tis. Kč</w:t>
            </w:r>
          </w:p>
        </w:tc>
        <w:tc>
          <w:tcPr>
            <w:tcW w:w="645" w:type="pct"/>
          </w:tcPr>
          <w:p w14:paraId="230D8926" w14:textId="47F3D86F" w:rsidR="000C292F" w:rsidRPr="006C048C" w:rsidRDefault="00F0747D" w:rsidP="000546B5">
            <w:pPr>
              <w:ind w:right="-120"/>
              <w:jc w:val="right"/>
              <w:rPr>
                <w:sz w:val="18"/>
                <w:szCs w:val="18"/>
              </w:rPr>
            </w:pPr>
            <w:r w:rsidRPr="006C048C">
              <w:rPr>
                <w:sz w:val="18"/>
                <w:szCs w:val="18"/>
              </w:rPr>
              <w:t>200 tis. Kč</w:t>
            </w:r>
          </w:p>
        </w:tc>
        <w:tc>
          <w:tcPr>
            <w:tcW w:w="1186" w:type="pct"/>
          </w:tcPr>
          <w:p w14:paraId="595335BE" w14:textId="77777777" w:rsidR="000C292F" w:rsidRPr="006C048C" w:rsidRDefault="000C292F" w:rsidP="00E431E6">
            <w:pPr>
              <w:jc w:val="right"/>
              <w:rPr>
                <w:sz w:val="18"/>
                <w:szCs w:val="18"/>
              </w:rPr>
            </w:pPr>
            <w:r w:rsidRPr="006C048C">
              <w:rPr>
                <w:sz w:val="18"/>
                <w:szCs w:val="18"/>
              </w:rPr>
              <w:t>100 % podíl v hodnotě 200 tis. Kč</w:t>
            </w:r>
          </w:p>
        </w:tc>
      </w:tr>
      <w:tr w:rsidR="000C292F" w:rsidRPr="006C048C" w14:paraId="41983284" w14:textId="77777777" w:rsidTr="001959D4">
        <w:tc>
          <w:tcPr>
            <w:tcW w:w="889" w:type="pct"/>
          </w:tcPr>
          <w:p w14:paraId="3A2530AD" w14:textId="77777777" w:rsidR="000C292F" w:rsidRPr="006C048C" w:rsidRDefault="000C292F" w:rsidP="00E431E6">
            <w:pPr>
              <w:ind w:right="-147"/>
              <w:jc w:val="left"/>
              <w:rPr>
                <w:sz w:val="18"/>
                <w:szCs w:val="18"/>
              </w:rPr>
            </w:pPr>
            <w:r w:rsidRPr="006C048C">
              <w:rPr>
                <w:sz w:val="18"/>
                <w:szCs w:val="18"/>
              </w:rPr>
              <w:t>PEGAS NONWOVENS EGYPT LLC ***</w:t>
            </w:r>
          </w:p>
        </w:tc>
        <w:tc>
          <w:tcPr>
            <w:tcW w:w="754" w:type="pct"/>
          </w:tcPr>
          <w:p w14:paraId="3FC93E08" w14:textId="77777777" w:rsidR="000C292F" w:rsidRPr="006C048C" w:rsidRDefault="000C292F" w:rsidP="00E431E6">
            <w:pPr>
              <w:jc w:val="right"/>
              <w:rPr>
                <w:sz w:val="18"/>
                <w:szCs w:val="18"/>
              </w:rPr>
            </w:pPr>
            <w:r w:rsidRPr="006C048C">
              <w:rPr>
                <w:sz w:val="18"/>
                <w:szCs w:val="18"/>
              </w:rPr>
              <w:t>6. 6. 2011</w:t>
            </w:r>
          </w:p>
        </w:tc>
        <w:tc>
          <w:tcPr>
            <w:tcW w:w="746" w:type="pct"/>
          </w:tcPr>
          <w:p w14:paraId="265D82F0" w14:textId="77777777" w:rsidR="000C292F" w:rsidRPr="006C048C" w:rsidRDefault="000C292F" w:rsidP="00E431E6">
            <w:pPr>
              <w:jc w:val="center"/>
              <w:rPr>
                <w:sz w:val="18"/>
                <w:szCs w:val="18"/>
              </w:rPr>
            </w:pPr>
            <w:r w:rsidRPr="006C048C">
              <w:rPr>
                <w:sz w:val="18"/>
                <w:szCs w:val="18"/>
              </w:rPr>
              <w:t>100 %</w:t>
            </w:r>
          </w:p>
        </w:tc>
        <w:tc>
          <w:tcPr>
            <w:tcW w:w="779" w:type="pct"/>
          </w:tcPr>
          <w:p w14:paraId="6C74F658" w14:textId="77777777" w:rsidR="000C292F" w:rsidRPr="006C048C" w:rsidRDefault="000C292F" w:rsidP="00E431E6">
            <w:pPr>
              <w:jc w:val="right"/>
              <w:rPr>
                <w:sz w:val="18"/>
                <w:szCs w:val="18"/>
              </w:rPr>
            </w:pPr>
            <w:r w:rsidRPr="006C048C">
              <w:rPr>
                <w:sz w:val="18"/>
                <w:szCs w:val="18"/>
              </w:rPr>
              <w:t>43 000 tis. USD</w:t>
            </w:r>
          </w:p>
        </w:tc>
        <w:tc>
          <w:tcPr>
            <w:tcW w:w="645" w:type="pct"/>
          </w:tcPr>
          <w:p w14:paraId="5E1B80E8" w14:textId="619751B6" w:rsidR="000C292F" w:rsidRPr="006C048C" w:rsidRDefault="00F0747D" w:rsidP="000546B5">
            <w:pPr>
              <w:ind w:right="-120"/>
              <w:jc w:val="right"/>
              <w:rPr>
                <w:sz w:val="18"/>
                <w:szCs w:val="18"/>
              </w:rPr>
            </w:pPr>
            <w:r>
              <w:rPr>
                <w:sz w:val="18"/>
                <w:szCs w:val="18"/>
              </w:rPr>
              <w:t>959 674 tis. Kč</w:t>
            </w:r>
          </w:p>
        </w:tc>
        <w:tc>
          <w:tcPr>
            <w:tcW w:w="1186" w:type="pct"/>
          </w:tcPr>
          <w:p w14:paraId="602D36B2" w14:textId="656F1695" w:rsidR="000C292F" w:rsidRPr="006C048C" w:rsidRDefault="000C292F" w:rsidP="00E431E6">
            <w:pPr>
              <w:jc w:val="right"/>
              <w:rPr>
                <w:sz w:val="18"/>
                <w:szCs w:val="18"/>
              </w:rPr>
            </w:pPr>
            <w:r w:rsidRPr="006C048C">
              <w:rPr>
                <w:sz w:val="18"/>
                <w:szCs w:val="18"/>
              </w:rPr>
              <w:t xml:space="preserve">100 % podíl v hodnotě </w:t>
            </w:r>
            <w:r w:rsidRPr="006C048C">
              <w:rPr>
                <w:sz w:val="18"/>
                <w:szCs w:val="18"/>
              </w:rPr>
              <w:br/>
            </w:r>
            <w:r w:rsidR="00F0747D">
              <w:rPr>
                <w:sz w:val="18"/>
                <w:szCs w:val="18"/>
              </w:rPr>
              <w:t>4</w:t>
            </w:r>
            <w:r w:rsidRPr="006C048C">
              <w:rPr>
                <w:sz w:val="18"/>
                <w:szCs w:val="18"/>
              </w:rPr>
              <w:t>3 000 tis. USD</w:t>
            </w:r>
          </w:p>
        </w:tc>
      </w:tr>
      <w:tr w:rsidR="000C292F" w:rsidRPr="006C048C" w14:paraId="6FEE9BCF" w14:textId="77777777" w:rsidTr="001959D4">
        <w:tc>
          <w:tcPr>
            <w:tcW w:w="889" w:type="pct"/>
          </w:tcPr>
          <w:p w14:paraId="06D6C25B" w14:textId="77777777" w:rsidR="000C292F" w:rsidRPr="006C048C" w:rsidRDefault="000C292F" w:rsidP="00E431E6">
            <w:pPr>
              <w:ind w:right="-147"/>
              <w:jc w:val="left"/>
              <w:rPr>
                <w:sz w:val="18"/>
                <w:szCs w:val="18"/>
              </w:rPr>
            </w:pPr>
            <w:r w:rsidRPr="006C048C">
              <w:rPr>
                <w:sz w:val="18"/>
                <w:szCs w:val="18"/>
              </w:rPr>
              <w:t>PEGAS NONWOVENS RSA (PTY) LTD ****</w:t>
            </w:r>
          </w:p>
        </w:tc>
        <w:tc>
          <w:tcPr>
            <w:tcW w:w="754" w:type="pct"/>
          </w:tcPr>
          <w:p w14:paraId="77EACCB6" w14:textId="77777777" w:rsidR="000C292F" w:rsidRPr="006C048C" w:rsidRDefault="000C292F" w:rsidP="00E431E6">
            <w:pPr>
              <w:jc w:val="right"/>
              <w:rPr>
                <w:sz w:val="18"/>
                <w:szCs w:val="18"/>
              </w:rPr>
            </w:pPr>
            <w:r w:rsidRPr="006C048C">
              <w:rPr>
                <w:sz w:val="18"/>
                <w:szCs w:val="18"/>
              </w:rPr>
              <w:t>11. 7. 2016</w:t>
            </w:r>
          </w:p>
        </w:tc>
        <w:tc>
          <w:tcPr>
            <w:tcW w:w="746" w:type="pct"/>
          </w:tcPr>
          <w:p w14:paraId="05BC500A" w14:textId="77777777" w:rsidR="000C292F" w:rsidRPr="006C048C" w:rsidRDefault="000C292F" w:rsidP="00E431E6">
            <w:pPr>
              <w:jc w:val="center"/>
              <w:rPr>
                <w:sz w:val="18"/>
                <w:szCs w:val="18"/>
              </w:rPr>
            </w:pPr>
            <w:r w:rsidRPr="006C048C">
              <w:rPr>
                <w:sz w:val="18"/>
                <w:szCs w:val="18"/>
              </w:rPr>
              <w:t>100 %</w:t>
            </w:r>
          </w:p>
        </w:tc>
        <w:tc>
          <w:tcPr>
            <w:tcW w:w="779" w:type="pct"/>
          </w:tcPr>
          <w:p w14:paraId="24575518" w14:textId="44D0A100" w:rsidR="000C292F" w:rsidRPr="006C048C" w:rsidRDefault="00F521E5" w:rsidP="00E431E6">
            <w:pPr>
              <w:jc w:val="right"/>
              <w:rPr>
                <w:sz w:val="18"/>
                <w:szCs w:val="18"/>
              </w:rPr>
            </w:pPr>
            <w:r w:rsidRPr="00F521E5">
              <w:rPr>
                <w:sz w:val="18"/>
                <w:szCs w:val="18"/>
              </w:rPr>
              <w:t>75</w:t>
            </w:r>
            <w:r w:rsidR="000C292F" w:rsidRPr="00F521E5">
              <w:rPr>
                <w:sz w:val="18"/>
                <w:szCs w:val="18"/>
              </w:rPr>
              <w:t xml:space="preserve"> 000 tis. ZAR</w:t>
            </w:r>
          </w:p>
        </w:tc>
        <w:tc>
          <w:tcPr>
            <w:tcW w:w="645" w:type="pct"/>
          </w:tcPr>
          <w:p w14:paraId="45683BCE" w14:textId="25302C59" w:rsidR="000C292F" w:rsidRPr="006C048C" w:rsidRDefault="00F521E5" w:rsidP="000546B5">
            <w:pPr>
              <w:ind w:right="-120"/>
              <w:jc w:val="right"/>
              <w:rPr>
                <w:sz w:val="18"/>
                <w:szCs w:val="18"/>
              </w:rPr>
            </w:pPr>
            <w:r>
              <w:rPr>
                <w:sz w:val="18"/>
                <w:szCs w:val="18"/>
              </w:rPr>
              <w:t>121 575</w:t>
            </w:r>
            <w:r w:rsidR="00F0747D">
              <w:rPr>
                <w:sz w:val="18"/>
                <w:szCs w:val="18"/>
              </w:rPr>
              <w:t xml:space="preserve"> tis. Kč</w:t>
            </w:r>
          </w:p>
        </w:tc>
        <w:tc>
          <w:tcPr>
            <w:tcW w:w="1186" w:type="pct"/>
          </w:tcPr>
          <w:p w14:paraId="4ACB2F9E" w14:textId="4F357C5F" w:rsidR="000C292F" w:rsidRPr="006C048C" w:rsidRDefault="000C292F" w:rsidP="00F521E5">
            <w:pPr>
              <w:jc w:val="right"/>
              <w:rPr>
                <w:sz w:val="18"/>
                <w:szCs w:val="18"/>
              </w:rPr>
            </w:pPr>
            <w:r w:rsidRPr="006C048C">
              <w:rPr>
                <w:sz w:val="18"/>
                <w:szCs w:val="18"/>
              </w:rPr>
              <w:t xml:space="preserve">100% podíl v hodnotě </w:t>
            </w:r>
            <w:r w:rsidR="00F521E5">
              <w:rPr>
                <w:sz w:val="18"/>
                <w:szCs w:val="18"/>
              </w:rPr>
              <w:t>75</w:t>
            </w:r>
            <w:r w:rsidRPr="006C048C">
              <w:rPr>
                <w:sz w:val="18"/>
                <w:szCs w:val="18"/>
              </w:rPr>
              <w:t> 000 tis. ZAR</w:t>
            </w:r>
          </w:p>
        </w:tc>
      </w:tr>
    </w:tbl>
    <w:p w14:paraId="2FDC451E" w14:textId="77777777" w:rsidR="000C292F" w:rsidRPr="006C048C" w:rsidRDefault="000C292F" w:rsidP="000C292F">
      <w:pPr>
        <w:rPr>
          <w:sz w:val="20"/>
          <w:szCs w:val="20"/>
        </w:rPr>
      </w:pPr>
      <w:r w:rsidRPr="006C048C">
        <w:rPr>
          <w:sz w:val="20"/>
          <w:szCs w:val="20"/>
        </w:rPr>
        <w:t>*</w:t>
      </w:r>
      <w:r w:rsidRPr="006C048C">
        <w:rPr>
          <w:sz w:val="20"/>
          <w:szCs w:val="20"/>
          <w:vertAlign w:val="superscript"/>
        </w:rPr>
        <w:t xml:space="preserve"> </w:t>
      </w:r>
      <w:r w:rsidRPr="006C048C">
        <w:rPr>
          <w:sz w:val="20"/>
          <w:szCs w:val="20"/>
        </w:rPr>
        <w:t xml:space="preserve">Společnost PEGAS NONWOVENS Czech s.r.o. vznikla 14. listopadu 2003 (původním jménem ELK INVESTMENTS s.r.o.). V průběhu roku 2006 byl změněn název obchodní firmy na PEGAS NONWOVENS s.r.o. Ke konci roku 2017 došlo ke změně obchodní firmy na PEGAS NONWOVENS Czech s.r.o. PEGAS a.s., dceřiná společnost společnosti PEGAS NONWOVENS s.r.o., vznikla v roce 1990. Tato společnost byla sloučena do společnosti PEGAS NONWOVENS s.r.o. s rozhodným dnem fúze 1. ledna 2006. Společnost PEGAS a.s. byla vymazána z obchodního rejstříku dne 12. května 2006. Společnost CEE Enterprise a.s. byla sloučena do společnosti PEGAS NONWOVENS s.r.o. s rozhodným dnem 1. ledna 2007. Společnost CEE Enterprise a.s. byla vymazána z obchodního rejstříku dne 20. srpna 2007. Bývalá dceřiná společnost PEGAS – DS a.s. zanikla v důsledku fúze sloučením se společností </w:t>
      </w:r>
      <w:r w:rsidRPr="006C048C">
        <w:rPr>
          <w:sz w:val="20"/>
          <w:szCs w:val="20"/>
        </w:rPr>
        <w:lastRenderedPageBreak/>
        <w:t>PEGAS NONWOVENS s.r.o., jakožto společností nástupnickou (od 1. ledna 2011). Společnost PEGAS-NT a.s., bývalá dceřiná společnost, zanikla v důsledku fúze se společností PEGAS NONWOVENS Czech s.r.o. jakožto společností nástupnickou (od 1. ledna 2017).</w:t>
      </w:r>
    </w:p>
    <w:p w14:paraId="30545F8C" w14:textId="77777777" w:rsidR="000C292F" w:rsidRPr="006C048C" w:rsidRDefault="000C292F" w:rsidP="000C292F">
      <w:pPr>
        <w:rPr>
          <w:sz w:val="20"/>
          <w:szCs w:val="20"/>
        </w:rPr>
      </w:pPr>
      <w:bookmarkStart w:id="48" w:name="_Toc165188453"/>
      <w:r w:rsidRPr="006C048C">
        <w:rPr>
          <w:sz w:val="20"/>
          <w:szCs w:val="20"/>
        </w:rPr>
        <w:t xml:space="preserve">** Společnost PEGAS NONWOVENS International s.r.o. byla založena jako účelová firma zřízená k realizaci potencionálních budoucích investic. </w:t>
      </w:r>
    </w:p>
    <w:p w14:paraId="2FE25AEC" w14:textId="77777777" w:rsidR="000C292F" w:rsidRPr="006C048C" w:rsidRDefault="000C292F" w:rsidP="000C292F">
      <w:pPr>
        <w:rPr>
          <w:sz w:val="20"/>
          <w:szCs w:val="20"/>
        </w:rPr>
      </w:pPr>
      <w:r w:rsidRPr="006C048C">
        <w:rPr>
          <w:sz w:val="20"/>
          <w:szCs w:val="20"/>
        </w:rPr>
        <w:t xml:space="preserve">*** Společnost PEGAS NONWOVENS EGYPT LLC byla založena jako účelová firma zřízena k realizaci investice do výstavby a provozování nové výrobní linky v Egyptě. </w:t>
      </w:r>
    </w:p>
    <w:p w14:paraId="19C6DA24" w14:textId="77777777" w:rsidR="000C292F" w:rsidRPr="006C048C" w:rsidRDefault="000C292F" w:rsidP="000C292F">
      <w:pPr>
        <w:rPr>
          <w:sz w:val="20"/>
          <w:szCs w:val="20"/>
        </w:rPr>
      </w:pPr>
      <w:r w:rsidRPr="006C048C">
        <w:rPr>
          <w:sz w:val="20"/>
          <w:szCs w:val="20"/>
        </w:rPr>
        <w:t>**** Společnost PEGAS NONWOVENS RSA (PTY) LTD byla založena jako účelová firma zřízena k realizaci investičního projektu v Jihoafrické republice.</w:t>
      </w:r>
    </w:p>
    <w:p w14:paraId="7CAB58B6" w14:textId="77777777" w:rsidR="000C292F" w:rsidRPr="006C048C" w:rsidRDefault="000C292F" w:rsidP="000C292F"/>
    <w:p w14:paraId="3F88C655" w14:textId="77777777" w:rsidR="009566C6" w:rsidRDefault="009566C6" w:rsidP="000C292F">
      <w:pPr>
        <w:pStyle w:val="Nadpis1"/>
        <w:jc w:val="left"/>
        <w:sectPr w:rsidR="009566C6" w:rsidSect="00E431E6">
          <w:type w:val="continuous"/>
          <w:pgSz w:w="11906" w:h="16838"/>
          <w:pgMar w:top="1417" w:right="1417" w:bottom="1417" w:left="1417" w:header="708" w:footer="708" w:gutter="0"/>
          <w:cols w:space="708"/>
          <w:docGrid w:linePitch="360"/>
        </w:sectPr>
      </w:pPr>
      <w:bookmarkStart w:id="49" w:name="_Toc269295558"/>
      <w:bookmarkStart w:id="50" w:name="_Toc269907497"/>
      <w:bookmarkEnd w:id="48"/>
    </w:p>
    <w:p w14:paraId="2228B692" w14:textId="2B7EEE4D" w:rsidR="000C292F" w:rsidRPr="006C048C" w:rsidRDefault="000C292F" w:rsidP="000C292F">
      <w:pPr>
        <w:pStyle w:val="Nadpis1"/>
        <w:jc w:val="left"/>
      </w:pPr>
      <w:bookmarkStart w:id="51" w:name="_Toc522086614"/>
      <w:r w:rsidRPr="006C048C">
        <w:lastRenderedPageBreak/>
        <w:t>Mezitímní neauditovaná konsolidovaná účetní závěrka</w:t>
      </w:r>
      <w:bookmarkEnd w:id="51"/>
      <w:r w:rsidRPr="006C048C">
        <w:t xml:space="preserve"> </w:t>
      </w:r>
    </w:p>
    <w:p w14:paraId="0EF0B969" w14:textId="77777777" w:rsidR="000C292F" w:rsidRPr="006C048C" w:rsidRDefault="000C292F" w:rsidP="000C292F">
      <w:r w:rsidRPr="006C048C">
        <w:t>připravená v souladu s Mezinárodními standardy účetního výkaznictví za období šesti měsíců končících 30. červnem 201</w:t>
      </w:r>
      <w:bookmarkEnd w:id="49"/>
      <w:bookmarkEnd w:id="50"/>
      <w:r w:rsidRPr="006C048C">
        <w:t>8</w:t>
      </w:r>
    </w:p>
    <w:p w14:paraId="4405B7BA" w14:textId="77777777" w:rsidR="000C292F" w:rsidRPr="006C048C" w:rsidRDefault="000C292F" w:rsidP="000C292F">
      <w:pPr>
        <w:spacing w:before="0" w:beforeAutospacing="0" w:after="0" w:afterAutospacing="0"/>
        <w:jc w:val="left"/>
        <w:rPr>
          <w:b/>
          <w:bCs/>
          <w:kern w:val="32"/>
          <w:sz w:val="28"/>
          <w:szCs w:val="28"/>
        </w:rPr>
      </w:pPr>
      <w:bookmarkStart w:id="52" w:name="_Toc269139308"/>
      <w:bookmarkStart w:id="53" w:name="_Toc269139309"/>
      <w:bookmarkStart w:id="54" w:name="_Toc269139310"/>
      <w:bookmarkStart w:id="55" w:name="_Toc269139311"/>
      <w:bookmarkStart w:id="56" w:name="_Toc175226104"/>
      <w:bookmarkStart w:id="57" w:name="_Toc165188455"/>
      <w:bookmarkStart w:id="58" w:name="_Toc269295559"/>
      <w:bookmarkStart w:id="59" w:name="_Toc269907498"/>
      <w:bookmarkEnd w:id="52"/>
      <w:bookmarkEnd w:id="53"/>
      <w:bookmarkEnd w:id="54"/>
      <w:bookmarkEnd w:id="55"/>
      <w:r w:rsidRPr="006C048C">
        <w:br w:type="page"/>
      </w:r>
    </w:p>
    <w:p w14:paraId="2A663875" w14:textId="77777777" w:rsidR="000C292F" w:rsidRPr="006C048C" w:rsidRDefault="000C292F" w:rsidP="000C292F">
      <w:pPr>
        <w:pStyle w:val="Nadpis2"/>
      </w:pPr>
      <w:bookmarkStart w:id="60" w:name="_Toc522086615"/>
      <w:bookmarkEnd w:id="56"/>
      <w:bookmarkEnd w:id="57"/>
      <w:r w:rsidRPr="006C048C">
        <w:lastRenderedPageBreak/>
        <w:t>Konsolidovaný výkaz o úplném výsledku ve zkrácené podobě</w:t>
      </w:r>
      <w:bookmarkEnd w:id="58"/>
      <w:bookmarkEnd w:id="59"/>
      <w:r w:rsidRPr="006C048C">
        <w:t xml:space="preserve"> za období šesti měsíců</w:t>
      </w:r>
      <w:bookmarkEnd w:id="60"/>
    </w:p>
    <w:p w14:paraId="2E90AAD6" w14:textId="4B48C8FA" w:rsidR="000C292F" w:rsidRDefault="000C292F" w:rsidP="000C292F"/>
    <w:tbl>
      <w:tblPr>
        <w:tblW w:w="5000" w:type="pct"/>
        <w:tblCellMar>
          <w:left w:w="70" w:type="dxa"/>
          <w:right w:w="70" w:type="dxa"/>
        </w:tblCellMar>
        <w:tblLook w:val="04A0" w:firstRow="1" w:lastRow="0" w:firstColumn="1" w:lastColumn="0" w:noHBand="0" w:noVBand="1"/>
      </w:tblPr>
      <w:tblGrid>
        <w:gridCol w:w="4881"/>
        <w:gridCol w:w="1395"/>
        <w:gridCol w:w="1395"/>
        <w:gridCol w:w="1401"/>
      </w:tblGrid>
      <w:tr w:rsidR="00D40CA6" w:rsidRPr="00D40CA6" w14:paraId="444C7EA1" w14:textId="77777777" w:rsidTr="00D40CA6">
        <w:trPr>
          <w:trHeight w:val="255"/>
        </w:trPr>
        <w:tc>
          <w:tcPr>
            <w:tcW w:w="2690" w:type="pct"/>
            <w:tcBorders>
              <w:top w:val="nil"/>
              <w:left w:val="nil"/>
              <w:bottom w:val="nil"/>
              <w:right w:val="nil"/>
            </w:tcBorders>
            <w:shd w:val="clear" w:color="000000" w:fill="2A7FC6"/>
            <w:noWrap/>
            <w:vAlign w:val="bottom"/>
            <w:hideMark/>
          </w:tcPr>
          <w:p w14:paraId="6C3085DC"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c>
          <w:tcPr>
            <w:tcW w:w="1538" w:type="pct"/>
            <w:gridSpan w:val="2"/>
            <w:tcBorders>
              <w:top w:val="nil"/>
              <w:left w:val="nil"/>
              <w:bottom w:val="nil"/>
              <w:right w:val="nil"/>
            </w:tcBorders>
            <w:shd w:val="clear" w:color="000000" w:fill="2A7FC6"/>
            <w:noWrap/>
            <w:vAlign w:val="bottom"/>
            <w:hideMark/>
          </w:tcPr>
          <w:p w14:paraId="1C8C34D2"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Období šesti měsíců do</w:t>
            </w:r>
          </w:p>
        </w:tc>
        <w:tc>
          <w:tcPr>
            <w:tcW w:w="772" w:type="pct"/>
            <w:tcBorders>
              <w:top w:val="nil"/>
              <w:left w:val="nil"/>
              <w:bottom w:val="nil"/>
              <w:right w:val="nil"/>
            </w:tcBorders>
            <w:shd w:val="clear" w:color="000000" w:fill="2A7FC6"/>
            <w:noWrap/>
            <w:vAlign w:val="bottom"/>
            <w:hideMark/>
          </w:tcPr>
          <w:p w14:paraId="49D32558"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 </w:t>
            </w:r>
          </w:p>
        </w:tc>
      </w:tr>
      <w:tr w:rsidR="00D40CA6" w:rsidRPr="00D40CA6" w14:paraId="366AFEDF" w14:textId="77777777" w:rsidTr="00D40CA6">
        <w:trPr>
          <w:trHeight w:val="510"/>
        </w:trPr>
        <w:tc>
          <w:tcPr>
            <w:tcW w:w="2690" w:type="pct"/>
            <w:tcBorders>
              <w:top w:val="nil"/>
              <w:left w:val="nil"/>
              <w:bottom w:val="nil"/>
              <w:right w:val="nil"/>
            </w:tcBorders>
            <w:shd w:val="clear" w:color="000000" w:fill="2A7FC6"/>
            <w:noWrap/>
            <w:vAlign w:val="bottom"/>
            <w:hideMark/>
          </w:tcPr>
          <w:p w14:paraId="45A2C247" w14:textId="77777777" w:rsidR="00D40CA6" w:rsidRPr="00D40CA6" w:rsidRDefault="00D40CA6" w:rsidP="00D40CA6">
            <w:pPr>
              <w:spacing w:before="0" w:beforeAutospacing="0" w:after="0" w:afterAutospacing="0"/>
              <w:jc w:val="left"/>
              <w:rPr>
                <w:rFonts w:ascii="Calibri" w:hAnsi="Calibri" w:cs="Calibri"/>
                <w:b/>
                <w:bCs/>
                <w:color w:val="FFFFFF"/>
                <w:sz w:val="20"/>
                <w:szCs w:val="20"/>
              </w:rPr>
            </w:pPr>
            <w:r w:rsidRPr="00D40CA6">
              <w:rPr>
                <w:rFonts w:ascii="Calibri" w:hAnsi="Calibri" w:cs="Calibri"/>
                <w:b/>
                <w:bCs/>
                <w:color w:val="FFFFFF"/>
                <w:sz w:val="20"/>
                <w:szCs w:val="20"/>
              </w:rPr>
              <w:t>v tis. Kč</w:t>
            </w:r>
          </w:p>
        </w:tc>
        <w:tc>
          <w:tcPr>
            <w:tcW w:w="769" w:type="pct"/>
            <w:tcBorders>
              <w:top w:val="nil"/>
              <w:left w:val="nil"/>
              <w:bottom w:val="nil"/>
              <w:right w:val="nil"/>
            </w:tcBorders>
            <w:shd w:val="clear" w:color="000000" w:fill="2A7FC6"/>
            <w:vAlign w:val="bottom"/>
            <w:hideMark/>
          </w:tcPr>
          <w:p w14:paraId="1003E4D4"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30. června</w:t>
            </w:r>
            <w:r w:rsidRPr="00D40CA6">
              <w:rPr>
                <w:rFonts w:ascii="Calibri" w:hAnsi="Calibri" w:cs="Calibri"/>
                <w:b/>
                <w:bCs/>
                <w:color w:val="FFFFFF"/>
                <w:sz w:val="20"/>
                <w:szCs w:val="20"/>
              </w:rPr>
              <w:br/>
              <w:t>2017</w:t>
            </w:r>
          </w:p>
        </w:tc>
        <w:tc>
          <w:tcPr>
            <w:tcW w:w="769" w:type="pct"/>
            <w:tcBorders>
              <w:top w:val="nil"/>
              <w:left w:val="nil"/>
              <w:bottom w:val="nil"/>
              <w:right w:val="nil"/>
            </w:tcBorders>
            <w:shd w:val="clear" w:color="000000" w:fill="2A7FC6"/>
            <w:vAlign w:val="bottom"/>
            <w:hideMark/>
          </w:tcPr>
          <w:p w14:paraId="006E53FD"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30. června</w:t>
            </w:r>
            <w:r w:rsidRPr="00D40CA6">
              <w:rPr>
                <w:rFonts w:ascii="Calibri" w:hAnsi="Calibri" w:cs="Calibri"/>
                <w:b/>
                <w:bCs/>
                <w:color w:val="FFFFFF"/>
                <w:sz w:val="20"/>
                <w:szCs w:val="20"/>
              </w:rPr>
              <w:br/>
              <w:t>2018</w:t>
            </w:r>
          </w:p>
        </w:tc>
        <w:tc>
          <w:tcPr>
            <w:tcW w:w="772" w:type="pct"/>
            <w:tcBorders>
              <w:top w:val="nil"/>
              <w:left w:val="nil"/>
              <w:bottom w:val="nil"/>
              <w:right w:val="nil"/>
            </w:tcBorders>
            <w:shd w:val="clear" w:color="000000" w:fill="2A7FC6"/>
            <w:noWrap/>
            <w:vAlign w:val="bottom"/>
            <w:hideMark/>
          </w:tcPr>
          <w:p w14:paraId="2398C284"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r>
      <w:tr w:rsidR="00D40CA6" w:rsidRPr="00D40CA6" w14:paraId="6381DD17" w14:textId="77777777" w:rsidTr="00D40CA6">
        <w:trPr>
          <w:trHeight w:val="255"/>
        </w:trPr>
        <w:tc>
          <w:tcPr>
            <w:tcW w:w="2690" w:type="pct"/>
            <w:tcBorders>
              <w:top w:val="nil"/>
              <w:left w:val="nil"/>
              <w:bottom w:val="nil"/>
              <w:right w:val="nil"/>
            </w:tcBorders>
            <w:shd w:val="clear" w:color="000000" w:fill="2A7FC6"/>
            <w:noWrap/>
            <w:vAlign w:val="bottom"/>
            <w:hideMark/>
          </w:tcPr>
          <w:p w14:paraId="41C089D7"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c>
          <w:tcPr>
            <w:tcW w:w="769" w:type="pct"/>
            <w:tcBorders>
              <w:top w:val="nil"/>
              <w:left w:val="nil"/>
              <w:bottom w:val="nil"/>
              <w:right w:val="nil"/>
            </w:tcBorders>
            <w:shd w:val="clear" w:color="000000" w:fill="2A7FC6"/>
            <w:noWrap/>
            <w:vAlign w:val="bottom"/>
            <w:hideMark/>
          </w:tcPr>
          <w:p w14:paraId="1274D094" w14:textId="77777777" w:rsidR="00D40CA6" w:rsidRPr="00D40CA6" w:rsidRDefault="00D40CA6" w:rsidP="00D40CA6">
            <w:pPr>
              <w:spacing w:before="0" w:beforeAutospacing="0" w:after="0" w:afterAutospacing="0"/>
              <w:jc w:val="center"/>
              <w:rPr>
                <w:rFonts w:ascii="Calibri" w:hAnsi="Calibri" w:cs="Calibri"/>
                <w:color w:val="FFFFFF"/>
                <w:sz w:val="20"/>
                <w:szCs w:val="20"/>
              </w:rPr>
            </w:pPr>
            <w:r w:rsidRPr="00D40CA6">
              <w:rPr>
                <w:rFonts w:ascii="Calibri" w:hAnsi="Calibri" w:cs="Calibri"/>
                <w:color w:val="FFFFFF"/>
                <w:sz w:val="20"/>
                <w:szCs w:val="20"/>
              </w:rPr>
              <w:t>(neauditované)</w:t>
            </w:r>
          </w:p>
        </w:tc>
        <w:tc>
          <w:tcPr>
            <w:tcW w:w="769" w:type="pct"/>
            <w:tcBorders>
              <w:top w:val="nil"/>
              <w:left w:val="nil"/>
              <w:bottom w:val="nil"/>
              <w:right w:val="nil"/>
            </w:tcBorders>
            <w:shd w:val="clear" w:color="000000" w:fill="2A7FC6"/>
            <w:noWrap/>
            <w:vAlign w:val="bottom"/>
            <w:hideMark/>
          </w:tcPr>
          <w:p w14:paraId="26727E95" w14:textId="77777777" w:rsidR="00D40CA6" w:rsidRPr="00D40CA6" w:rsidRDefault="00D40CA6" w:rsidP="00D40CA6">
            <w:pPr>
              <w:spacing w:before="0" w:beforeAutospacing="0" w:after="0" w:afterAutospacing="0"/>
              <w:jc w:val="center"/>
              <w:rPr>
                <w:rFonts w:ascii="Calibri" w:hAnsi="Calibri" w:cs="Calibri"/>
                <w:color w:val="FFFFFF"/>
                <w:sz w:val="20"/>
                <w:szCs w:val="20"/>
              </w:rPr>
            </w:pPr>
            <w:r w:rsidRPr="00D40CA6">
              <w:rPr>
                <w:rFonts w:ascii="Calibri" w:hAnsi="Calibri" w:cs="Calibri"/>
                <w:color w:val="FFFFFF"/>
                <w:sz w:val="20"/>
                <w:szCs w:val="20"/>
              </w:rPr>
              <w:t>(neauditované)</w:t>
            </w:r>
          </w:p>
        </w:tc>
        <w:tc>
          <w:tcPr>
            <w:tcW w:w="772" w:type="pct"/>
            <w:tcBorders>
              <w:top w:val="nil"/>
              <w:left w:val="nil"/>
              <w:bottom w:val="nil"/>
              <w:right w:val="nil"/>
            </w:tcBorders>
            <w:shd w:val="clear" w:color="000000" w:fill="2A7FC6"/>
            <w:noWrap/>
            <w:vAlign w:val="bottom"/>
            <w:hideMark/>
          </w:tcPr>
          <w:p w14:paraId="116ED22E"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 změna</w:t>
            </w:r>
          </w:p>
        </w:tc>
      </w:tr>
      <w:tr w:rsidR="00D40CA6" w:rsidRPr="00D40CA6" w14:paraId="102BD5CF" w14:textId="77777777" w:rsidTr="00D40CA6">
        <w:trPr>
          <w:trHeight w:val="255"/>
        </w:trPr>
        <w:tc>
          <w:tcPr>
            <w:tcW w:w="2690" w:type="pct"/>
            <w:tcBorders>
              <w:top w:val="nil"/>
              <w:left w:val="nil"/>
              <w:bottom w:val="nil"/>
              <w:right w:val="nil"/>
            </w:tcBorders>
            <w:shd w:val="clear" w:color="auto" w:fill="auto"/>
            <w:noWrap/>
            <w:vAlign w:val="bottom"/>
            <w:hideMark/>
          </w:tcPr>
          <w:p w14:paraId="080BA5E8"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p>
        </w:tc>
        <w:tc>
          <w:tcPr>
            <w:tcW w:w="769" w:type="pct"/>
            <w:tcBorders>
              <w:top w:val="nil"/>
              <w:left w:val="nil"/>
              <w:bottom w:val="nil"/>
              <w:right w:val="nil"/>
            </w:tcBorders>
            <w:shd w:val="clear" w:color="auto" w:fill="auto"/>
            <w:noWrap/>
            <w:vAlign w:val="bottom"/>
            <w:hideMark/>
          </w:tcPr>
          <w:p w14:paraId="41E873FF"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0DB6D8C1"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3AA612CB" w14:textId="77777777" w:rsidR="00D40CA6" w:rsidRPr="00D40CA6" w:rsidRDefault="00D40CA6" w:rsidP="00D40CA6">
            <w:pPr>
              <w:spacing w:before="0" w:beforeAutospacing="0" w:after="0" w:afterAutospacing="0"/>
              <w:jc w:val="left"/>
              <w:rPr>
                <w:rFonts w:ascii="Times New Roman" w:hAnsi="Times New Roman"/>
                <w:sz w:val="20"/>
                <w:szCs w:val="20"/>
              </w:rPr>
            </w:pPr>
          </w:p>
        </w:tc>
      </w:tr>
      <w:tr w:rsidR="00D40CA6" w:rsidRPr="00D40CA6" w14:paraId="297BDBFB"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7CB6146D"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Tržby</w:t>
            </w:r>
          </w:p>
        </w:tc>
        <w:tc>
          <w:tcPr>
            <w:tcW w:w="769" w:type="pct"/>
            <w:tcBorders>
              <w:top w:val="nil"/>
              <w:left w:val="nil"/>
              <w:bottom w:val="single" w:sz="4" w:space="0" w:color="9C9D9F"/>
              <w:right w:val="nil"/>
            </w:tcBorders>
            <w:shd w:val="clear" w:color="auto" w:fill="auto"/>
            <w:noWrap/>
            <w:vAlign w:val="bottom"/>
            <w:hideMark/>
          </w:tcPr>
          <w:p w14:paraId="703A9C9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2 992 391</w:t>
            </w:r>
          </w:p>
        </w:tc>
        <w:tc>
          <w:tcPr>
            <w:tcW w:w="769" w:type="pct"/>
            <w:tcBorders>
              <w:top w:val="nil"/>
              <w:left w:val="nil"/>
              <w:bottom w:val="single" w:sz="4" w:space="0" w:color="9C9D9F"/>
              <w:right w:val="nil"/>
            </w:tcBorders>
            <w:shd w:val="clear" w:color="auto" w:fill="auto"/>
            <w:noWrap/>
            <w:vAlign w:val="bottom"/>
            <w:hideMark/>
          </w:tcPr>
          <w:p w14:paraId="13957A5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2 984 189</w:t>
            </w:r>
          </w:p>
        </w:tc>
        <w:tc>
          <w:tcPr>
            <w:tcW w:w="772" w:type="pct"/>
            <w:tcBorders>
              <w:top w:val="nil"/>
              <w:left w:val="nil"/>
              <w:bottom w:val="single" w:sz="4" w:space="0" w:color="9C9D9F"/>
              <w:right w:val="nil"/>
            </w:tcBorders>
            <w:shd w:val="clear" w:color="auto" w:fill="auto"/>
            <w:noWrap/>
            <w:vAlign w:val="bottom"/>
            <w:hideMark/>
          </w:tcPr>
          <w:p w14:paraId="6883F5D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-0,3%</w:t>
            </w:r>
          </w:p>
        </w:tc>
      </w:tr>
      <w:tr w:rsidR="00D40CA6" w:rsidRPr="00D40CA6" w14:paraId="40716D06" w14:textId="77777777" w:rsidTr="00D40CA6">
        <w:trPr>
          <w:trHeight w:val="255"/>
        </w:trPr>
        <w:tc>
          <w:tcPr>
            <w:tcW w:w="2690" w:type="pct"/>
            <w:tcBorders>
              <w:top w:val="nil"/>
              <w:left w:val="nil"/>
              <w:bottom w:val="nil"/>
              <w:right w:val="nil"/>
            </w:tcBorders>
            <w:shd w:val="clear" w:color="auto" w:fill="auto"/>
            <w:noWrap/>
            <w:vAlign w:val="bottom"/>
            <w:hideMark/>
          </w:tcPr>
          <w:p w14:paraId="0FB2E49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p>
        </w:tc>
        <w:tc>
          <w:tcPr>
            <w:tcW w:w="769" w:type="pct"/>
            <w:tcBorders>
              <w:top w:val="nil"/>
              <w:left w:val="nil"/>
              <w:bottom w:val="nil"/>
              <w:right w:val="nil"/>
            </w:tcBorders>
            <w:shd w:val="clear" w:color="auto" w:fill="auto"/>
            <w:noWrap/>
            <w:vAlign w:val="bottom"/>
            <w:hideMark/>
          </w:tcPr>
          <w:p w14:paraId="5CF8DF88"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52A43A59"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015F4F4A"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408B8899"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5A706049"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Spotřeba materiálu a služeb</w:t>
            </w:r>
          </w:p>
        </w:tc>
        <w:tc>
          <w:tcPr>
            <w:tcW w:w="769" w:type="pct"/>
            <w:tcBorders>
              <w:top w:val="nil"/>
              <w:left w:val="nil"/>
              <w:bottom w:val="single" w:sz="4" w:space="0" w:color="9C9D9F"/>
              <w:right w:val="nil"/>
            </w:tcBorders>
            <w:shd w:val="clear" w:color="auto" w:fill="auto"/>
            <w:noWrap/>
            <w:vAlign w:val="bottom"/>
            <w:hideMark/>
          </w:tcPr>
          <w:p w14:paraId="242AC56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-2 245 696</w:t>
            </w:r>
          </w:p>
        </w:tc>
        <w:tc>
          <w:tcPr>
            <w:tcW w:w="769" w:type="pct"/>
            <w:tcBorders>
              <w:top w:val="nil"/>
              <w:left w:val="nil"/>
              <w:bottom w:val="single" w:sz="4" w:space="0" w:color="9C9D9F"/>
              <w:right w:val="nil"/>
            </w:tcBorders>
            <w:shd w:val="clear" w:color="auto" w:fill="auto"/>
            <w:noWrap/>
            <w:vAlign w:val="bottom"/>
            <w:hideMark/>
          </w:tcPr>
          <w:p w14:paraId="17E40E6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-2 146 950</w:t>
            </w:r>
          </w:p>
        </w:tc>
        <w:tc>
          <w:tcPr>
            <w:tcW w:w="772" w:type="pct"/>
            <w:tcBorders>
              <w:top w:val="nil"/>
              <w:left w:val="nil"/>
              <w:bottom w:val="single" w:sz="4" w:space="0" w:color="9C9D9F"/>
              <w:right w:val="nil"/>
            </w:tcBorders>
            <w:shd w:val="clear" w:color="auto" w:fill="auto"/>
            <w:noWrap/>
            <w:vAlign w:val="bottom"/>
            <w:hideMark/>
          </w:tcPr>
          <w:p w14:paraId="23098DA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-4,4%</w:t>
            </w:r>
          </w:p>
        </w:tc>
      </w:tr>
      <w:tr w:rsidR="00D40CA6" w:rsidRPr="00D40CA6" w14:paraId="659F550A"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44041C04"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Osobní náklady</w:t>
            </w:r>
          </w:p>
        </w:tc>
        <w:tc>
          <w:tcPr>
            <w:tcW w:w="769" w:type="pct"/>
            <w:tcBorders>
              <w:top w:val="nil"/>
              <w:left w:val="nil"/>
              <w:bottom w:val="single" w:sz="4" w:space="0" w:color="9C9D9F"/>
              <w:right w:val="nil"/>
            </w:tcBorders>
            <w:shd w:val="clear" w:color="auto" w:fill="auto"/>
            <w:noWrap/>
            <w:vAlign w:val="bottom"/>
            <w:hideMark/>
          </w:tcPr>
          <w:p w14:paraId="6CB3956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-179 302</w:t>
            </w:r>
          </w:p>
        </w:tc>
        <w:tc>
          <w:tcPr>
            <w:tcW w:w="769" w:type="pct"/>
            <w:tcBorders>
              <w:top w:val="nil"/>
              <w:left w:val="nil"/>
              <w:bottom w:val="single" w:sz="4" w:space="0" w:color="9C9D9F"/>
              <w:right w:val="nil"/>
            </w:tcBorders>
            <w:shd w:val="clear" w:color="auto" w:fill="auto"/>
            <w:noWrap/>
            <w:vAlign w:val="bottom"/>
            <w:hideMark/>
          </w:tcPr>
          <w:p w14:paraId="407762F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-173 001</w:t>
            </w:r>
          </w:p>
        </w:tc>
        <w:tc>
          <w:tcPr>
            <w:tcW w:w="772" w:type="pct"/>
            <w:tcBorders>
              <w:top w:val="nil"/>
              <w:left w:val="nil"/>
              <w:bottom w:val="single" w:sz="4" w:space="0" w:color="9C9D9F"/>
              <w:right w:val="nil"/>
            </w:tcBorders>
            <w:shd w:val="clear" w:color="auto" w:fill="auto"/>
            <w:noWrap/>
            <w:vAlign w:val="bottom"/>
            <w:hideMark/>
          </w:tcPr>
          <w:p w14:paraId="3F1D6458"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-3,5%</w:t>
            </w:r>
          </w:p>
        </w:tc>
      </w:tr>
      <w:tr w:rsidR="00D40CA6" w:rsidRPr="00D40CA6" w14:paraId="35BF3D97"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2C8E4F01"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Ostatní provozní výnosy/(náklady) netto</w:t>
            </w:r>
          </w:p>
        </w:tc>
        <w:tc>
          <w:tcPr>
            <w:tcW w:w="769" w:type="pct"/>
            <w:tcBorders>
              <w:top w:val="nil"/>
              <w:left w:val="nil"/>
              <w:bottom w:val="single" w:sz="4" w:space="0" w:color="9C9D9F"/>
              <w:right w:val="nil"/>
            </w:tcBorders>
            <w:shd w:val="clear" w:color="auto" w:fill="auto"/>
            <w:noWrap/>
            <w:vAlign w:val="bottom"/>
            <w:hideMark/>
          </w:tcPr>
          <w:p w14:paraId="6A79A23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-12 447</w:t>
            </w:r>
          </w:p>
        </w:tc>
        <w:tc>
          <w:tcPr>
            <w:tcW w:w="769" w:type="pct"/>
            <w:tcBorders>
              <w:top w:val="nil"/>
              <w:left w:val="nil"/>
              <w:bottom w:val="single" w:sz="4" w:space="0" w:color="9C9D9F"/>
              <w:right w:val="nil"/>
            </w:tcBorders>
            <w:shd w:val="clear" w:color="auto" w:fill="auto"/>
            <w:noWrap/>
            <w:vAlign w:val="bottom"/>
            <w:hideMark/>
          </w:tcPr>
          <w:p w14:paraId="575020E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-2 153</w:t>
            </w:r>
          </w:p>
        </w:tc>
        <w:tc>
          <w:tcPr>
            <w:tcW w:w="772" w:type="pct"/>
            <w:tcBorders>
              <w:top w:val="nil"/>
              <w:left w:val="nil"/>
              <w:bottom w:val="single" w:sz="4" w:space="0" w:color="9C9D9F"/>
              <w:right w:val="nil"/>
            </w:tcBorders>
            <w:shd w:val="clear" w:color="auto" w:fill="auto"/>
            <w:noWrap/>
            <w:vAlign w:val="bottom"/>
            <w:hideMark/>
          </w:tcPr>
          <w:p w14:paraId="380BBF8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-82,7%</w:t>
            </w:r>
          </w:p>
        </w:tc>
      </w:tr>
      <w:tr w:rsidR="00D40CA6" w:rsidRPr="00D40CA6" w14:paraId="127C9406"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04AA8F65"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EBITDA</w:t>
            </w:r>
          </w:p>
        </w:tc>
        <w:tc>
          <w:tcPr>
            <w:tcW w:w="769" w:type="pct"/>
            <w:tcBorders>
              <w:top w:val="nil"/>
              <w:left w:val="nil"/>
              <w:bottom w:val="single" w:sz="4" w:space="0" w:color="9C9D9F"/>
              <w:right w:val="nil"/>
            </w:tcBorders>
            <w:shd w:val="clear" w:color="auto" w:fill="auto"/>
            <w:noWrap/>
            <w:vAlign w:val="bottom"/>
            <w:hideMark/>
          </w:tcPr>
          <w:p w14:paraId="1E4BB863"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554 946</w:t>
            </w:r>
          </w:p>
        </w:tc>
        <w:tc>
          <w:tcPr>
            <w:tcW w:w="769" w:type="pct"/>
            <w:tcBorders>
              <w:top w:val="nil"/>
              <w:left w:val="nil"/>
              <w:bottom w:val="single" w:sz="4" w:space="0" w:color="9C9D9F"/>
              <w:right w:val="nil"/>
            </w:tcBorders>
            <w:shd w:val="clear" w:color="auto" w:fill="auto"/>
            <w:noWrap/>
            <w:vAlign w:val="bottom"/>
            <w:hideMark/>
          </w:tcPr>
          <w:p w14:paraId="59ED6543"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662 086</w:t>
            </w:r>
          </w:p>
        </w:tc>
        <w:tc>
          <w:tcPr>
            <w:tcW w:w="772" w:type="pct"/>
            <w:tcBorders>
              <w:top w:val="nil"/>
              <w:left w:val="nil"/>
              <w:bottom w:val="single" w:sz="4" w:space="0" w:color="9C9D9F"/>
              <w:right w:val="nil"/>
            </w:tcBorders>
            <w:shd w:val="clear" w:color="auto" w:fill="auto"/>
            <w:noWrap/>
            <w:vAlign w:val="bottom"/>
            <w:hideMark/>
          </w:tcPr>
          <w:p w14:paraId="03529722"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19,3%</w:t>
            </w:r>
          </w:p>
        </w:tc>
      </w:tr>
      <w:tr w:rsidR="00D40CA6" w:rsidRPr="00D40CA6" w14:paraId="359EAC01"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50476526" w14:textId="77777777" w:rsidR="00D40CA6" w:rsidRPr="00D40CA6" w:rsidRDefault="00D40CA6" w:rsidP="00D40CA6">
            <w:pPr>
              <w:spacing w:before="0" w:beforeAutospacing="0" w:after="0" w:afterAutospacing="0"/>
              <w:jc w:val="left"/>
              <w:rPr>
                <w:rFonts w:ascii="Calibri" w:hAnsi="Calibri" w:cs="Calibri"/>
                <w:b/>
                <w:bCs/>
                <w:i/>
                <w:iCs/>
                <w:sz w:val="20"/>
                <w:szCs w:val="20"/>
              </w:rPr>
            </w:pPr>
            <w:r w:rsidRPr="00D40CA6">
              <w:rPr>
                <w:rFonts w:ascii="Calibri" w:hAnsi="Calibri" w:cs="Calibri"/>
                <w:b/>
                <w:bCs/>
                <w:i/>
                <w:iCs/>
                <w:sz w:val="20"/>
                <w:szCs w:val="20"/>
              </w:rPr>
              <w:t xml:space="preserve">EBITDA marže </w:t>
            </w:r>
          </w:p>
        </w:tc>
        <w:tc>
          <w:tcPr>
            <w:tcW w:w="769" w:type="pct"/>
            <w:tcBorders>
              <w:top w:val="nil"/>
              <w:left w:val="nil"/>
              <w:bottom w:val="single" w:sz="4" w:space="0" w:color="9C9D9F"/>
              <w:right w:val="nil"/>
            </w:tcBorders>
            <w:shd w:val="clear" w:color="auto" w:fill="auto"/>
            <w:noWrap/>
            <w:vAlign w:val="bottom"/>
            <w:hideMark/>
          </w:tcPr>
          <w:p w14:paraId="5E0051C6"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r w:rsidRPr="00D40CA6">
              <w:rPr>
                <w:rFonts w:ascii="Calibri" w:hAnsi="Calibri" w:cs="Calibri"/>
                <w:b/>
                <w:bCs/>
                <w:i/>
                <w:iCs/>
                <w:sz w:val="20"/>
                <w:szCs w:val="20"/>
              </w:rPr>
              <w:t>18,6%</w:t>
            </w:r>
          </w:p>
        </w:tc>
        <w:tc>
          <w:tcPr>
            <w:tcW w:w="769" w:type="pct"/>
            <w:tcBorders>
              <w:top w:val="nil"/>
              <w:left w:val="nil"/>
              <w:bottom w:val="single" w:sz="4" w:space="0" w:color="9C9D9F"/>
              <w:right w:val="nil"/>
            </w:tcBorders>
            <w:shd w:val="clear" w:color="auto" w:fill="auto"/>
            <w:noWrap/>
            <w:vAlign w:val="bottom"/>
            <w:hideMark/>
          </w:tcPr>
          <w:p w14:paraId="4D4DF325"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r w:rsidRPr="00D40CA6">
              <w:rPr>
                <w:rFonts w:ascii="Calibri" w:hAnsi="Calibri" w:cs="Calibri"/>
                <w:b/>
                <w:bCs/>
                <w:i/>
                <w:iCs/>
                <w:sz w:val="20"/>
                <w:szCs w:val="20"/>
              </w:rPr>
              <w:t>22,2%</w:t>
            </w:r>
          </w:p>
        </w:tc>
        <w:tc>
          <w:tcPr>
            <w:tcW w:w="772" w:type="pct"/>
            <w:tcBorders>
              <w:top w:val="nil"/>
              <w:left w:val="nil"/>
              <w:bottom w:val="single" w:sz="4" w:space="0" w:color="9C9D9F"/>
              <w:right w:val="nil"/>
            </w:tcBorders>
            <w:shd w:val="clear" w:color="auto" w:fill="auto"/>
            <w:noWrap/>
            <w:vAlign w:val="bottom"/>
            <w:hideMark/>
          </w:tcPr>
          <w:p w14:paraId="4275A097"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r w:rsidRPr="00D40CA6">
              <w:rPr>
                <w:rFonts w:ascii="Calibri" w:hAnsi="Calibri" w:cs="Calibri"/>
                <w:b/>
                <w:bCs/>
                <w:i/>
                <w:iCs/>
                <w:sz w:val="20"/>
                <w:szCs w:val="20"/>
              </w:rPr>
              <w:t>3,6 p.b.</w:t>
            </w:r>
          </w:p>
        </w:tc>
      </w:tr>
      <w:tr w:rsidR="00D40CA6" w:rsidRPr="00D40CA6" w14:paraId="2611230E" w14:textId="77777777" w:rsidTr="00D40CA6">
        <w:trPr>
          <w:trHeight w:val="255"/>
        </w:trPr>
        <w:tc>
          <w:tcPr>
            <w:tcW w:w="2690" w:type="pct"/>
            <w:tcBorders>
              <w:top w:val="nil"/>
              <w:left w:val="nil"/>
              <w:bottom w:val="nil"/>
              <w:right w:val="nil"/>
            </w:tcBorders>
            <w:shd w:val="clear" w:color="auto" w:fill="auto"/>
            <w:noWrap/>
            <w:vAlign w:val="bottom"/>
            <w:hideMark/>
          </w:tcPr>
          <w:p w14:paraId="23397277"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p>
        </w:tc>
        <w:tc>
          <w:tcPr>
            <w:tcW w:w="769" w:type="pct"/>
            <w:tcBorders>
              <w:top w:val="nil"/>
              <w:left w:val="nil"/>
              <w:bottom w:val="nil"/>
              <w:right w:val="nil"/>
            </w:tcBorders>
            <w:shd w:val="clear" w:color="auto" w:fill="auto"/>
            <w:noWrap/>
            <w:vAlign w:val="bottom"/>
            <w:hideMark/>
          </w:tcPr>
          <w:p w14:paraId="6DE8F95F"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1DB3AFEB"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11708E56"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59A1C46B" w14:textId="77777777" w:rsidTr="00D40CA6">
        <w:trPr>
          <w:trHeight w:val="255"/>
        </w:trPr>
        <w:tc>
          <w:tcPr>
            <w:tcW w:w="2690" w:type="pct"/>
            <w:tcBorders>
              <w:top w:val="nil"/>
              <w:left w:val="nil"/>
              <w:bottom w:val="single" w:sz="4" w:space="0" w:color="9C9D9F"/>
              <w:right w:val="nil"/>
            </w:tcBorders>
            <w:shd w:val="clear" w:color="auto" w:fill="auto"/>
            <w:vAlign w:val="bottom"/>
            <w:hideMark/>
          </w:tcPr>
          <w:p w14:paraId="7A7A9132"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Odpisy dlouhodobého nehmotného a hmotného majetku</w:t>
            </w:r>
          </w:p>
        </w:tc>
        <w:tc>
          <w:tcPr>
            <w:tcW w:w="769" w:type="pct"/>
            <w:tcBorders>
              <w:top w:val="nil"/>
              <w:left w:val="nil"/>
              <w:bottom w:val="single" w:sz="4" w:space="0" w:color="9C9D9F"/>
              <w:right w:val="nil"/>
            </w:tcBorders>
            <w:shd w:val="clear" w:color="auto" w:fill="auto"/>
            <w:noWrap/>
            <w:vAlign w:val="bottom"/>
            <w:hideMark/>
          </w:tcPr>
          <w:p w14:paraId="4B21257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-222 167</w:t>
            </w:r>
          </w:p>
        </w:tc>
        <w:tc>
          <w:tcPr>
            <w:tcW w:w="769" w:type="pct"/>
            <w:tcBorders>
              <w:top w:val="nil"/>
              <w:left w:val="nil"/>
              <w:bottom w:val="single" w:sz="4" w:space="0" w:color="9C9D9F"/>
              <w:right w:val="nil"/>
            </w:tcBorders>
            <w:shd w:val="clear" w:color="auto" w:fill="auto"/>
            <w:noWrap/>
            <w:vAlign w:val="bottom"/>
            <w:hideMark/>
          </w:tcPr>
          <w:p w14:paraId="51A6710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-231 118</w:t>
            </w:r>
          </w:p>
        </w:tc>
        <w:tc>
          <w:tcPr>
            <w:tcW w:w="772" w:type="pct"/>
            <w:tcBorders>
              <w:top w:val="nil"/>
              <w:left w:val="nil"/>
              <w:bottom w:val="single" w:sz="4" w:space="0" w:color="9C9D9F"/>
              <w:right w:val="nil"/>
            </w:tcBorders>
            <w:shd w:val="clear" w:color="auto" w:fill="auto"/>
            <w:noWrap/>
            <w:vAlign w:val="bottom"/>
            <w:hideMark/>
          </w:tcPr>
          <w:p w14:paraId="794B525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4,0%</w:t>
            </w:r>
          </w:p>
        </w:tc>
      </w:tr>
      <w:tr w:rsidR="00D40CA6" w:rsidRPr="00D40CA6" w14:paraId="222247E2"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2DF9125E"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Provozní zisk</w:t>
            </w:r>
          </w:p>
        </w:tc>
        <w:tc>
          <w:tcPr>
            <w:tcW w:w="769" w:type="pct"/>
            <w:tcBorders>
              <w:top w:val="nil"/>
              <w:left w:val="nil"/>
              <w:bottom w:val="single" w:sz="4" w:space="0" w:color="9C9D9F"/>
              <w:right w:val="nil"/>
            </w:tcBorders>
            <w:shd w:val="clear" w:color="auto" w:fill="auto"/>
            <w:noWrap/>
            <w:vAlign w:val="bottom"/>
            <w:hideMark/>
          </w:tcPr>
          <w:p w14:paraId="47425D4A"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332 779</w:t>
            </w:r>
          </w:p>
        </w:tc>
        <w:tc>
          <w:tcPr>
            <w:tcW w:w="769" w:type="pct"/>
            <w:tcBorders>
              <w:top w:val="nil"/>
              <w:left w:val="nil"/>
              <w:bottom w:val="single" w:sz="4" w:space="0" w:color="9C9D9F"/>
              <w:right w:val="nil"/>
            </w:tcBorders>
            <w:shd w:val="clear" w:color="auto" w:fill="auto"/>
            <w:noWrap/>
            <w:vAlign w:val="bottom"/>
            <w:hideMark/>
          </w:tcPr>
          <w:p w14:paraId="5801C21D"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430 969</w:t>
            </w:r>
          </w:p>
        </w:tc>
        <w:tc>
          <w:tcPr>
            <w:tcW w:w="772" w:type="pct"/>
            <w:tcBorders>
              <w:top w:val="nil"/>
              <w:left w:val="nil"/>
              <w:bottom w:val="single" w:sz="4" w:space="0" w:color="9C9D9F"/>
              <w:right w:val="nil"/>
            </w:tcBorders>
            <w:shd w:val="clear" w:color="auto" w:fill="auto"/>
            <w:noWrap/>
            <w:vAlign w:val="bottom"/>
            <w:hideMark/>
          </w:tcPr>
          <w:p w14:paraId="5680B165"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29,5%</w:t>
            </w:r>
          </w:p>
        </w:tc>
      </w:tr>
      <w:tr w:rsidR="00D40CA6" w:rsidRPr="00D40CA6" w14:paraId="6EC5E7C8" w14:textId="77777777" w:rsidTr="00D40CA6">
        <w:trPr>
          <w:trHeight w:val="255"/>
        </w:trPr>
        <w:tc>
          <w:tcPr>
            <w:tcW w:w="2690" w:type="pct"/>
            <w:tcBorders>
              <w:top w:val="nil"/>
              <w:left w:val="nil"/>
              <w:bottom w:val="nil"/>
              <w:right w:val="nil"/>
            </w:tcBorders>
            <w:shd w:val="clear" w:color="auto" w:fill="auto"/>
            <w:noWrap/>
            <w:vAlign w:val="bottom"/>
            <w:hideMark/>
          </w:tcPr>
          <w:p w14:paraId="182C7AED"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7D74970F"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7CD406CB"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6D158CC2"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3352D045"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3959E6DB"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Kurzové zisky a ostatní finanční výnosy</w:t>
            </w:r>
          </w:p>
        </w:tc>
        <w:tc>
          <w:tcPr>
            <w:tcW w:w="769" w:type="pct"/>
            <w:tcBorders>
              <w:top w:val="nil"/>
              <w:left w:val="nil"/>
              <w:bottom w:val="single" w:sz="4" w:space="0" w:color="9C9D9F"/>
              <w:right w:val="nil"/>
            </w:tcBorders>
            <w:shd w:val="clear" w:color="auto" w:fill="auto"/>
            <w:noWrap/>
            <w:vAlign w:val="bottom"/>
            <w:hideMark/>
          </w:tcPr>
          <w:p w14:paraId="48FA3B7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189 941</w:t>
            </w:r>
          </w:p>
        </w:tc>
        <w:tc>
          <w:tcPr>
            <w:tcW w:w="769" w:type="pct"/>
            <w:tcBorders>
              <w:top w:val="nil"/>
              <w:left w:val="nil"/>
              <w:bottom w:val="single" w:sz="4" w:space="0" w:color="9C9D9F"/>
              <w:right w:val="nil"/>
            </w:tcBorders>
            <w:shd w:val="clear" w:color="auto" w:fill="auto"/>
            <w:noWrap/>
            <w:vAlign w:val="bottom"/>
            <w:hideMark/>
          </w:tcPr>
          <w:p w14:paraId="42C94C1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15 034</w:t>
            </w:r>
          </w:p>
        </w:tc>
        <w:tc>
          <w:tcPr>
            <w:tcW w:w="772" w:type="pct"/>
            <w:tcBorders>
              <w:top w:val="nil"/>
              <w:left w:val="nil"/>
              <w:bottom w:val="single" w:sz="4" w:space="0" w:color="9C9D9F"/>
              <w:right w:val="nil"/>
            </w:tcBorders>
            <w:shd w:val="clear" w:color="auto" w:fill="auto"/>
            <w:noWrap/>
            <w:vAlign w:val="bottom"/>
            <w:hideMark/>
          </w:tcPr>
          <w:p w14:paraId="3F7980E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-92,1%</w:t>
            </w:r>
          </w:p>
        </w:tc>
      </w:tr>
      <w:tr w:rsidR="00D40CA6" w:rsidRPr="00D40CA6" w14:paraId="6C760FE9"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0B0CC34F"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Kurzové ztráty a ostatní finanční náklady</w:t>
            </w:r>
          </w:p>
        </w:tc>
        <w:tc>
          <w:tcPr>
            <w:tcW w:w="769" w:type="pct"/>
            <w:tcBorders>
              <w:top w:val="nil"/>
              <w:left w:val="nil"/>
              <w:bottom w:val="single" w:sz="4" w:space="0" w:color="9C9D9F"/>
              <w:right w:val="nil"/>
            </w:tcBorders>
            <w:shd w:val="clear" w:color="auto" w:fill="auto"/>
            <w:noWrap/>
            <w:vAlign w:val="bottom"/>
            <w:hideMark/>
          </w:tcPr>
          <w:p w14:paraId="03AD51D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-273 956</w:t>
            </w:r>
          </w:p>
        </w:tc>
        <w:tc>
          <w:tcPr>
            <w:tcW w:w="769" w:type="pct"/>
            <w:tcBorders>
              <w:top w:val="nil"/>
              <w:left w:val="nil"/>
              <w:bottom w:val="single" w:sz="4" w:space="0" w:color="9C9D9F"/>
              <w:right w:val="nil"/>
            </w:tcBorders>
            <w:shd w:val="clear" w:color="auto" w:fill="auto"/>
            <w:noWrap/>
            <w:vAlign w:val="bottom"/>
            <w:hideMark/>
          </w:tcPr>
          <w:p w14:paraId="2B288788" w14:textId="34F1DF95"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-36 326</w:t>
            </w:r>
          </w:p>
        </w:tc>
        <w:tc>
          <w:tcPr>
            <w:tcW w:w="772" w:type="pct"/>
            <w:tcBorders>
              <w:top w:val="nil"/>
              <w:left w:val="nil"/>
              <w:bottom w:val="single" w:sz="4" w:space="0" w:color="9C9D9F"/>
              <w:right w:val="nil"/>
            </w:tcBorders>
            <w:shd w:val="clear" w:color="auto" w:fill="auto"/>
            <w:noWrap/>
            <w:vAlign w:val="bottom"/>
            <w:hideMark/>
          </w:tcPr>
          <w:p w14:paraId="4CE4469F" w14:textId="3E1B171E" w:rsidR="00D40CA6" w:rsidRPr="00D40CA6" w:rsidRDefault="00D40CA6" w:rsidP="00803DB8">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w:t>
            </w:r>
            <w:r w:rsidR="00803DB8">
              <w:rPr>
                <w:rFonts w:ascii="Calibri" w:hAnsi="Calibri" w:cs="Calibri"/>
                <w:sz w:val="20"/>
                <w:szCs w:val="20"/>
              </w:rPr>
              <w:t>6,7</w:t>
            </w:r>
            <w:r w:rsidRPr="00D40CA6">
              <w:rPr>
                <w:rFonts w:ascii="Calibri" w:hAnsi="Calibri" w:cs="Calibri"/>
                <w:sz w:val="20"/>
                <w:szCs w:val="20"/>
              </w:rPr>
              <w:t>%</w:t>
            </w:r>
          </w:p>
        </w:tc>
      </w:tr>
      <w:tr w:rsidR="00D40CA6" w:rsidRPr="00D40CA6" w14:paraId="47EC7593"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084D48CC"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Úrokové výnosy</w:t>
            </w:r>
          </w:p>
        </w:tc>
        <w:tc>
          <w:tcPr>
            <w:tcW w:w="769" w:type="pct"/>
            <w:tcBorders>
              <w:top w:val="nil"/>
              <w:left w:val="nil"/>
              <w:bottom w:val="single" w:sz="4" w:space="0" w:color="9C9D9F"/>
              <w:right w:val="nil"/>
            </w:tcBorders>
            <w:shd w:val="clear" w:color="auto" w:fill="auto"/>
            <w:noWrap/>
            <w:vAlign w:val="bottom"/>
            <w:hideMark/>
          </w:tcPr>
          <w:p w14:paraId="17EE63F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721</w:t>
            </w:r>
          </w:p>
        </w:tc>
        <w:tc>
          <w:tcPr>
            <w:tcW w:w="769" w:type="pct"/>
            <w:tcBorders>
              <w:top w:val="nil"/>
              <w:left w:val="nil"/>
              <w:bottom w:val="single" w:sz="4" w:space="0" w:color="9C9D9F"/>
              <w:right w:val="nil"/>
            </w:tcBorders>
            <w:shd w:val="clear" w:color="auto" w:fill="auto"/>
            <w:noWrap/>
            <w:vAlign w:val="bottom"/>
            <w:hideMark/>
          </w:tcPr>
          <w:p w14:paraId="2F7EF5B8"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1 689</w:t>
            </w:r>
          </w:p>
        </w:tc>
        <w:tc>
          <w:tcPr>
            <w:tcW w:w="772" w:type="pct"/>
            <w:tcBorders>
              <w:top w:val="nil"/>
              <w:left w:val="nil"/>
              <w:bottom w:val="single" w:sz="4" w:space="0" w:color="9C9D9F"/>
              <w:right w:val="nil"/>
            </w:tcBorders>
            <w:shd w:val="clear" w:color="auto" w:fill="auto"/>
            <w:noWrap/>
            <w:vAlign w:val="bottom"/>
            <w:hideMark/>
          </w:tcPr>
          <w:p w14:paraId="34A563A5"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134,1%</w:t>
            </w:r>
          </w:p>
        </w:tc>
      </w:tr>
      <w:tr w:rsidR="00D40CA6" w:rsidRPr="00D40CA6" w14:paraId="3C2A3982"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556770ED"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Úrokové náklady</w:t>
            </w:r>
          </w:p>
        </w:tc>
        <w:tc>
          <w:tcPr>
            <w:tcW w:w="769" w:type="pct"/>
            <w:tcBorders>
              <w:top w:val="nil"/>
              <w:left w:val="nil"/>
              <w:bottom w:val="single" w:sz="4" w:space="0" w:color="9C9D9F"/>
              <w:right w:val="nil"/>
            </w:tcBorders>
            <w:shd w:val="clear" w:color="auto" w:fill="auto"/>
            <w:noWrap/>
            <w:vAlign w:val="bottom"/>
            <w:hideMark/>
          </w:tcPr>
          <w:p w14:paraId="7C641CD8"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-100 019</w:t>
            </w:r>
          </w:p>
        </w:tc>
        <w:tc>
          <w:tcPr>
            <w:tcW w:w="769" w:type="pct"/>
            <w:tcBorders>
              <w:top w:val="nil"/>
              <w:left w:val="nil"/>
              <w:bottom w:val="single" w:sz="4" w:space="0" w:color="9C9D9F"/>
              <w:right w:val="nil"/>
            </w:tcBorders>
            <w:shd w:val="clear" w:color="auto" w:fill="auto"/>
            <w:noWrap/>
            <w:vAlign w:val="bottom"/>
            <w:hideMark/>
          </w:tcPr>
          <w:p w14:paraId="27B3882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-92 180</w:t>
            </w:r>
          </w:p>
        </w:tc>
        <w:tc>
          <w:tcPr>
            <w:tcW w:w="772" w:type="pct"/>
            <w:tcBorders>
              <w:top w:val="nil"/>
              <w:left w:val="nil"/>
              <w:bottom w:val="single" w:sz="4" w:space="0" w:color="9C9D9F"/>
              <w:right w:val="nil"/>
            </w:tcBorders>
            <w:shd w:val="clear" w:color="auto" w:fill="auto"/>
            <w:noWrap/>
            <w:vAlign w:val="bottom"/>
            <w:hideMark/>
          </w:tcPr>
          <w:p w14:paraId="2D79FEA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-7,8%</w:t>
            </w:r>
          </w:p>
        </w:tc>
      </w:tr>
      <w:tr w:rsidR="00D40CA6" w:rsidRPr="00D40CA6" w14:paraId="68756A48"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3AED13F5"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Zisk před zdaněním</w:t>
            </w:r>
          </w:p>
        </w:tc>
        <w:tc>
          <w:tcPr>
            <w:tcW w:w="769" w:type="pct"/>
            <w:tcBorders>
              <w:top w:val="nil"/>
              <w:left w:val="nil"/>
              <w:bottom w:val="single" w:sz="4" w:space="0" w:color="9C9D9F"/>
              <w:right w:val="nil"/>
            </w:tcBorders>
            <w:shd w:val="clear" w:color="auto" w:fill="auto"/>
            <w:noWrap/>
            <w:vAlign w:val="bottom"/>
            <w:hideMark/>
          </w:tcPr>
          <w:p w14:paraId="34236EC7"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149 465</w:t>
            </w:r>
          </w:p>
        </w:tc>
        <w:tc>
          <w:tcPr>
            <w:tcW w:w="769" w:type="pct"/>
            <w:tcBorders>
              <w:top w:val="nil"/>
              <w:left w:val="nil"/>
              <w:bottom w:val="single" w:sz="4" w:space="0" w:color="9C9D9F"/>
              <w:right w:val="nil"/>
            </w:tcBorders>
            <w:shd w:val="clear" w:color="auto" w:fill="auto"/>
            <w:noWrap/>
            <w:vAlign w:val="bottom"/>
            <w:hideMark/>
          </w:tcPr>
          <w:p w14:paraId="4E5D9ACA" w14:textId="3052B862" w:rsidR="00D40CA6" w:rsidRPr="00D40CA6" w:rsidRDefault="00803DB8" w:rsidP="00D40CA6">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319 185</w:t>
            </w:r>
          </w:p>
        </w:tc>
        <w:tc>
          <w:tcPr>
            <w:tcW w:w="772" w:type="pct"/>
            <w:tcBorders>
              <w:top w:val="nil"/>
              <w:left w:val="nil"/>
              <w:bottom w:val="single" w:sz="4" w:space="0" w:color="9C9D9F"/>
              <w:right w:val="nil"/>
            </w:tcBorders>
            <w:shd w:val="clear" w:color="auto" w:fill="auto"/>
            <w:noWrap/>
            <w:vAlign w:val="bottom"/>
            <w:hideMark/>
          </w:tcPr>
          <w:p w14:paraId="780810B2" w14:textId="70786350"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11</w:t>
            </w:r>
            <w:r w:rsidR="00803DB8">
              <w:rPr>
                <w:rFonts w:ascii="Calibri" w:hAnsi="Calibri" w:cs="Calibri"/>
                <w:b/>
                <w:bCs/>
                <w:sz w:val="20"/>
                <w:szCs w:val="20"/>
              </w:rPr>
              <w:t>3</w:t>
            </w:r>
            <w:r w:rsidRPr="00D40CA6">
              <w:rPr>
                <w:rFonts w:ascii="Calibri" w:hAnsi="Calibri" w:cs="Calibri"/>
                <w:b/>
                <w:bCs/>
                <w:sz w:val="20"/>
                <w:szCs w:val="20"/>
              </w:rPr>
              <w:t>,6%</w:t>
            </w:r>
          </w:p>
        </w:tc>
      </w:tr>
      <w:tr w:rsidR="00D40CA6" w:rsidRPr="00D40CA6" w14:paraId="56D470E1" w14:textId="77777777" w:rsidTr="00D40CA6">
        <w:trPr>
          <w:trHeight w:val="255"/>
        </w:trPr>
        <w:tc>
          <w:tcPr>
            <w:tcW w:w="2690" w:type="pct"/>
            <w:tcBorders>
              <w:top w:val="nil"/>
              <w:left w:val="nil"/>
              <w:bottom w:val="nil"/>
              <w:right w:val="nil"/>
            </w:tcBorders>
            <w:shd w:val="clear" w:color="auto" w:fill="auto"/>
            <w:noWrap/>
            <w:vAlign w:val="bottom"/>
            <w:hideMark/>
          </w:tcPr>
          <w:p w14:paraId="7B7B4277"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42B1C82A"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3958D3B1"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1FBDFE60"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506CE86E"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2EFB56EF"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Daň z příjmů</w:t>
            </w:r>
          </w:p>
        </w:tc>
        <w:tc>
          <w:tcPr>
            <w:tcW w:w="769" w:type="pct"/>
            <w:tcBorders>
              <w:top w:val="nil"/>
              <w:left w:val="nil"/>
              <w:bottom w:val="single" w:sz="4" w:space="0" w:color="9C9D9F"/>
              <w:right w:val="nil"/>
            </w:tcBorders>
            <w:shd w:val="clear" w:color="auto" w:fill="auto"/>
            <w:noWrap/>
            <w:vAlign w:val="bottom"/>
            <w:hideMark/>
          </w:tcPr>
          <w:p w14:paraId="7B42D79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-30 053</w:t>
            </w:r>
          </w:p>
        </w:tc>
        <w:tc>
          <w:tcPr>
            <w:tcW w:w="769" w:type="pct"/>
            <w:tcBorders>
              <w:top w:val="nil"/>
              <w:left w:val="nil"/>
              <w:bottom w:val="single" w:sz="4" w:space="0" w:color="9C9D9F"/>
              <w:right w:val="nil"/>
            </w:tcBorders>
            <w:shd w:val="clear" w:color="auto" w:fill="auto"/>
            <w:noWrap/>
            <w:vAlign w:val="bottom"/>
            <w:hideMark/>
          </w:tcPr>
          <w:p w14:paraId="4E5530EA"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-39 261</w:t>
            </w:r>
          </w:p>
        </w:tc>
        <w:tc>
          <w:tcPr>
            <w:tcW w:w="772" w:type="pct"/>
            <w:tcBorders>
              <w:top w:val="nil"/>
              <w:left w:val="nil"/>
              <w:bottom w:val="single" w:sz="4" w:space="0" w:color="9C9D9F"/>
              <w:right w:val="nil"/>
            </w:tcBorders>
            <w:shd w:val="clear" w:color="auto" w:fill="auto"/>
            <w:noWrap/>
            <w:vAlign w:val="bottom"/>
            <w:hideMark/>
          </w:tcPr>
          <w:p w14:paraId="35426D6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30,6%</w:t>
            </w:r>
          </w:p>
        </w:tc>
      </w:tr>
      <w:tr w:rsidR="00D40CA6" w:rsidRPr="00D40CA6" w14:paraId="23F83D9D"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7D1DAB22"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Čistý zisk po zdanění</w:t>
            </w:r>
          </w:p>
        </w:tc>
        <w:tc>
          <w:tcPr>
            <w:tcW w:w="769" w:type="pct"/>
            <w:tcBorders>
              <w:top w:val="nil"/>
              <w:left w:val="nil"/>
              <w:bottom w:val="single" w:sz="4" w:space="0" w:color="9C9D9F"/>
              <w:right w:val="nil"/>
            </w:tcBorders>
            <w:shd w:val="clear" w:color="auto" w:fill="auto"/>
            <w:noWrap/>
            <w:vAlign w:val="bottom"/>
            <w:hideMark/>
          </w:tcPr>
          <w:p w14:paraId="763B3C1F"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119 412</w:t>
            </w:r>
          </w:p>
        </w:tc>
        <w:tc>
          <w:tcPr>
            <w:tcW w:w="769" w:type="pct"/>
            <w:tcBorders>
              <w:top w:val="nil"/>
              <w:left w:val="nil"/>
              <w:bottom w:val="single" w:sz="4" w:space="0" w:color="9C9D9F"/>
              <w:right w:val="nil"/>
            </w:tcBorders>
            <w:shd w:val="clear" w:color="auto" w:fill="auto"/>
            <w:noWrap/>
            <w:vAlign w:val="bottom"/>
            <w:hideMark/>
          </w:tcPr>
          <w:p w14:paraId="597E6C5E" w14:textId="79AD5A6E" w:rsidR="00D40CA6" w:rsidRPr="00D40CA6" w:rsidRDefault="00803DB8" w:rsidP="00D40CA6">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279</w:t>
            </w:r>
            <w:r w:rsidR="00435B3E">
              <w:rPr>
                <w:rFonts w:ascii="Calibri" w:hAnsi="Calibri" w:cs="Calibri"/>
                <w:b/>
                <w:bCs/>
                <w:sz w:val="20"/>
                <w:szCs w:val="20"/>
              </w:rPr>
              <w:t> </w:t>
            </w:r>
            <w:r>
              <w:rPr>
                <w:rFonts w:ascii="Calibri" w:hAnsi="Calibri" w:cs="Calibri"/>
                <w:b/>
                <w:bCs/>
                <w:sz w:val="20"/>
                <w:szCs w:val="20"/>
              </w:rPr>
              <w:t>924</w:t>
            </w:r>
          </w:p>
        </w:tc>
        <w:tc>
          <w:tcPr>
            <w:tcW w:w="772" w:type="pct"/>
            <w:tcBorders>
              <w:top w:val="nil"/>
              <w:left w:val="nil"/>
              <w:bottom w:val="single" w:sz="4" w:space="0" w:color="9C9D9F"/>
              <w:right w:val="nil"/>
            </w:tcBorders>
            <w:shd w:val="clear" w:color="auto" w:fill="auto"/>
            <w:noWrap/>
            <w:vAlign w:val="bottom"/>
            <w:hideMark/>
          </w:tcPr>
          <w:p w14:paraId="62103CC5" w14:textId="2852C343"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13</w:t>
            </w:r>
            <w:r w:rsidR="00803DB8">
              <w:rPr>
                <w:rFonts w:ascii="Calibri" w:hAnsi="Calibri" w:cs="Calibri"/>
                <w:b/>
                <w:bCs/>
                <w:sz w:val="20"/>
                <w:szCs w:val="20"/>
              </w:rPr>
              <w:t>4,4</w:t>
            </w:r>
            <w:r w:rsidRPr="00D40CA6">
              <w:rPr>
                <w:rFonts w:ascii="Calibri" w:hAnsi="Calibri" w:cs="Calibri"/>
                <w:b/>
                <w:bCs/>
                <w:sz w:val="20"/>
                <w:szCs w:val="20"/>
              </w:rPr>
              <w:t>%</w:t>
            </w:r>
          </w:p>
        </w:tc>
      </w:tr>
      <w:tr w:rsidR="00D40CA6" w:rsidRPr="00D40CA6" w14:paraId="0BBE068E" w14:textId="77777777" w:rsidTr="00D40CA6">
        <w:trPr>
          <w:trHeight w:val="255"/>
        </w:trPr>
        <w:tc>
          <w:tcPr>
            <w:tcW w:w="2690" w:type="pct"/>
            <w:tcBorders>
              <w:top w:val="nil"/>
              <w:left w:val="nil"/>
              <w:bottom w:val="nil"/>
              <w:right w:val="nil"/>
            </w:tcBorders>
            <w:shd w:val="clear" w:color="auto" w:fill="auto"/>
            <w:noWrap/>
            <w:vAlign w:val="bottom"/>
            <w:hideMark/>
          </w:tcPr>
          <w:p w14:paraId="05608708"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6328ECF6"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341775E8"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03130546"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34032E62" w14:textId="77777777" w:rsidTr="00D40CA6">
        <w:trPr>
          <w:trHeight w:val="255"/>
        </w:trPr>
        <w:tc>
          <w:tcPr>
            <w:tcW w:w="2690" w:type="pct"/>
            <w:tcBorders>
              <w:top w:val="nil"/>
              <w:left w:val="nil"/>
              <w:bottom w:val="nil"/>
              <w:right w:val="nil"/>
            </w:tcBorders>
            <w:shd w:val="clear" w:color="000000" w:fill="9C9D9F"/>
            <w:noWrap/>
            <w:vAlign w:val="bottom"/>
            <w:hideMark/>
          </w:tcPr>
          <w:p w14:paraId="140E2AF1"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Ostatní úplný výsledek</w:t>
            </w:r>
          </w:p>
        </w:tc>
        <w:tc>
          <w:tcPr>
            <w:tcW w:w="769" w:type="pct"/>
            <w:tcBorders>
              <w:top w:val="nil"/>
              <w:left w:val="nil"/>
              <w:bottom w:val="nil"/>
              <w:right w:val="nil"/>
            </w:tcBorders>
            <w:shd w:val="clear" w:color="000000" w:fill="9C9D9F"/>
            <w:noWrap/>
            <w:vAlign w:val="bottom"/>
            <w:hideMark/>
          </w:tcPr>
          <w:p w14:paraId="7E92103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69" w:type="pct"/>
            <w:tcBorders>
              <w:top w:val="nil"/>
              <w:left w:val="nil"/>
              <w:bottom w:val="nil"/>
              <w:right w:val="nil"/>
            </w:tcBorders>
            <w:shd w:val="clear" w:color="000000" w:fill="9C9D9F"/>
            <w:noWrap/>
            <w:vAlign w:val="bottom"/>
            <w:hideMark/>
          </w:tcPr>
          <w:p w14:paraId="44860E0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72" w:type="pct"/>
            <w:tcBorders>
              <w:top w:val="nil"/>
              <w:left w:val="nil"/>
              <w:bottom w:val="nil"/>
              <w:right w:val="nil"/>
            </w:tcBorders>
            <w:shd w:val="clear" w:color="000000" w:fill="9C9D9F"/>
            <w:noWrap/>
            <w:vAlign w:val="bottom"/>
            <w:hideMark/>
          </w:tcPr>
          <w:p w14:paraId="65D4E93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4CD92646"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79172BCE"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Čistý zisk ze zajištění peněžních toků</w:t>
            </w:r>
          </w:p>
        </w:tc>
        <w:tc>
          <w:tcPr>
            <w:tcW w:w="769" w:type="pct"/>
            <w:tcBorders>
              <w:top w:val="nil"/>
              <w:left w:val="nil"/>
              <w:bottom w:val="single" w:sz="4" w:space="0" w:color="9C9D9F"/>
              <w:right w:val="nil"/>
            </w:tcBorders>
            <w:shd w:val="clear" w:color="auto" w:fill="auto"/>
            <w:noWrap/>
            <w:vAlign w:val="bottom"/>
            <w:hideMark/>
          </w:tcPr>
          <w:p w14:paraId="08F8859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18 491</w:t>
            </w:r>
          </w:p>
        </w:tc>
        <w:tc>
          <w:tcPr>
            <w:tcW w:w="769" w:type="pct"/>
            <w:tcBorders>
              <w:top w:val="nil"/>
              <w:left w:val="nil"/>
              <w:bottom w:val="single" w:sz="4" w:space="0" w:color="9C9D9F"/>
              <w:right w:val="nil"/>
            </w:tcBorders>
            <w:shd w:val="clear" w:color="auto" w:fill="auto"/>
            <w:noWrap/>
            <w:vAlign w:val="bottom"/>
            <w:hideMark/>
          </w:tcPr>
          <w:p w14:paraId="412A6A3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-47 447</w:t>
            </w:r>
          </w:p>
        </w:tc>
        <w:tc>
          <w:tcPr>
            <w:tcW w:w="772" w:type="pct"/>
            <w:tcBorders>
              <w:top w:val="nil"/>
              <w:left w:val="nil"/>
              <w:bottom w:val="single" w:sz="4" w:space="0" w:color="9C9D9F"/>
              <w:right w:val="nil"/>
            </w:tcBorders>
            <w:shd w:val="clear" w:color="auto" w:fill="auto"/>
            <w:noWrap/>
            <w:vAlign w:val="bottom"/>
            <w:hideMark/>
          </w:tcPr>
          <w:p w14:paraId="133AABA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n/a</w:t>
            </w:r>
          </w:p>
        </w:tc>
      </w:tr>
      <w:tr w:rsidR="00D40CA6" w:rsidRPr="00D40CA6" w14:paraId="60D0E21C"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419E3321"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Kurzové rozdíly vzniklé z přepočtu</w:t>
            </w:r>
          </w:p>
        </w:tc>
        <w:tc>
          <w:tcPr>
            <w:tcW w:w="769" w:type="pct"/>
            <w:tcBorders>
              <w:top w:val="nil"/>
              <w:left w:val="nil"/>
              <w:bottom w:val="single" w:sz="4" w:space="0" w:color="9C9D9F"/>
              <w:right w:val="nil"/>
            </w:tcBorders>
            <w:shd w:val="clear" w:color="auto" w:fill="auto"/>
            <w:noWrap/>
            <w:vAlign w:val="bottom"/>
            <w:hideMark/>
          </w:tcPr>
          <w:p w14:paraId="6D1C61C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88 631</w:t>
            </w:r>
          </w:p>
        </w:tc>
        <w:tc>
          <w:tcPr>
            <w:tcW w:w="769" w:type="pct"/>
            <w:tcBorders>
              <w:top w:val="nil"/>
              <w:left w:val="nil"/>
              <w:bottom w:val="single" w:sz="4" w:space="0" w:color="9C9D9F"/>
              <w:right w:val="nil"/>
            </w:tcBorders>
            <w:shd w:val="clear" w:color="auto" w:fill="auto"/>
            <w:noWrap/>
            <w:vAlign w:val="bottom"/>
            <w:hideMark/>
          </w:tcPr>
          <w:p w14:paraId="74E146D2" w14:textId="03411FC0"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xml:space="preserve">30 </w:t>
            </w:r>
            <w:r w:rsidR="00803DB8">
              <w:rPr>
                <w:rFonts w:ascii="Calibri" w:hAnsi="Calibri" w:cs="Calibri"/>
                <w:sz w:val="20"/>
                <w:szCs w:val="20"/>
              </w:rPr>
              <w:t>515</w:t>
            </w:r>
          </w:p>
        </w:tc>
        <w:tc>
          <w:tcPr>
            <w:tcW w:w="772" w:type="pct"/>
            <w:tcBorders>
              <w:top w:val="nil"/>
              <w:left w:val="nil"/>
              <w:bottom w:val="single" w:sz="4" w:space="0" w:color="9C9D9F"/>
              <w:right w:val="nil"/>
            </w:tcBorders>
            <w:shd w:val="clear" w:color="auto" w:fill="auto"/>
            <w:noWrap/>
            <w:vAlign w:val="bottom"/>
            <w:hideMark/>
          </w:tcPr>
          <w:p w14:paraId="0166D39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-65,5%</w:t>
            </w:r>
          </w:p>
        </w:tc>
      </w:tr>
      <w:tr w:rsidR="00D40CA6" w:rsidRPr="00D40CA6" w14:paraId="2A30F58F"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487F2F3A"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Úplný výsledek za období celkem</w:t>
            </w:r>
          </w:p>
        </w:tc>
        <w:tc>
          <w:tcPr>
            <w:tcW w:w="769" w:type="pct"/>
            <w:tcBorders>
              <w:top w:val="nil"/>
              <w:left w:val="nil"/>
              <w:bottom w:val="single" w:sz="4" w:space="0" w:color="9C9D9F"/>
              <w:right w:val="nil"/>
            </w:tcBorders>
            <w:shd w:val="clear" w:color="auto" w:fill="auto"/>
            <w:noWrap/>
            <w:vAlign w:val="bottom"/>
            <w:hideMark/>
          </w:tcPr>
          <w:p w14:paraId="5243AE51"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226 534</w:t>
            </w:r>
          </w:p>
        </w:tc>
        <w:tc>
          <w:tcPr>
            <w:tcW w:w="769" w:type="pct"/>
            <w:tcBorders>
              <w:top w:val="nil"/>
              <w:left w:val="nil"/>
              <w:bottom w:val="single" w:sz="4" w:space="0" w:color="9C9D9F"/>
              <w:right w:val="nil"/>
            </w:tcBorders>
            <w:shd w:val="clear" w:color="auto" w:fill="auto"/>
            <w:noWrap/>
            <w:vAlign w:val="bottom"/>
            <w:hideMark/>
          </w:tcPr>
          <w:p w14:paraId="098348FF" w14:textId="746BC510"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26</w:t>
            </w:r>
            <w:r w:rsidR="00803DB8">
              <w:rPr>
                <w:rFonts w:ascii="Calibri" w:hAnsi="Calibri" w:cs="Calibri"/>
                <w:b/>
                <w:bCs/>
                <w:sz w:val="20"/>
                <w:szCs w:val="20"/>
              </w:rPr>
              <w:t>2 992</w:t>
            </w:r>
          </w:p>
        </w:tc>
        <w:tc>
          <w:tcPr>
            <w:tcW w:w="772" w:type="pct"/>
            <w:tcBorders>
              <w:top w:val="nil"/>
              <w:left w:val="nil"/>
              <w:bottom w:val="single" w:sz="4" w:space="0" w:color="9C9D9F"/>
              <w:right w:val="nil"/>
            </w:tcBorders>
            <w:shd w:val="clear" w:color="auto" w:fill="auto"/>
            <w:noWrap/>
            <w:vAlign w:val="bottom"/>
            <w:hideMark/>
          </w:tcPr>
          <w:p w14:paraId="0C9423E0" w14:textId="6573FF7B"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16,</w:t>
            </w:r>
            <w:r w:rsidR="00803DB8">
              <w:rPr>
                <w:rFonts w:ascii="Calibri" w:hAnsi="Calibri" w:cs="Calibri"/>
                <w:b/>
                <w:bCs/>
                <w:sz w:val="20"/>
                <w:szCs w:val="20"/>
              </w:rPr>
              <w:t>1</w:t>
            </w:r>
            <w:r w:rsidRPr="00D40CA6">
              <w:rPr>
                <w:rFonts w:ascii="Calibri" w:hAnsi="Calibri" w:cs="Calibri"/>
                <w:b/>
                <w:bCs/>
                <w:sz w:val="20"/>
                <w:szCs w:val="20"/>
              </w:rPr>
              <w:t>%</w:t>
            </w:r>
          </w:p>
        </w:tc>
      </w:tr>
      <w:tr w:rsidR="00D40CA6" w:rsidRPr="00D40CA6" w14:paraId="2C4741AF" w14:textId="77777777" w:rsidTr="00D40CA6">
        <w:trPr>
          <w:trHeight w:val="255"/>
        </w:trPr>
        <w:tc>
          <w:tcPr>
            <w:tcW w:w="2690" w:type="pct"/>
            <w:tcBorders>
              <w:top w:val="nil"/>
              <w:left w:val="nil"/>
              <w:bottom w:val="nil"/>
              <w:right w:val="nil"/>
            </w:tcBorders>
            <w:shd w:val="clear" w:color="auto" w:fill="auto"/>
            <w:noWrap/>
            <w:vAlign w:val="bottom"/>
            <w:hideMark/>
          </w:tcPr>
          <w:p w14:paraId="334936BB"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1AC57E3A"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258825D4"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731FF6AD"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39A2FF79" w14:textId="77777777" w:rsidTr="00D40CA6">
        <w:trPr>
          <w:trHeight w:val="255"/>
        </w:trPr>
        <w:tc>
          <w:tcPr>
            <w:tcW w:w="2690" w:type="pct"/>
            <w:tcBorders>
              <w:top w:val="nil"/>
              <w:left w:val="nil"/>
              <w:bottom w:val="nil"/>
              <w:right w:val="nil"/>
            </w:tcBorders>
            <w:shd w:val="clear" w:color="000000" w:fill="9C9D9F"/>
            <w:noWrap/>
            <w:vAlign w:val="bottom"/>
            <w:hideMark/>
          </w:tcPr>
          <w:p w14:paraId="44AFB3B6"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Čistý zisk na akcii</w:t>
            </w:r>
          </w:p>
        </w:tc>
        <w:tc>
          <w:tcPr>
            <w:tcW w:w="769" w:type="pct"/>
            <w:tcBorders>
              <w:top w:val="nil"/>
              <w:left w:val="nil"/>
              <w:bottom w:val="nil"/>
              <w:right w:val="nil"/>
            </w:tcBorders>
            <w:shd w:val="clear" w:color="000000" w:fill="9C9D9F"/>
            <w:noWrap/>
            <w:vAlign w:val="bottom"/>
            <w:hideMark/>
          </w:tcPr>
          <w:p w14:paraId="238E1E7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69" w:type="pct"/>
            <w:tcBorders>
              <w:top w:val="nil"/>
              <w:left w:val="nil"/>
              <w:bottom w:val="nil"/>
              <w:right w:val="nil"/>
            </w:tcBorders>
            <w:shd w:val="clear" w:color="000000" w:fill="9C9D9F"/>
            <w:noWrap/>
            <w:vAlign w:val="bottom"/>
            <w:hideMark/>
          </w:tcPr>
          <w:p w14:paraId="1E34854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72" w:type="pct"/>
            <w:tcBorders>
              <w:top w:val="nil"/>
              <w:left w:val="nil"/>
              <w:bottom w:val="nil"/>
              <w:right w:val="nil"/>
            </w:tcBorders>
            <w:shd w:val="clear" w:color="000000" w:fill="9C9D9F"/>
            <w:noWrap/>
            <w:vAlign w:val="bottom"/>
            <w:hideMark/>
          </w:tcPr>
          <w:p w14:paraId="5FEA469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307B8D5A"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3D2F9F05"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Základní čistý zisk na akcii (CZK)</w:t>
            </w:r>
          </w:p>
        </w:tc>
        <w:tc>
          <w:tcPr>
            <w:tcW w:w="769" w:type="pct"/>
            <w:tcBorders>
              <w:top w:val="nil"/>
              <w:left w:val="nil"/>
              <w:bottom w:val="single" w:sz="4" w:space="0" w:color="9C9D9F"/>
              <w:right w:val="nil"/>
            </w:tcBorders>
            <w:shd w:val="clear" w:color="auto" w:fill="auto"/>
            <w:noWrap/>
            <w:vAlign w:val="bottom"/>
            <w:hideMark/>
          </w:tcPr>
          <w:p w14:paraId="66F4696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13,62</w:t>
            </w:r>
          </w:p>
        </w:tc>
        <w:tc>
          <w:tcPr>
            <w:tcW w:w="769" w:type="pct"/>
            <w:tcBorders>
              <w:top w:val="nil"/>
              <w:left w:val="nil"/>
              <w:bottom w:val="single" w:sz="4" w:space="0" w:color="9C9D9F"/>
              <w:right w:val="nil"/>
            </w:tcBorders>
            <w:shd w:val="clear" w:color="auto" w:fill="auto"/>
            <w:noWrap/>
            <w:vAlign w:val="bottom"/>
            <w:hideMark/>
          </w:tcPr>
          <w:p w14:paraId="497C14B8" w14:textId="7B35E14C"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31,94</w:t>
            </w:r>
            <w:r w:rsidR="00A12AA2">
              <w:rPr>
                <w:rFonts w:ascii="Calibri" w:hAnsi="Calibri" w:cs="Calibri"/>
                <w:sz w:val="20"/>
                <w:szCs w:val="20"/>
              </w:rPr>
              <w:t>*</w:t>
            </w:r>
          </w:p>
        </w:tc>
        <w:tc>
          <w:tcPr>
            <w:tcW w:w="772" w:type="pct"/>
            <w:tcBorders>
              <w:top w:val="nil"/>
              <w:left w:val="nil"/>
              <w:bottom w:val="single" w:sz="4" w:space="0" w:color="9C9D9F"/>
              <w:right w:val="nil"/>
            </w:tcBorders>
            <w:shd w:val="clear" w:color="auto" w:fill="auto"/>
            <w:noWrap/>
            <w:vAlign w:val="bottom"/>
            <w:hideMark/>
          </w:tcPr>
          <w:p w14:paraId="3833A632" w14:textId="2BC588D4" w:rsidR="00D40CA6" w:rsidRPr="00D40CA6" w:rsidRDefault="00D40CA6" w:rsidP="00803DB8">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w:t>
            </w:r>
            <w:r w:rsidR="00803DB8">
              <w:rPr>
                <w:rFonts w:ascii="Calibri" w:hAnsi="Calibri" w:cs="Calibri"/>
                <w:sz w:val="20"/>
                <w:szCs w:val="20"/>
              </w:rPr>
              <w:t>4,5</w:t>
            </w:r>
            <w:r w:rsidRPr="00D40CA6">
              <w:rPr>
                <w:rFonts w:ascii="Calibri" w:hAnsi="Calibri" w:cs="Calibri"/>
                <w:sz w:val="20"/>
                <w:szCs w:val="20"/>
              </w:rPr>
              <w:t>%</w:t>
            </w:r>
          </w:p>
        </w:tc>
      </w:tr>
      <w:tr w:rsidR="00D40CA6" w:rsidRPr="00D40CA6" w14:paraId="17FF63B7"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0EEA9096"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Zředěný čistý zisk na akcii (CZK)</w:t>
            </w:r>
          </w:p>
        </w:tc>
        <w:tc>
          <w:tcPr>
            <w:tcW w:w="769" w:type="pct"/>
            <w:tcBorders>
              <w:top w:val="nil"/>
              <w:left w:val="nil"/>
              <w:bottom w:val="single" w:sz="4" w:space="0" w:color="9C9D9F"/>
              <w:right w:val="nil"/>
            </w:tcBorders>
            <w:shd w:val="clear" w:color="auto" w:fill="auto"/>
            <w:noWrap/>
            <w:vAlign w:val="bottom"/>
            <w:hideMark/>
          </w:tcPr>
          <w:p w14:paraId="57B98AA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13,58</w:t>
            </w:r>
          </w:p>
        </w:tc>
        <w:tc>
          <w:tcPr>
            <w:tcW w:w="769" w:type="pct"/>
            <w:tcBorders>
              <w:top w:val="nil"/>
              <w:left w:val="nil"/>
              <w:bottom w:val="single" w:sz="4" w:space="0" w:color="9C9D9F"/>
              <w:right w:val="nil"/>
            </w:tcBorders>
            <w:shd w:val="clear" w:color="auto" w:fill="auto"/>
            <w:noWrap/>
            <w:vAlign w:val="bottom"/>
            <w:hideMark/>
          </w:tcPr>
          <w:p w14:paraId="04082EEA" w14:textId="5305BA47"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31,94</w:t>
            </w:r>
            <w:r w:rsidR="00A12AA2">
              <w:rPr>
                <w:rFonts w:ascii="Calibri" w:hAnsi="Calibri" w:cs="Calibri"/>
                <w:sz w:val="20"/>
                <w:szCs w:val="20"/>
              </w:rPr>
              <w:t>*</w:t>
            </w:r>
          </w:p>
        </w:tc>
        <w:tc>
          <w:tcPr>
            <w:tcW w:w="772" w:type="pct"/>
            <w:tcBorders>
              <w:top w:val="nil"/>
              <w:left w:val="nil"/>
              <w:bottom w:val="single" w:sz="4" w:space="0" w:color="9C9D9F"/>
              <w:right w:val="nil"/>
            </w:tcBorders>
            <w:shd w:val="clear" w:color="auto" w:fill="auto"/>
            <w:noWrap/>
            <w:vAlign w:val="bottom"/>
            <w:hideMark/>
          </w:tcPr>
          <w:p w14:paraId="48FC741D" w14:textId="4A7D39C9" w:rsidR="00D40CA6" w:rsidRPr="00D40CA6" w:rsidRDefault="00D40CA6" w:rsidP="00803DB8">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w:t>
            </w:r>
            <w:r w:rsidR="00803DB8">
              <w:rPr>
                <w:rFonts w:ascii="Calibri" w:hAnsi="Calibri" w:cs="Calibri"/>
                <w:sz w:val="20"/>
                <w:szCs w:val="20"/>
              </w:rPr>
              <w:t>5</w:t>
            </w:r>
            <w:r w:rsidRPr="00D40CA6">
              <w:rPr>
                <w:rFonts w:ascii="Calibri" w:hAnsi="Calibri" w:cs="Calibri"/>
                <w:sz w:val="20"/>
                <w:szCs w:val="20"/>
              </w:rPr>
              <w:t>,</w:t>
            </w:r>
            <w:r w:rsidR="00803DB8">
              <w:rPr>
                <w:rFonts w:ascii="Calibri" w:hAnsi="Calibri" w:cs="Calibri"/>
                <w:sz w:val="20"/>
                <w:szCs w:val="20"/>
              </w:rPr>
              <w:t>2</w:t>
            </w:r>
            <w:r w:rsidRPr="00D40CA6">
              <w:rPr>
                <w:rFonts w:ascii="Calibri" w:hAnsi="Calibri" w:cs="Calibri"/>
                <w:sz w:val="20"/>
                <w:szCs w:val="20"/>
              </w:rPr>
              <w:t>%</w:t>
            </w:r>
          </w:p>
        </w:tc>
      </w:tr>
    </w:tbl>
    <w:p w14:paraId="7746B60A" w14:textId="77777777" w:rsidR="00A12AA2" w:rsidRPr="00A9481B" w:rsidRDefault="00A9481B" w:rsidP="00A12AA2">
      <w:pPr>
        <w:rPr>
          <w:sz w:val="20"/>
          <w:szCs w:val="20"/>
        </w:rPr>
      </w:pPr>
      <w:r w:rsidRPr="00A9481B">
        <w:rPr>
          <w:sz w:val="20"/>
          <w:szCs w:val="20"/>
        </w:rPr>
        <w:t xml:space="preserve">* viz komentář k vývoji čistého zisku na str. </w:t>
      </w:r>
      <w:r>
        <w:rPr>
          <w:sz w:val="20"/>
          <w:szCs w:val="20"/>
        </w:rPr>
        <w:t>8</w:t>
      </w:r>
      <w:r w:rsidR="00A12AA2">
        <w:rPr>
          <w:sz w:val="20"/>
          <w:szCs w:val="20"/>
        </w:rPr>
        <w:t xml:space="preserve"> a výpočet zisku na akcii na str. 28 a 29</w:t>
      </w:r>
    </w:p>
    <w:p w14:paraId="4252EF72" w14:textId="141FC46A" w:rsidR="00D40CA6" w:rsidRPr="00A9481B" w:rsidRDefault="00D40CA6" w:rsidP="000C292F">
      <w:pPr>
        <w:rPr>
          <w:sz w:val="20"/>
          <w:szCs w:val="20"/>
        </w:rPr>
      </w:pPr>
    </w:p>
    <w:p w14:paraId="69B0738E" w14:textId="77777777" w:rsidR="000C292F" w:rsidRPr="006C048C" w:rsidRDefault="000C292F" w:rsidP="000C292F"/>
    <w:p w14:paraId="314DF7DD" w14:textId="77777777" w:rsidR="000C292F" w:rsidRPr="006C048C" w:rsidRDefault="000C292F" w:rsidP="000C292F">
      <w:pPr>
        <w:spacing w:before="0" w:beforeAutospacing="0" w:after="0" w:afterAutospacing="0"/>
        <w:jc w:val="left"/>
        <w:rPr>
          <w:b/>
          <w:bCs/>
          <w:kern w:val="32"/>
          <w:sz w:val="28"/>
          <w:szCs w:val="28"/>
        </w:rPr>
      </w:pPr>
      <w:bookmarkStart w:id="61" w:name="_Toc269139315"/>
      <w:bookmarkStart w:id="62" w:name="_Toc269139316"/>
      <w:bookmarkStart w:id="63" w:name="_Toc269139317"/>
      <w:bookmarkStart w:id="64" w:name="_Toc269139318"/>
      <w:bookmarkStart w:id="65" w:name="_Toc269139319"/>
      <w:bookmarkStart w:id="66" w:name="_Toc269139320"/>
      <w:bookmarkStart w:id="67" w:name="_Toc269139321"/>
      <w:bookmarkStart w:id="68" w:name="_Toc269139322"/>
      <w:bookmarkStart w:id="69" w:name="_Toc269139323"/>
      <w:bookmarkStart w:id="70" w:name="_Toc269111138"/>
      <w:bookmarkStart w:id="71" w:name="_Toc269118411"/>
      <w:bookmarkStart w:id="72" w:name="_Toc269139324"/>
      <w:bookmarkStart w:id="73" w:name="_Toc269111139"/>
      <w:bookmarkStart w:id="74" w:name="_Toc269118412"/>
      <w:bookmarkStart w:id="75" w:name="_Toc269139325"/>
      <w:bookmarkStart w:id="76" w:name="_Toc269295560"/>
      <w:bookmarkStart w:id="77" w:name="_Toc26990749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6C048C">
        <w:br w:type="page"/>
      </w:r>
    </w:p>
    <w:p w14:paraId="172A94A2" w14:textId="77777777" w:rsidR="000C292F" w:rsidRPr="006C048C" w:rsidRDefault="000C292F" w:rsidP="000C292F">
      <w:pPr>
        <w:pStyle w:val="Nadpis2"/>
      </w:pPr>
      <w:bookmarkStart w:id="78" w:name="_Toc522086616"/>
      <w:r w:rsidRPr="006C048C">
        <w:lastRenderedPageBreak/>
        <w:t>Konsolidovaný výkaz o úplném výsledku ve zkrácené podobě za období tří měsíců</w:t>
      </w:r>
      <w:bookmarkEnd w:id="76"/>
      <w:bookmarkEnd w:id="77"/>
      <w:bookmarkEnd w:id="78"/>
    </w:p>
    <w:p w14:paraId="5794B8EE" w14:textId="77777777" w:rsidR="000C292F" w:rsidRPr="006C048C" w:rsidRDefault="000C292F" w:rsidP="000C292F">
      <w:pPr>
        <w:spacing w:before="0" w:beforeAutospacing="0" w:after="0" w:afterAutospacing="0"/>
        <w:jc w:val="left"/>
      </w:pPr>
      <w:bookmarkStart w:id="79" w:name="_Toc269139327"/>
      <w:bookmarkStart w:id="80" w:name="_Toc269139328"/>
      <w:bookmarkStart w:id="81" w:name="_Toc269139329"/>
      <w:bookmarkStart w:id="82" w:name="_Toc269139330"/>
      <w:bookmarkStart w:id="83" w:name="_Toc269139331"/>
      <w:bookmarkStart w:id="84" w:name="_Toc269111141"/>
      <w:bookmarkStart w:id="85" w:name="_Toc269118414"/>
      <w:bookmarkStart w:id="86" w:name="_Toc269139332"/>
      <w:bookmarkStart w:id="87" w:name="_Toc269111142"/>
      <w:bookmarkStart w:id="88" w:name="_Toc269118415"/>
      <w:bookmarkStart w:id="89" w:name="_Toc269139333"/>
      <w:bookmarkStart w:id="90" w:name="_Toc269111143"/>
      <w:bookmarkStart w:id="91" w:name="_Toc269118416"/>
      <w:bookmarkStart w:id="92" w:name="_Toc269139334"/>
      <w:bookmarkStart w:id="93" w:name="_Toc269295561"/>
      <w:bookmarkStart w:id="94" w:name="_Toc269907500"/>
      <w:bookmarkEnd w:id="79"/>
      <w:bookmarkEnd w:id="80"/>
      <w:bookmarkEnd w:id="81"/>
      <w:bookmarkEnd w:id="82"/>
      <w:bookmarkEnd w:id="83"/>
      <w:bookmarkEnd w:id="84"/>
      <w:bookmarkEnd w:id="85"/>
      <w:bookmarkEnd w:id="86"/>
      <w:bookmarkEnd w:id="87"/>
      <w:bookmarkEnd w:id="88"/>
      <w:bookmarkEnd w:id="89"/>
      <w:bookmarkEnd w:id="90"/>
      <w:bookmarkEnd w:id="91"/>
      <w:bookmarkEnd w:id="92"/>
    </w:p>
    <w:tbl>
      <w:tblPr>
        <w:tblW w:w="5000" w:type="pct"/>
        <w:tblCellMar>
          <w:left w:w="70" w:type="dxa"/>
          <w:right w:w="70" w:type="dxa"/>
        </w:tblCellMar>
        <w:tblLook w:val="04A0" w:firstRow="1" w:lastRow="0" w:firstColumn="1" w:lastColumn="0" w:noHBand="0" w:noVBand="1"/>
      </w:tblPr>
      <w:tblGrid>
        <w:gridCol w:w="4881"/>
        <w:gridCol w:w="1395"/>
        <w:gridCol w:w="1395"/>
        <w:gridCol w:w="1401"/>
      </w:tblGrid>
      <w:tr w:rsidR="00D40CA6" w:rsidRPr="00D40CA6" w14:paraId="5841C734" w14:textId="77777777" w:rsidTr="00D40CA6">
        <w:trPr>
          <w:trHeight w:val="255"/>
        </w:trPr>
        <w:tc>
          <w:tcPr>
            <w:tcW w:w="2690" w:type="pct"/>
            <w:tcBorders>
              <w:top w:val="nil"/>
              <w:left w:val="nil"/>
              <w:bottom w:val="nil"/>
              <w:right w:val="nil"/>
            </w:tcBorders>
            <w:shd w:val="clear" w:color="000000" w:fill="2A7FC6"/>
            <w:noWrap/>
            <w:vAlign w:val="bottom"/>
            <w:hideMark/>
          </w:tcPr>
          <w:p w14:paraId="7B473CFB"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c>
          <w:tcPr>
            <w:tcW w:w="1538" w:type="pct"/>
            <w:gridSpan w:val="2"/>
            <w:tcBorders>
              <w:top w:val="nil"/>
              <w:left w:val="nil"/>
              <w:bottom w:val="nil"/>
              <w:right w:val="nil"/>
            </w:tcBorders>
            <w:shd w:val="clear" w:color="000000" w:fill="2A7FC6"/>
            <w:noWrap/>
            <w:vAlign w:val="bottom"/>
            <w:hideMark/>
          </w:tcPr>
          <w:p w14:paraId="76FB68EF"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Období tří měsíců do</w:t>
            </w:r>
          </w:p>
        </w:tc>
        <w:tc>
          <w:tcPr>
            <w:tcW w:w="772" w:type="pct"/>
            <w:tcBorders>
              <w:top w:val="nil"/>
              <w:left w:val="nil"/>
              <w:bottom w:val="nil"/>
              <w:right w:val="nil"/>
            </w:tcBorders>
            <w:shd w:val="clear" w:color="000000" w:fill="2A7FC6"/>
            <w:noWrap/>
            <w:vAlign w:val="bottom"/>
            <w:hideMark/>
          </w:tcPr>
          <w:p w14:paraId="25F58D7D"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 </w:t>
            </w:r>
          </w:p>
        </w:tc>
      </w:tr>
      <w:tr w:rsidR="00D40CA6" w:rsidRPr="00D40CA6" w14:paraId="2DF8BEF1" w14:textId="77777777" w:rsidTr="00D40CA6">
        <w:trPr>
          <w:trHeight w:val="510"/>
        </w:trPr>
        <w:tc>
          <w:tcPr>
            <w:tcW w:w="2690" w:type="pct"/>
            <w:tcBorders>
              <w:top w:val="nil"/>
              <w:left w:val="nil"/>
              <w:bottom w:val="nil"/>
              <w:right w:val="nil"/>
            </w:tcBorders>
            <w:shd w:val="clear" w:color="000000" w:fill="2A7FC6"/>
            <w:noWrap/>
            <w:vAlign w:val="bottom"/>
            <w:hideMark/>
          </w:tcPr>
          <w:p w14:paraId="6E840B13" w14:textId="77777777" w:rsidR="00D40CA6" w:rsidRPr="00D40CA6" w:rsidRDefault="00D40CA6" w:rsidP="00D40CA6">
            <w:pPr>
              <w:spacing w:before="0" w:beforeAutospacing="0" w:after="0" w:afterAutospacing="0"/>
              <w:jc w:val="left"/>
              <w:rPr>
                <w:rFonts w:ascii="Calibri" w:hAnsi="Calibri" w:cs="Calibri"/>
                <w:b/>
                <w:bCs/>
                <w:color w:val="FFFFFF"/>
                <w:sz w:val="20"/>
                <w:szCs w:val="20"/>
              </w:rPr>
            </w:pPr>
            <w:r w:rsidRPr="00D40CA6">
              <w:rPr>
                <w:rFonts w:ascii="Calibri" w:hAnsi="Calibri" w:cs="Calibri"/>
                <w:b/>
                <w:bCs/>
                <w:color w:val="FFFFFF"/>
                <w:sz w:val="20"/>
                <w:szCs w:val="20"/>
              </w:rPr>
              <w:t>v tis. CZK</w:t>
            </w:r>
          </w:p>
        </w:tc>
        <w:tc>
          <w:tcPr>
            <w:tcW w:w="769" w:type="pct"/>
            <w:tcBorders>
              <w:top w:val="nil"/>
              <w:left w:val="nil"/>
              <w:bottom w:val="nil"/>
              <w:right w:val="nil"/>
            </w:tcBorders>
            <w:shd w:val="clear" w:color="000000" w:fill="2A7FC6"/>
            <w:vAlign w:val="bottom"/>
            <w:hideMark/>
          </w:tcPr>
          <w:p w14:paraId="5AA9DB66"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30. června</w:t>
            </w:r>
            <w:r w:rsidRPr="00D40CA6">
              <w:rPr>
                <w:rFonts w:ascii="Calibri" w:hAnsi="Calibri" w:cs="Calibri"/>
                <w:b/>
                <w:bCs/>
                <w:color w:val="FFFFFF"/>
                <w:sz w:val="20"/>
                <w:szCs w:val="20"/>
              </w:rPr>
              <w:br/>
              <w:t>2017</w:t>
            </w:r>
          </w:p>
        </w:tc>
        <w:tc>
          <w:tcPr>
            <w:tcW w:w="769" w:type="pct"/>
            <w:tcBorders>
              <w:top w:val="nil"/>
              <w:left w:val="nil"/>
              <w:bottom w:val="nil"/>
              <w:right w:val="nil"/>
            </w:tcBorders>
            <w:shd w:val="clear" w:color="000000" w:fill="2A7FC6"/>
            <w:vAlign w:val="bottom"/>
            <w:hideMark/>
          </w:tcPr>
          <w:p w14:paraId="4152CFDE"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30. června</w:t>
            </w:r>
            <w:r w:rsidRPr="00D40CA6">
              <w:rPr>
                <w:rFonts w:ascii="Calibri" w:hAnsi="Calibri" w:cs="Calibri"/>
                <w:b/>
                <w:bCs/>
                <w:color w:val="FFFFFF"/>
                <w:sz w:val="20"/>
                <w:szCs w:val="20"/>
              </w:rPr>
              <w:br/>
              <w:t>2018</w:t>
            </w:r>
          </w:p>
        </w:tc>
        <w:tc>
          <w:tcPr>
            <w:tcW w:w="772" w:type="pct"/>
            <w:tcBorders>
              <w:top w:val="nil"/>
              <w:left w:val="nil"/>
              <w:bottom w:val="nil"/>
              <w:right w:val="nil"/>
            </w:tcBorders>
            <w:shd w:val="clear" w:color="000000" w:fill="2A7FC6"/>
            <w:noWrap/>
            <w:vAlign w:val="bottom"/>
            <w:hideMark/>
          </w:tcPr>
          <w:p w14:paraId="20FD3C23"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r>
      <w:tr w:rsidR="00D40CA6" w:rsidRPr="00D40CA6" w14:paraId="229CA16F" w14:textId="77777777" w:rsidTr="00D40CA6">
        <w:trPr>
          <w:trHeight w:val="255"/>
        </w:trPr>
        <w:tc>
          <w:tcPr>
            <w:tcW w:w="2690" w:type="pct"/>
            <w:tcBorders>
              <w:top w:val="nil"/>
              <w:left w:val="nil"/>
              <w:bottom w:val="nil"/>
              <w:right w:val="nil"/>
            </w:tcBorders>
            <w:shd w:val="clear" w:color="000000" w:fill="2A7FC6"/>
            <w:noWrap/>
            <w:vAlign w:val="bottom"/>
            <w:hideMark/>
          </w:tcPr>
          <w:p w14:paraId="3AC1EE2E"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c>
          <w:tcPr>
            <w:tcW w:w="769" w:type="pct"/>
            <w:tcBorders>
              <w:top w:val="nil"/>
              <w:left w:val="nil"/>
              <w:bottom w:val="nil"/>
              <w:right w:val="nil"/>
            </w:tcBorders>
            <w:shd w:val="clear" w:color="000000" w:fill="2A7FC6"/>
            <w:noWrap/>
            <w:vAlign w:val="bottom"/>
            <w:hideMark/>
          </w:tcPr>
          <w:p w14:paraId="3CDB3141" w14:textId="77777777" w:rsidR="00D40CA6" w:rsidRPr="00D40CA6" w:rsidRDefault="00D40CA6" w:rsidP="00D40CA6">
            <w:pPr>
              <w:spacing w:before="0" w:beforeAutospacing="0" w:after="0" w:afterAutospacing="0"/>
              <w:jc w:val="center"/>
              <w:rPr>
                <w:rFonts w:ascii="Calibri" w:hAnsi="Calibri" w:cs="Calibri"/>
                <w:color w:val="FFFFFF"/>
                <w:sz w:val="20"/>
                <w:szCs w:val="20"/>
              </w:rPr>
            </w:pPr>
            <w:r w:rsidRPr="00D40CA6">
              <w:rPr>
                <w:rFonts w:ascii="Calibri" w:hAnsi="Calibri" w:cs="Calibri"/>
                <w:color w:val="FFFFFF"/>
                <w:sz w:val="20"/>
                <w:szCs w:val="20"/>
              </w:rPr>
              <w:t>(neauditované)</w:t>
            </w:r>
          </w:p>
        </w:tc>
        <w:tc>
          <w:tcPr>
            <w:tcW w:w="769" w:type="pct"/>
            <w:tcBorders>
              <w:top w:val="nil"/>
              <w:left w:val="nil"/>
              <w:bottom w:val="nil"/>
              <w:right w:val="nil"/>
            </w:tcBorders>
            <w:shd w:val="clear" w:color="000000" w:fill="2A7FC6"/>
            <w:noWrap/>
            <w:vAlign w:val="bottom"/>
            <w:hideMark/>
          </w:tcPr>
          <w:p w14:paraId="3FFD5C96" w14:textId="77777777" w:rsidR="00D40CA6" w:rsidRPr="00D40CA6" w:rsidRDefault="00D40CA6" w:rsidP="00D40CA6">
            <w:pPr>
              <w:spacing w:before="0" w:beforeAutospacing="0" w:after="0" w:afterAutospacing="0"/>
              <w:jc w:val="center"/>
              <w:rPr>
                <w:rFonts w:ascii="Calibri" w:hAnsi="Calibri" w:cs="Calibri"/>
                <w:color w:val="FFFFFF"/>
                <w:sz w:val="20"/>
                <w:szCs w:val="20"/>
              </w:rPr>
            </w:pPr>
            <w:r w:rsidRPr="00D40CA6">
              <w:rPr>
                <w:rFonts w:ascii="Calibri" w:hAnsi="Calibri" w:cs="Calibri"/>
                <w:color w:val="FFFFFF"/>
                <w:sz w:val="20"/>
                <w:szCs w:val="20"/>
              </w:rPr>
              <w:t>(neauditované)</w:t>
            </w:r>
          </w:p>
        </w:tc>
        <w:tc>
          <w:tcPr>
            <w:tcW w:w="772" w:type="pct"/>
            <w:tcBorders>
              <w:top w:val="nil"/>
              <w:left w:val="nil"/>
              <w:bottom w:val="nil"/>
              <w:right w:val="nil"/>
            </w:tcBorders>
            <w:shd w:val="clear" w:color="000000" w:fill="2A7FC6"/>
            <w:noWrap/>
            <w:vAlign w:val="bottom"/>
            <w:hideMark/>
          </w:tcPr>
          <w:p w14:paraId="75D5B564"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 změna</w:t>
            </w:r>
          </w:p>
        </w:tc>
      </w:tr>
      <w:tr w:rsidR="00D40CA6" w:rsidRPr="00D40CA6" w14:paraId="2CD81DC7" w14:textId="77777777" w:rsidTr="00D40CA6">
        <w:trPr>
          <w:trHeight w:val="255"/>
        </w:trPr>
        <w:tc>
          <w:tcPr>
            <w:tcW w:w="2690" w:type="pct"/>
            <w:tcBorders>
              <w:top w:val="nil"/>
              <w:left w:val="nil"/>
              <w:bottom w:val="nil"/>
              <w:right w:val="nil"/>
            </w:tcBorders>
            <w:shd w:val="clear" w:color="auto" w:fill="auto"/>
            <w:noWrap/>
            <w:vAlign w:val="bottom"/>
            <w:hideMark/>
          </w:tcPr>
          <w:p w14:paraId="6DE9EC93"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p>
        </w:tc>
        <w:tc>
          <w:tcPr>
            <w:tcW w:w="769" w:type="pct"/>
            <w:tcBorders>
              <w:top w:val="nil"/>
              <w:left w:val="nil"/>
              <w:bottom w:val="nil"/>
              <w:right w:val="nil"/>
            </w:tcBorders>
            <w:shd w:val="clear" w:color="auto" w:fill="auto"/>
            <w:noWrap/>
            <w:vAlign w:val="bottom"/>
            <w:hideMark/>
          </w:tcPr>
          <w:p w14:paraId="4225A7A8"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399DB35F"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71F70718" w14:textId="77777777" w:rsidR="00D40CA6" w:rsidRPr="00D40CA6" w:rsidRDefault="00D40CA6" w:rsidP="00D40CA6">
            <w:pPr>
              <w:spacing w:before="0" w:beforeAutospacing="0" w:after="0" w:afterAutospacing="0"/>
              <w:jc w:val="left"/>
              <w:rPr>
                <w:rFonts w:ascii="Times New Roman" w:hAnsi="Times New Roman"/>
                <w:sz w:val="20"/>
                <w:szCs w:val="20"/>
              </w:rPr>
            </w:pPr>
          </w:p>
        </w:tc>
      </w:tr>
      <w:tr w:rsidR="00D40CA6" w:rsidRPr="00D40CA6" w14:paraId="481DEF88"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79FB3115"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Výnosy</w:t>
            </w:r>
          </w:p>
        </w:tc>
        <w:tc>
          <w:tcPr>
            <w:tcW w:w="769" w:type="pct"/>
            <w:tcBorders>
              <w:top w:val="nil"/>
              <w:left w:val="nil"/>
              <w:bottom w:val="single" w:sz="4" w:space="0" w:color="9C9D9F"/>
              <w:right w:val="nil"/>
            </w:tcBorders>
            <w:shd w:val="clear" w:color="auto" w:fill="auto"/>
            <w:noWrap/>
            <w:vAlign w:val="bottom"/>
            <w:hideMark/>
          </w:tcPr>
          <w:p w14:paraId="3496F20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1 485 857</w:t>
            </w:r>
          </w:p>
        </w:tc>
        <w:tc>
          <w:tcPr>
            <w:tcW w:w="769" w:type="pct"/>
            <w:tcBorders>
              <w:top w:val="nil"/>
              <w:left w:val="nil"/>
              <w:bottom w:val="single" w:sz="4" w:space="0" w:color="9C9D9F"/>
              <w:right w:val="nil"/>
            </w:tcBorders>
            <w:shd w:val="clear" w:color="auto" w:fill="auto"/>
            <w:noWrap/>
            <w:vAlign w:val="bottom"/>
            <w:hideMark/>
          </w:tcPr>
          <w:p w14:paraId="1DCF087A"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1 523 914</w:t>
            </w:r>
          </w:p>
        </w:tc>
        <w:tc>
          <w:tcPr>
            <w:tcW w:w="772" w:type="pct"/>
            <w:tcBorders>
              <w:top w:val="nil"/>
              <w:left w:val="nil"/>
              <w:bottom w:val="single" w:sz="4" w:space="0" w:color="9C9D9F"/>
              <w:right w:val="nil"/>
            </w:tcBorders>
            <w:shd w:val="clear" w:color="auto" w:fill="auto"/>
            <w:noWrap/>
            <w:vAlign w:val="bottom"/>
            <w:hideMark/>
          </w:tcPr>
          <w:p w14:paraId="2A84EA5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2,6%</w:t>
            </w:r>
          </w:p>
        </w:tc>
      </w:tr>
      <w:tr w:rsidR="00D40CA6" w:rsidRPr="00D40CA6" w14:paraId="08F2145A" w14:textId="77777777" w:rsidTr="00D40CA6">
        <w:trPr>
          <w:trHeight w:val="255"/>
        </w:trPr>
        <w:tc>
          <w:tcPr>
            <w:tcW w:w="2690" w:type="pct"/>
            <w:tcBorders>
              <w:top w:val="nil"/>
              <w:left w:val="nil"/>
              <w:bottom w:val="nil"/>
              <w:right w:val="nil"/>
            </w:tcBorders>
            <w:shd w:val="clear" w:color="auto" w:fill="auto"/>
            <w:noWrap/>
            <w:vAlign w:val="bottom"/>
            <w:hideMark/>
          </w:tcPr>
          <w:p w14:paraId="3F7B008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p>
        </w:tc>
        <w:tc>
          <w:tcPr>
            <w:tcW w:w="769" w:type="pct"/>
            <w:tcBorders>
              <w:top w:val="nil"/>
              <w:left w:val="nil"/>
              <w:bottom w:val="nil"/>
              <w:right w:val="nil"/>
            </w:tcBorders>
            <w:shd w:val="clear" w:color="auto" w:fill="auto"/>
            <w:noWrap/>
            <w:vAlign w:val="bottom"/>
            <w:hideMark/>
          </w:tcPr>
          <w:p w14:paraId="6CD05039"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0EA28D5A"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0D1565E1"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64ABE69D"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4A03693B"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Spotřeba materiálu a služeb</w:t>
            </w:r>
          </w:p>
        </w:tc>
        <w:tc>
          <w:tcPr>
            <w:tcW w:w="769" w:type="pct"/>
            <w:tcBorders>
              <w:top w:val="nil"/>
              <w:left w:val="nil"/>
              <w:bottom w:val="single" w:sz="4" w:space="0" w:color="9C9D9F"/>
              <w:right w:val="nil"/>
            </w:tcBorders>
            <w:shd w:val="clear" w:color="auto" w:fill="auto"/>
            <w:noWrap/>
            <w:vAlign w:val="bottom"/>
            <w:hideMark/>
          </w:tcPr>
          <w:p w14:paraId="7FE8E08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-1 126 234</w:t>
            </w:r>
          </w:p>
        </w:tc>
        <w:tc>
          <w:tcPr>
            <w:tcW w:w="769" w:type="pct"/>
            <w:tcBorders>
              <w:top w:val="nil"/>
              <w:left w:val="nil"/>
              <w:bottom w:val="single" w:sz="4" w:space="0" w:color="9C9D9F"/>
              <w:right w:val="nil"/>
            </w:tcBorders>
            <w:shd w:val="clear" w:color="auto" w:fill="auto"/>
            <w:noWrap/>
            <w:vAlign w:val="bottom"/>
            <w:hideMark/>
          </w:tcPr>
          <w:p w14:paraId="23FADB6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-1 103 719</w:t>
            </w:r>
          </w:p>
        </w:tc>
        <w:tc>
          <w:tcPr>
            <w:tcW w:w="772" w:type="pct"/>
            <w:tcBorders>
              <w:top w:val="nil"/>
              <w:left w:val="nil"/>
              <w:bottom w:val="single" w:sz="4" w:space="0" w:color="9C9D9F"/>
              <w:right w:val="nil"/>
            </w:tcBorders>
            <w:shd w:val="clear" w:color="auto" w:fill="auto"/>
            <w:noWrap/>
            <w:vAlign w:val="bottom"/>
            <w:hideMark/>
          </w:tcPr>
          <w:p w14:paraId="69BF22E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-2,0%</w:t>
            </w:r>
          </w:p>
        </w:tc>
      </w:tr>
      <w:tr w:rsidR="00D40CA6" w:rsidRPr="00D40CA6" w14:paraId="516930C6"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31BB134A"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Osobní náklady</w:t>
            </w:r>
          </w:p>
        </w:tc>
        <w:tc>
          <w:tcPr>
            <w:tcW w:w="769" w:type="pct"/>
            <w:tcBorders>
              <w:top w:val="nil"/>
              <w:left w:val="nil"/>
              <w:bottom w:val="single" w:sz="4" w:space="0" w:color="9C9D9F"/>
              <w:right w:val="nil"/>
            </w:tcBorders>
            <w:shd w:val="clear" w:color="auto" w:fill="auto"/>
            <w:noWrap/>
            <w:vAlign w:val="bottom"/>
            <w:hideMark/>
          </w:tcPr>
          <w:p w14:paraId="70DFDA3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-95 578</w:t>
            </w:r>
          </w:p>
        </w:tc>
        <w:tc>
          <w:tcPr>
            <w:tcW w:w="769" w:type="pct"/>
            <w:tcBorders>
              <w:top w:val="nil"/>
              <w:left w:val="nil"/>
              <w:bottom w:val="single" w:sz="4" w:space="0" w:color="9C9D9F"/>
              <w:right w:val="nil"/>
            </w:tcBorders>
            <w:shd w:val="clear" w:color="auto" w:fill="auto"/>
            <w:noWrap/>
            <w:vAlign w:val="bottom"/>
            <w:hideMark/>
          </w:tcPr>
          <w:p w14:paraId="56C2819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-86 653</w:t>
            </w:r>
          </w:p>
        </w:tc>
        <w:tc>
          <w:tcPr>
            <w:tcW w:w="772" w:type="pct"/>
            <w:tcBorders>
              <w:top w:val="nil"/>
              <w:left w:val="nil"/>
              <w:bottom w:val="single" w:sz="4" w:space="0" w:color="9C9D9F"/>
              <w:right w:val="nil"/>
            </w:tcBorders>
            <w:shd w:val="clear" w:color="auto" w:fill="auto"/>
            <w:noWrap/>
            <w:vAlign w:val="bottom"/>
            <w:hideMark/>
          </w:tcPr>
          <w:p w14:paraId="7EF3289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-9,3%</w:t>
            </w:r>
          </w:p>
        </w:tc>
      </w:tr>
      <w:tr w:rsidR="00D40CA6" w:rsidRPr="00D40CA6" w14:paraId="5B7695FE"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4B8108F3"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Ostatní provozní výnosy/(náklady) (netto)</w:t>
            </w:r>
          </w:p>
        </w:tc>
        <w:tc>
          <w:tcPr>
            <w:tcW w:w="769" w:type="pct"/>
            <w:tcBorders>
              <w:top w:val="nil"/>
              <w:left w:val="nil"/>
              <w:bottom w:val="single" w:sz="4" w:space="0" w:color="9C9D9F"/>
              <w:right w:val="nil"/>
            </w:tcBorders>
            <w:shd w:val="clear" w:color="auto" w:fill="auto"/>
            <w:noWrap/>
            <w:vAlign w:val="bottom"/>
            <w:hideMark/>
          </w:tcPr>
          <w:p w14:paraId="3041372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-13 136</w:t>
            </w:r>
          </w:p>
        </w:tc>
        <w:tc>
          <w:tcPr>
            <w:tcW w:w="769" w:type="pct"/>
            <w:tcBorders>
              <w:top w:val="nil"/>
              <w:left w:val="nil"/>
              <w:bottom w:val="single" w:sz="4" w:space="0" w:color="9C9D9F"/>
              <w:right w:val="nil"/>
            </w:tcBorders>
            <w:shd w:val="clear" w:color="auto" w:fill="auto"/>
            <w:noWrap/>
            <w:vAlign w:val="bottom"/>
            <w:hideMark/>
          </w:tcPr>
          <w:p w14:paraId="50ECD98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1 506</w:t>
            </w:r>
          </w:p>
        </w:tc>
        <w:tc>
          <w:tcPr>
            <w:tcW w:w="772" w:type="pct"/>
            <w:tcBorders>
              <w:top w:val="nil"/>
              <w:left w:val="nil"/>
              <w:bottom w:val="single" w:sz="4" w:space="0" w:color="9C9D9F"/>
              <w:right w:val="nil"/>
            </w:tcBorders>
            <w:shd w:val="clear" w:color="auto" w:fill="auto"/>
            <w:noWrap/>
            <w:vAlign w:val="bottom"/>
            <w:hideMark/>
          </w:tcPr>
          <w:p w14:paraId="2963245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n/a</w:t>
            </w:r>
          </w:p>
        </w:tc>
      </w:tr>
      <w:tr w:rsidR="00D40CA6" w:rsidRPr="00D40CA6" w14:paraId="284D3177" w14:textId="77777777" w:rsidTr="00D40CA6">
        <w:trPr>
          <w:trHeight w:val="315"/>
        </w:trPr>
        <w:tc>
          <w:tcPr>
            <w:tcW w:w="2690" w:type="pct"/>
            <w:tcBorders>
              <w:top w:val="nil"/>
              <w:left w:val="nil"/>
              <w:bottom w:val="single" w:sz="4" w:space="0" w:color="9C9D9F"/>
              <w:right w:val="nil"/>
            </w:tcBorders>
            <w:shd w:val="clear" w:color="auto" w:fill="auto"/>
            <w:noWrap/>
            <w:vAlign w:val="bottom"/>
            <w:hideMark/>
          </w:tcPr>
          <w:p w14:paraId="6F65106E"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EBITDA</w:t>
            </w:r>
          </w:p>
        </w:tc>
        <w:tc>
          <w:tcPr>
            <w:tcW w:w="769" w:type="pct"/>
            <w:tcBorders>
              <w:top w:val="nil"/>
              <w:left w:val="nil"/>
              <w:bottom w:val="single" w:sz="4" w:space="0" w:color="9C9D9F"/>
              <w:right w:val="nil"/>
            </w:tcBorders>
            <w:shd w:val="clear" w:color="auto" w:fill="auto"/>
            <w:noWrap/>
            <w:vAlign w:val="bottom"/>
            <w:hideMark/>
          </w:tcPr>
          <w:p w14:paraId="13344007"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250 909</w:t>
            </w:r>
          </w:p>
        </w:tc>
        <w:tc>
          <w:tcPr>
            <w:tcW w:w="769" w:type="pct"/>
            <w:tcBorders>
              <w:top w:val="nil"/>
              <w:left w:val="nil"/>
              <w:bottom w:val="single" w:sz="4" w:space="0" w:color="9C9D9F"/>
              <w:right w:val="nil"/>
            </w:tcBorders>
            <w:shd w:val="clear" w:color="auto" w:fill="auto"/>
            <w:noWrap/>
            <w:vAlign w:val="bottom"/>
            <w:hideMark/>
          </w:tcPr>
          <w:p w14:paraId="56890DF4"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335 048</w:t>
            </w:r>
          </w:p>
        </w:tc>
        <w:tc>
          <w:tcPr>
            <w:tcW w:w="772" w:type="pct"/>
            <w:tcBorders>
              <w:top w:val="nil"/>
              <w:left w:val="nil"/>
              <w:bottom w:val="single" w:sz="4" w:space="0" w:color="9C9D9F"/>
              <w:right w:val="nil"/>
            </w:tcBorders>
            <w:shd w:val="clear" w:color="auto" w:fill="auto"/>
            <w:noWrap/>
            <w:vAlign w:val="bottom"/>
            <w:hideMark/>
          </w:tcPr>
          <w:p w14:paraId="62E9396F"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33,5%</w:t>
            </w:r>
          </w:p>
        </w:tc>
      </w:tr>
      <w:tr w:rsidR="00D40CA6" w:rsidRPr="00D40CA6" w14:paraId="13125C97"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346F696A" w14:textId="77777777" w:rsidR="00D40CA6" w:rsidRPr="00D40CA6" w:rsidRDefault="00D40CA6" w:rsidP="00D40CA6">
            <w:pPr>
              <w:spacing w:before="0" w:beforeAutospacing="0" w:after="0" w:afterAutospacing="0"/>
              <w:jc w:val="left"/>
              <w:rPr>
                <w:rFonts w:ascii="Calibri" w:hAnsi="Calibri" w:cs="Calibri"/>
                <w:b/>
                <w:bCs/>
                <w:i/>
                <w:iCs/>
                <w:sz w:val="20"/>
                <w:szCs w:val="20"/>
              </w:rPr>
            </w:pPr>
            <w:r w:rsidRPr="00D40CA6">
              <w:rPr>
                <w:rFonts w:ascii="Calibri" w:hAnsi="Calibri" w:cs="Calibri"/>
                <w:b/>
                <w:bCs/>
                <w:i/>
                <w:iCs/>
                <w:sz w:val="20"/>
                <w:szCs w:val="20"/>
              </w:rPr>
              <w:t xml:space="preserve">EBITDA marže </w:t>
            </w:r>
          </w:p>
        </w:tc>
        <w:tc>
          <w:tcPr>
            <w:tcW w:w="769" w:type="pct"/>
            <w:tcBorders>
              <w:top w:val="nil"/>
              <w:left w:val="nil"/>
              <w:bottom w:val="single" w:sz="4" w:space="0" w:color="9C9D9F"/>
              <w:right w:val="nil"/>
            </w:tcBorders>
            <w:shd w:val="clear" w:color="auto" w:fill="auto"/>
            <w:noWrap/>
            <w:vAlign w:val="bottom"/>
            <w:hideMark/>
          </w:tcPr>
          <w:p w14:paraId="312BD06A"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r w:rsidRPr="00D40CA6">
              <w:rPr>
                <w:rFonts w:ascii="Calibri" w:hAnsi="Calibri" w:cs="Calibri"/>
                <w:b/>
                <w:bCs/>
                <w:i/>
                <w:iCs/>
                <w:sz w:val="20"/>
                <w:szCs w:val="20"/>
              </w:rPr>
              <w:t>16,9%</w:t>
            </w:r>
          </w:p>
        </w:tc>
        <w:tc>
          <w:tcPr>
            <w:tcW w:w="769" w:type="pct"/>
            <w:tcBorders>
              <w:top w:val="nil"/>
              <w:left w:val="nil"/>
              <w:bottom w:val="single" w:sz="4" w:space="0" w:color="9C9D9F"/>
              <w:right w:val="nil"/>
            </w:tcBorders>
            <w:shd w:val="clear" w:color="auto" w:fill="auto"/>
            <w:noWrap/>
            <w:vAlign w:val="bottom"/>
            <w:hideMark/>
          </w:tcPr>
          <w:p w14:paraId="78E7423A"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r w:rsidRPr="00D40CA6">
              <w:rPr>
                <w:rFonts w:ascii="Calibri" w:hAnsi="Calibri" w:cs="Calibri"/>
                <w:b/>
                <w:bCs/>
                <w:i/>
                <w:iCs/>
                <w:sz w:val="20"/>
                <w:szCs w:val="20"/>
              </w:rPr>
              <w:t>22,0%</w:t>
            </w:r>
          </w:p>
        </w:tc>
        <w:tc>
          <w:tcPr>
            <w:tcW w:w="772" w:type="pct"/>
            <w:tcBorders>
              <w:top w:val="nil"/>
              <w:left w:val="nil"/>
              <w:bottom w:val="single" w:sz="4" w:space="0" w:color="9C9D9F"/>
              <w:right w:val="nil"/>
            </w:tcBorders>
            <w:shd w:val="clear" w:color="auto" w:fill="auto"/>
            <w:noWrap/>
            <w:vAlign w:val="bottom"/>
            <w:hideMark/>
          </w:tcPr>
          <w:p w14:paraId="5AE4B576"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r w:rsidRPr="00D40CA6">
              <w:rPr>
                <w:rFonts w:ascii="Calibri" w:hAnsi="Calibri" w:cs="Calibri"/>
                <w:b/>
                <w:bCs/>
                <w:i/>
                <w:iCs/>
                <w:sz w:val="20"/>
                <w:szCs w:val="20"/>
              </w:rPr>
              <w:t>5,1 p.b.</w:t>
            </w:r>
          </w:p>
        </w:tc>
      </w:tr>
      <w:tr w:rsidR="00D40CA6" w:rsidRPr="00D40CA6" w14:paraId="461AFA12" w14:textId="77777777" w:rsidTr="00D40CA6">
        <w:trPr>
          <w:trHeight w:val="255"/>
        </w:trPr>
        <w:tc>
          <w:tcPr>
            <w:tcW w:w="2690" w:type="pct"/>
            <w:tcBorders>
              <w:top w:val="nil"/>
              <w:left w:val="nil"/>
              <w:bottom w:val="nil"/>
              <w:right w:val="nil"/>
            </w:tcBorders>
            <w:shd w:val="clear" w:color="auto" w:fill="auto"/>
            <w:noWrap/>
            <w:vAlign w:val="bottom"/>
            <w:hideMark/>
          </w:tcPr>
          <w:p w14:paraId="4276D5D6" w14:textId="77777777" w:rsidR="00D40CA6" w:rsidRPr="00D40CA6" w:rsidRDefault="00D40CA6" w:rsidP="00D40CA6">
            <w:pPr>
              <w:spacing w:before="0" w:beforeAutospacing="0" w:after="0" w:afterAutospacing="0"/>
              <w:ind w:firstLineChars="100" w:firstLine="200"/>
              <w:jc w:val="right"/>
              <w:rPr>
                <w:rFonts w:ascii="Calibri" w:hAnsi="Calibri" w:cs="Calibri"/>
                <w:b/>
                <w:bCs/>
                <w:i/>
                <w:iCs/>
                <w:sz w:val="20"/>
                <w:szCs w:val="20"/>
              </w:rPr>
            </w:pPr>
          </w:p>
        </w:tc>
        <w:tc>
          <w:tcPr>
            <w:tcW w:w="769" w:type="pct"/>
            <w:tcBorders>
              <w:top w:val="nil"/>
              <w:left w:val="nil"/>
              <w:bottom w:val="nil"/>
              <w:right w:val="nil"/>
            </w:tcBorders>
            <w:shd w:val="clear" w:color="auto" w:fill="auto"/>
            <w:noWrap/>
            <w:vAlign w:val="bottom"/>
            <w:hideMark/>
          </w:tcPr>
          <w:p w14:paraId="63F6496F"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7A6C073B"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1D5E4F75"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10843588" w14:textId="77777777" w:rsidTr="00D40CA6">
        <w:trPr>
          <w:trHeight w:val="255"/>
        </w:trPr>
        <w:tc>
          <w:tcPr>
            <w:tcW w:w="2690" w:type="pct"/>
            <w:tcBorders>
              <w:top w:val="nil"/>
              <w:left w:val="nil"/>
              <w:bottom w:val="single" w:sz="4" w:space="0" w:color="9C9D9F"/>
              <w:right w:val="nil"/>
            </w:tcBorders>
            <w:shd w:val="clear" w:color="auto" w:fill="auto"/>
            <w:vAlign w:val="bottom"/>
            <w:hideMark/>
          </w:tcPr>
          <w:p w14:paraId="13F851B8"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Odpisy dlouhodobého nehmotného a hmotného majetku</w:t>
            </w:r>
          </w:p>
        </w:tc>
        <w:tc>
          <w:tcPr>
            <w:tcW w:w="769" w:type="pct"/>
            <w:tcBorders>
              <w:top w:val="nil"/>
              <w:left w:val="nil"/>
              <w:bottom w:val="single" w:sz="4" w:space="0" w:color="9C9D9F"/>
              <w:right w:val="nil"/>
            </w:tcBorders>
            <w:shd w:val="clear" w:color="auto" w:fill="auto"/>
            <w:noWrap/>
            <w:vAlign w:val="bottom"/>
            <w:hideMark/>
          </w:tcPr>
          <w:p w14:paraId="3863B6C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-110 741</w:t>
            </w:r>
          </w:p>
        </w:tc>
        <w:tc>
          <w:tcPr>
            <w:tcW w:w="769" w:type="pct"/>
            <w:tcBorders>
              <w:top w:val="nil"/>
              <w:left w:val="nil"/>
              <w:bottom w:val="single" w:sz="4" w:space="0" w:color="9C9D9F"/>
              <w:right w:val="nil"/>
            </w:tcBorders>
            <w:shd w:val="clear" w:color="auto" w:fill="auto"/>
            <w:noWrap/>
            <w:vAlign w:val="bottom"/>
            <w:hideMark/>
          </w:tcPr>
          <w:p w14:paraId="64675C8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-116 111</w:t>
            </w:r>
          </w:p>
        </w:tc>
        <w:tc>
          <w:tcPr>
            <w:tcW w:w="772" w:type="pct"/>
            <w:tcBorders>
              <w:top w:val="nil"/>
              <w:left w:val="nil"/>
              <w:bottom w:val="single" w:sz="4" w:space="0" w:color="9C9D9F"/>
              <w:right w:val="nil"/>
            </w:tcBorders>
            <w:shd w:val="clear" w:color="auto" w:fill="auto"/>
            <w:noWrap/>
            <w:vAlign w:val="bottom"/>
            <w:hideMark/>
          </w:tcPr>
          <w:p w14:paraId="6C54E93A"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4,8%</w:t>
            </w:r>
          </w:p>
        </w:tc>
      </w:tr>
      <w:tr w:rsidR="00D40CA6" w:rsidRPr="00D40CA6" w14:paraId="3783944E" w14:textId="77777777" w:rsidTr="00D40CA6">
        <w:trPr>
          <w:trHeight w:val="315"/>
        </w:trPr>
        <w:tc>
          <w:tcPr>
            <w:tcW w:w="2690" w:type="pct"/>
            <w:tcBorders>
              <w:top w:val="nil"/>
              <w:left w:val="nil"/>
              <w:bottom w:val="single" w:sz="4" w:space="0" w:color="9C9D9F"/>
              <w:right w:val="nil"/>
            </w:tcBorders>
            <w:shd w:val="clear" w:color="auto" w:fill="auto"/>
            <w:noWrap/>
            <w:vAlign w:val="bottom"/>
            <w:hideMark/>
          </w:tcPr>
          <w:p w14:paraId="3B0665C4"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Provozní zisk</w:t>
            </w:r>
          </w:p>
        </w:tc>
        <w:tc>
          <w:tcPr>
            <w:tcW w:w="769" w:type="pct"/>
            <w:tcBorders>
              <w:top w:val="nil"/>
              <w:left w:val="nil"/>
              <w:bottom w:val="single" w:sz="4" w:space="0" w:color="9C9D9F"/>
              <w:right w:val="nil"/>
            </w:tcBorders>
            <w:shd w:val="clear" w:color="auto" w:fill="auto"/>
            <w:noWrap/>
            <w:vAlign w:val="bottom"/>
            <w:hideMark/>
          </w:tcPr>
          <w:p w14:paraId="7F7AF55A"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140 169</w:t>
            </w:r>
          </w:p>
        </w:tc>
        <w:tc>
          <w:tcPr>
            <w:tcW w:w="769" w:type="pct"/>
            <w:tcBorders>
              <w:top w:val="nil"/>
              <w:left w:val="nil"/>
              <w:bottom w:val="single" w:sz="4" w:space="0" w:color="9C9D9F"/>
              <w:right w:val="nil"/>
            </w:tcBorders>
            <w:shd w:val="clear" w:color="auto" w:fill="auto"/>
            <w:noWrap/>
            <w:vAlign w:val="bottom"/>
            <w:hideMark/>
          </w:tcPr>
          <w:p w14:paraId="2B238624"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218 937</w:t>
            </w:r>
          </w:p>
        </w:tc>
        <w:tc>
          <w:tcPr>
            <w:tcW w:w="772" w:type="pct"/>
            <w:tcBorders>
              <w:top w:val="nil"/>
              <w:left w:val="nil"/>
              <w:bottom w:val="single" w:sz="4" w:space="0" w:color="9C9D9F"/>
              <w:right w:val="nil"/>
            </w:tcBorders>
            <w:shd w:val="clear" w:color="auto" w:fill="auto"/>
            <w:noWrap/>
            <w:vAlign w:val="bottom"/>
            <w:hideMark/>
          </w:tcPr>
          <w:p w14:paraId="0CDDE414"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56,2%</w:t>
            </w:r>
          </w:p>
        </w:tc>
      </w:tr>
      <w:tr w:rsidR="00D40CA6" w:rsidRPr="00D40CA6" w14:paraId="5C8488F8" w14:textId="77777777" w:rsidTr="00D40CA6">
        <w:trPr>
          <w:trHeight w:val="255"/>
        </w:trPr>
        <w:tc>
          <w:tcPr>
            <w:tcW w:w="2690" w:type="pct"/>
            <w:tcBorders>
              <w:top w:val="nil"/>
              <w:left w:val="nil"/>
              <w:bottom w:val="nil"/>
              <w:right w:val="nil"/>
            </w:tcBorders>
            <w:shd w:val="clear" w:color="auto" w:fill="auto"/>
            <w:noWrap/>
            <w:vAlign w:val="bottom"/>
            <w:hideMark/>
          </w:tcPr>
          <w:p w14:paraId="4DDD4149"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3C1E7C44"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78920202"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1464079B"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0499D6E2"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63876CC1"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Kurzové zisky a ostatní finanční výnosy</w:t>
            </w:r>
          </w:p>
        </w:tc>
        <w:tc>
          <w:tcPr>
            <w:tcW w:w="769" w:type="pct"/>
            <w:tcBorders>
              <w:top w:val="nil"/>
              <w:left w:val="nil"/>
              <w:bottom w:val="single" w:sz="4" w:space="0" w:color="9C9D9F"/>
              <w:right w:val="nil"/>
            </w:tcBorders>
            <w:shd w:val="clear" w:color="auto" w:fill="auto"/>
            <w:noWrap/>
            <w:vAlign w:val="bottom"/>
            <w:hideMark/>
          </w:tcPr>
          <w:p w14:paraId="5D64201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187 014</w:t>
            </w:r>
          </w:p>
        </w:tc>
        <w:tc>
          <w:tcPr>
            <w:tcW w:w="769" w:type="pct"/>
            <w:tcBorders>
              <w:top w:val="nil"/>
              <w:left w:val="nil"/>
              <w:bottom w:val="single" w:sz="4" w:space="0" w:color="9C9D9F"/>
              <w:right w:val="nil"/>
            </w:tcBorders>
            <w:shd w:val="clear" w:color="auto" w:fill="auto"/>
            <w:noWrap/>
            <w:vAlign w:val="bottom"/>
            <w:hideMark/>
          </w:tcPr>
          <w:p w14:paraId="652F4B5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-13 875</w:t>
            </w:r>
          </w:p>
        </w:tc>
        <w:tc>
          <w:tcPr>
            <w:tcW w:w="772" w:type="pct"/>
            <w:tcBorders>
              <w:top w:val="nil"/>
              <w:left w:val="nil"/>
              <w:bottom w:val="single" w:sz="4" w:space="0" w:color="9C9D9F"/>
              <w:right w:val="nil"/>
            </w:tcBorders>
            <w:shd w:val="clear" w:color="auto" w:fill="auto"/>
            <w:noWrap/>
            <w:vAlign w:val="bottom"/>
            <w:hideMark/>
          </w:tcPr>
          <w:p w14:paraId="6269817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n/a</w:t>
            </w:r>
          </w:p>
        </w:tc>
      </w:tr>
      <w:tr w:rsidR="00D40CA6" w:rsidRPr="00D40CA6" w14:paraId="074AB99C"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1CD5453D"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Kurzové ztráty a ostatní finanční náklady</w:t>
            </w:r>
          </w:p>
        </w:tc>
        <w:tc>
          <w:tcPr>
            <w:tcW w:w="769" w:type="pct"/>
            <w:tcBorders>
              <w:top w:val="nil"/>
              <w:left w:val="nil"/>
              <w:bottom w:val="single" w:sz="4" w:space="0" w:color="9C9D9F"/>
              <w:right w:val="nil"/>
            </w:tcBorders>
            <w:shd w:val="clear" w:color="auto" w:fill="auto"/>
            <w:noWrap/>
            <w:vAlign w:val="bottom"/>
            <w:hideMark/>
          </w:tcPr>
          <w:p w14:paraId="3CCE044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-241 724</w:t>
            </w:r>
          </w:p>
        </w:tc>
        <w:tc>
          <w:tcPr>
            <w:tcW w:w="769" w:type="pct"/>
            <w:tcBorders>
              <w:top w:val="nil"/>
              <w:left w:val="nil"/>
              <w:bottom w:val="single" w:sz="4" w:space="0" w:color="9C9D9F"/>
              <w:right w:val="nil"/>
            </w:tcBorders>
            <w:shd w:val="clear" w:color="auto" w:fill="auto"/>
            <w:noWrap/>
            <w:vAlign w:val="bottom"/>
            <w:hideMark/>
          </w:tcPr>
          <w:p w14:paraId="4687372A" w14:textId="411EB846"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24 952</w:t>
            </w:r>
          </w:p>
        </w:tc>
        <w:tc>
          <w:tcPr>
            <w:tcW w:w="772" w:type="pct"/>
            <w:tcBorders>
              <w:top w:val="nil"/>
              <w:left w:val="nil"/>
              <w:bottom w:val="single" w:sz="4" w:space="0" w:color="9C9D9F"/>
              <w:right w:val="nil"/>
            </w:tcBorders>
            <w:shd w:val="clear" w:color="auto" w:fill="auto"/>
            <w:noWrap/>
            <w:vAlign w:val="bottom"/>
            <w:hideMark/>
          </w:tcPr>
          <w:p w14:paraId="4C5C2D8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n/a</w:t>
            </w:r>
          </w:p>
        </w:tc>
      </w:tr>
      <w:tr w:rsidR="00D40CA6" w:rsidRPr="00D40CA6" w14:paraId="2365D656"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58BF3FEE"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Úrokové výnosy</w:t>
            </w:r>
          </w:p>
        </w:tc>
        <w:tc>
          <w:tcPr>
            <w:tcW w:w="769" w:type="pct"/>
            <w:tcBorders>
              <w:top w:val="nil"/>
              <w:left w:val="nil"/>
              <w:bottom w:val="single" w:sz="4" w:space="0" w:color="9C9D9F"/>
              <w:right w:val="nil"/>
            </w:tcBorders>
            <w:shd w:val="clear" w:color="auto" w:fill="auto"/>
            <w:noWrap/>
            <w:vAlign w:val="bottom"/>
            <w:hideMark/>
          </w:tcPr>
          <w:p w14:paraId="3C04786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322</w:t>
            </w:r>
          </w:p>
        </w:tc>
        <w:tc>
          <w:tcPr>
            <w:tcW w:w="769" w:type="pct"/>
            <w:tcBorders>
              <w:top w:val="nil"/>
              <w:left w:val="nil"/>
              <w:bottom w:val="single" w:sz="4" w:space="0" w:color="9C9D9F"/>
              <w:right w:val="nil"/>
            </w:tcBorders>
            <w:shd w:val="clear" w:color="auto" w:fill="auto"/>
            <w:noWrap/>
            <w:vAlign w:val="bottom"/>
            <w:hideMark/>
          </w:tcPr>
          <w:p w14:paraId="128B292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961</w:t>
            </w:r>
          </w:p>
        </w:tc>
        <w:tc>
          <w:tcPr>
            <w:tcW w:w="772" w:type="pct"/>
            <w:tcBorders>
              <w:top w:val="nil"/>
              <w:left w:val="nil"/>
              <w:bottom w:val="single" w:sz="4" w:space="0" w:color="9C9D9F"/>
              <w:right w:val="nil"/>
            </w:tcBorders>
            <w:shd w:val="clear" w:color="auto" w:fill="auto"/>
            <w:noWrap/>
            <w:vAlign w:val="bottom"/>
            <w:hideMark/>
          </w:tcPr>
          <w:p w14:paraId="7FB6D06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198,4%</w:t>
            </w:r>
          </w:p>
        </w:tc>
      </w:tr>
      <w:tr w:rsidR="00D40CA6" w:rsidRPr="00D40CA6" w14:paraId="537A5DC1"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14DC6FB2"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Úrokové náklady</w:t>
            </w:r>
          </w:p>
        </w:tc>
        <w:tc>
          <w:tcPr>
            <w:tcW w:w="769" w:type="pct"/>
            <w:tcBorders>
              <w:top w:val="nil"/>
              <w:left w:val="nil"/>
              <w:bottom w:val="single" w:sz="4" w:space="0" w:color="9C9D9F"/>
              <w:right w:val="nil"/>
            </w:tcBorders>
            <w:shd w:val="clear" w:color="auto" w:fill="auto"/>
            <w:noWrap/>
            <w:vAlign w:val="bottom"/>
            <w:hideMark/>
          </w:tcPr>
          <w:p w14:paraId="67B5B9F5"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-51 103</w:t>
            </w:r>
          </w:p>
        </w:tc>
        <w:tc>
          <w:tcPr>
            <w:tcW w:w="769" w:type="pct"/>
            <w:tcBorders>
              <w:top w:val="nil"/>
              <w:left w:val="nil"/>
              <w:bottom w:val="single" w:sz="4" w:space="0" w:color="9C9D9F"/>
              <w:right w:val="nil"/>
            </w:tcBorders>
            <w:shd w:val="clear" w:color="auto" w:fill="auto"/>
            <w:noWrap/>
            <w:vAlign w:val="bottom"/>
            <w:hideMark/>
          </w:tcPr>
          <w:p w14:paraId="41ABD1F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-45 855</w:t>
            </w:r>
          </w:p>
        </w:tc>
        <w:tc>
          <w:tcPr>
            <w:tcW w:w="772" w:type="pct"/>
            <w:tcBorders>
              <w:top w:val="nil"/>
              <w:left w:val="nil"/>
              <w:bottom w:val="single" w:sz="4" w:space="0" w:color="9C9D9F"/>
              <w:right w:val="nil"/>
            </w:tcBorders>
            <w:shd w:val="clear" w:color="auto" w:fill="auto"/>
            <w:noWrap/>
            <w:vAlign w:val="bottom"/>
            <w:hideMark/>
          </w:tcPr>
          <w:p w14:paraId="77A36C3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-10,3%</w:t>
            </w:r>
          </w:p>
        </w:tc>
      </w:tr>
      <w:tr w:rsidR="00D40CA6" w:rsidRPr="00D40CA6" w14:paraId="49A434E8" w14:textId="77777777" w:rsidTr="00D40CA6">
        <w:trPr>
          <w:trHeight w:val="315"/>
        </w:trPr>
        <w:tc>
          <w:tcPr>
            <w:tcW w:w="2690" w:type="pct"/>
            <w:tcBorders>
              <w:top w:val="nil"/>
              <w:left w:val="nil"/>
              <w:bottom w:val="single" w:sz="4" w:space="0" w:color="9C9D9F"/>
              <w:right w:val="nil"/>
            </w:tcBorders>
            <w:shd w:val="clear" w:color="auto" w:fill="auto"/>
            <w:noWrap/>
            <w:vAlign w:val="bottom"/>
            <w:hideMark/>
          </w:tcPr>
          <w:p w14:paraId="186B99BF"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Zisk před zdaněním</w:t>
            </w:r>
          </w:p>
        </w:tc>
        <w:tc>
          <w:tcPr>
            <w:tcW w:w="769" w:type="pct"/>
            <w:tcBorders>
              <w:top w:val="nil"/>
              <w:left w:val="nil"/>
              <w:bottom w:val="single" w:sz="4" w:space="0" w:color="9C9D9F"/>
              <w:right w:val="nil"/>
            </w:tcBorders>
            <w:shd w:val="clear" w:color="auto" w:fill="auto"/>
            <w:noWrap/>
            <w:vAlign w:val="bottom"/>
            <w:hideMark/>
          </w:tcPr>
          <w:p w14:paraId="72F5E5B0"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34 678</w:t>
            </w:r>
          </w:p>
        </w:tc>
        <w:tc>
          <w:tcPr>
            <w:tcW w:w="769" w:type="pct"/>
            <w:tcBorders>
              <w:top w:val="nil"/>
              <w:left w:val="nil"/>
              <w:bottom w:val="single" w:sz="4" w:space="0" w:color="9C9D9F"/>
              <w:right w:val="nil"/>
            </w:tcBorders>
            <w:shd w:val="clear" w:color="auto" w:fill="auto"/>
            <w:noWrap/>
            <w:vAlign w:val="bottom"/>
            <w:hideMark/>
          </w:tcPr>
          <w:p w14:paraId="5E797EB5" w14:textId="5290309E" w:rsidR="00D40CA6" w:rsidRPr="00D40CA6" w:rsidRDefault="00803DB8" w:rsidP="00D40CA6">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185 120</w:t>
            </w:r>
          </w:p>
        </w:tc>
        <w:tc>
          <w:tcPr>
            <w:tcW w:w="772" w:type="pct"/>
            <w:tcBorders>
              <w:top w:val="nil"/>
              <w:left w:val="nil"/>
              <w:bottom w:val="single" w:sz="4" w:space="0" w:color="9C9D9F"/>
              <w:right w:val="nil"/>
            </w:tcBorders>
            <w:shd w:val="clear" w:color="auto" w:fill="auto"/>
            <w:noWrap/>
            <w:vAlign w:val="bottom"/>
            <w:hideMark/>
          </w:tcPr>
          <w:p w14:paraId="75FEC3A3" w14:textId="00A5F96A"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43</w:t>
            </w:r>
            <w:r w:rsidR="00803DB8">
              <w:rPr>
                <w:rFonts w:ascii="Calibri" w:hAnsi="Calibri" w:cs="Calibri"/>
                <w:b/>
                <w:bCs/>
                <w:sz w:val="20"/>
                <w:szCs w:val="20"/>
              </w:rPr>
              <w:t>3,</w:t>
            </w:r>
            <w:r w:rsidRPr="00D40CA6">
              <w:rPr>
                <w:rFonts w:ascii="Calibri" w:hAnsi="Calibri" w:cs="Calibri"/>
                <w:b/>
                <w:bCs/>
                <w:sz w:val="20"/>
                <w:szCs w:val="20"/>
              </w:rPr>
              <w:t>8%</w:t>
            </w:r>
          </w:p>
        </w:tc>
      </w:tr>
      <w:tr w:rsidR="00D40CA6" w:rsidRPr="00D40CA6" w14:paraId="4DB7C66E" w14:textId="77777777" w:rsidTr="00D40CA6">
        <w:trPr>
          <w:trHeight w:val="255"/>
        </w:trPr>
        <w:tc>
          <w:tcPr>
            <w:tcW w:w="2690" w:type="pct"/>
            <w:tcBorders>
              <w:top w:val="nil"/>
              <w:left w:val="nil"/>
              <w:bottom w:val="nil"/>
              <w:right w:val="nil"/>
            </w:tcBorders>
            <w:shd w:val="clear" w:color="auto" w:fill="auto"/>
            <w:noWrap/>
            <w:vAlign w:val="bottom"/>
            <w:hideMark/>
          </w:tcPr>
          <w:p w14:paraId="3B8E8950"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6636A484"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59524FB7"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45C911AC"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67F7F373"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1E4446B9"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 xml:space="preserve">Daň z příjmů – (náklad)/výnos </w:t>
            </w:r>
          </w:p>
        </w:tc>
        <w:tc>
          <w:tcPr>
            <w:tcW w:w="769" w:type="pct"/>
            <w:tcBorders>
              <w:top w:val="nil"/>
              <w:left w:val="nil"/>
              <w:bottom w:val="single" w:sz="4" w:space="0" w:color="9C9D9F"/>
              <w:right w:val="nil"/>
            </w:tcBorders>
            <w:shd w:val="clear" w:color="auto" w:fill="auto"/>
            <w:noWrap/>
            <w:vAlign w:val="bottom"/>
            <w:hideMark/>
          </w:tcPr>
          <w:p w14:paraId="3C59FC1A" w14:textId="7A5E0D14"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-14</w:t>
            </w:r>
            <w:r w:rsidR="00803DB8">
              <w:rPr>
                <w:rFonts w:ascii="Calibri" w:hAnsi="Calibri" w:cs="Calibri"/>
                <w:sz w:val="20"/>
                <w:szCs w:val="20"/>
              </w:rPr>
              <w:t> </w:t>
            </w:r>
            <w:r w:rsidRPr="00D40CA6">
              <w:rPr>
                <w:rFonts w:ascii="Calibri" w:hAnsi="Calibri" w:cs="Calibri"/>
                <w:sz w:val="20"/>
                <w:szCs w:val="20"/>
              </w:rPr>
              <w:t>191</w:t>
            </w:r>
          </w:p>
        </w:tc>
        <w:tc>
          <w:tcPr>
            <w:tcW w:w="769" w:type="pct"/>
            <w:tcBorders>
              <w:top w:val="nil"/>
              <w:left w:val="nil"/>
              <w:bottom w:val="single" w:sz="4" w:space="0" w:color="9C9D9F"/>
              <w:right w:val="nil"/>
            </w:tcBorders>
            <w:shd w:val="clear" w:color="auto" w:fill="auto"/>
            <w:noWrap/>
            <w:vAlign w:val="bottom"/>
            <w:hideMark/>
          </w:tcPr>
          <w:p w14:paraId="63294391" w14:textId="0528B39A"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w:t>
            </w:r>
            <w:r w:rsidR="00803DB8">
              <w:rPr>
                <w:rFonts w:ascii="Calibri" w:hAnsi="Calibri" w:cs="Calibri"/>
                <w:sz w:val="20"/>
                <w:szCs w:val="20"/>
              </w:rPr>
              <w:t> </w:t>
            </w:r>
            <w:r w:rsidRPr="00D40CA6">
              <w:rPr>
                <w:rFonts w:ascii="Calibri" w:hAnsi="Calibri" w:cs="Calibri"/>
                <w:sz w:val="20"/>
                <w:szCs w:val="20"/>
              </w:rPr>
              <w:t>460</w:t>
            </w:r>
          </w:p>
        </w:tc>
        <w:tc>
          <w:tcPr>
            <w:tcW w:w="772" w:type="pct"/>
            <w:tcBorders>
              <w:top w:val="nil"/>
              <w:left w:val="nil"/>
              <w:bottom w:val="single" w:sz="4" w:space="0" w:color="9C9D9F"/>
              <w:right w:val="nil"/>
            </w:tcBorders>
            <w:shd w:val="clear" w:color="auto" w:fill="auto"/>
            <w:noWrap/>
            <w:vAlign w:val="bottom"/>
            <w:hideMark/>
          </w:tcPr>
          <w:p w14:paraId="4111EE8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-5,2%</w:t>
            </w:r>
          </w:p>
        </w:tc>
      </w:tr>
      <w:tr w:rsidR="00D40CA6" w:rsidRPr="00D40CA6" w14:paraId="5CC32E2F" w14:textId="77777777" w:rsidTr="00D40CA6">
        <w:trPr>
          <w:trHeight w:val="300"/>
        </w:trPr>
        <w:tc>
          <w:tcPr>
            <w:tcW w:w="2690" w:type="pct"/>
            <w:tcBorders>
              <w:top w:val="nil"/>
              <w:left w:val="nil"/>
              <w:bottom w:val="single" w:sz="4" w:space="0" w:color="9C9D9F"/>
              <w:right w:val="nil"/>
            </w:tcBorders>
            <w:shd w:val="clear" w:color="auto" w:fill="auto"/>
            <w:noWrap/>
            <w:vAlign w:val="bottom"/>
            <w:hideMark/>
          </w:tcPr>
          <w:p w14:paraId="2E437724"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Čistý zisk po zdanění</w:t>
            </w:r>
          </w:p>
        </w:tc>
        <w:tc>
          <w:tcPr>
            <w:tcW w:w="769" w:type="pct"/>
            <w:tcBorders>
              <w:top w:val="nil"/>
              <w:left w:val="nil"/>
              <w:bottom w:val="single" w:sz="4" w:space="0" w:color="9C9D9F"/>
              <w:right w:val="nil"/>
            </w:tcBorders>
            <w:shd w:val="clear" w:color="auto" w:fill="auto"/>
            <w:noWrap/>
            <w:vAlign w:val="bottom"/>
            <w:hideMark/>
          </w:tcPr>
          <w:p w14:paraId="6D3E7D49"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20 487</w:t>
            </w:r>
          </w:p>
        </w:tc>
        <w:tc>
          <w:tcPr>
            <w:tcW w:w="769" w:type="pct"/>
            <w:tcBorders>
              <w:top w:val="nil"/>
              <w:left w:val="nil"/>
              <w:bottom w:val="single" w:sz="4" w:space="0" w:color="9C9D9F"/>
              <w:right w:val="nil"/>
            </w:tcBorders>
            <w:shd w:val="clear" w:color="auto" w:fill="auto"/>
            <w:noWrap/>
            <w:vAlign w:val="bottom"/>
            <w:hideMark/>
          </w:tcPr>
          <w:p w14:paraId="1159583A" w14:textId="0C652642" w:rsidR="00D40CA6" w:rsidRPr="00D40CA6" w:rsidRDefault="00803DB8" w:rsidP="00D40CA6">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171</w:t>
            </w:r>
            <w:r w:rsidR="00A12AA2">
              <w:rPr>
                <w:rFonts w:ascii="Calibri" w:hAnsi="Calibri" w:cs="Calibri"/>
                <w:b/>
                <w:bCs/>
                <w:sz w:val="20"/>
                <w:szCs w:val="20"/>
              </w:rPr>
              <w:t xml:space="preserve"> </w:t>
            </w:r>
            <w:r>
              <w:rPr>
                <w:rFonts w:ascii="Calibri" w:hAnsi="Calibri" w:cs="Calibri"/>
                <w:b/>
                <w:bCs/>
                <w:sz w:val="20"/>
                <w:szCs w:val="20"/>
              </w:rPr>
              <w:t>660</w:t>
            </w:r>
          </w:p>
        </w:tc>
        <w:tc>
          <w:tcPr>
            <w:tcW w:w="772" w:type="pct"/>
            <w:tcBorders>
              <w:top w:val="nil"/>
              <w:left w:val="nil"/>
              <w:bottom w:val="single" w:sz="4" w:space="0" w:color="9C9D9F"/>
              <w:right w:val="nil"/>
            </w:tcBorders>
            <w:shd w:val="clear" w:color="auto" w:fill="auto"/>
            <w:noWrap/>
            <w:vAlign w:val="bottom"/>
            <w:hideMark/>
          </w:tcPr>
          <w:p w14:paraId="2B9A628B" w14:textId="44B7FE18"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7</w:t>
            </w:r>
            <w:r w:rsidR="00803DB8">
              <w:rPr>
                <w:rFonts w:ascii="Calibri" w:hAnsi="Calibri" w:cs="Calibri"/>
                <w:b/>
                <w:bCs/>
                <w:sz w:val="20"/>
                <w:szCs w:val="20"/>
              </w:rPr>
              <w:t>37,9</w:t>
            </w:r>
            <w:r w:rsidRPr="00D40CA6">
              <w:rPr>
                <w:rFonts w:ascii="Calibri" w:hAnsi="Calibri" w:cs="Calibri"/>
                <w:b/>
                <w:bCs/>
                <w:sz w:val="20"/>
                <w:szCs w:val="20"/>
              </w:rPr>
              <w:t>%</w:t>
            </w:r>
          </w:p>
        </w:tc>
      </w:tr>
      <w:tr w:rsidR="00D40CA6" w:rsidRPr="00D40CA6" w14:paraId="744FDE45" w14:textId="77777777" w:rsidTr="00D40CA6">
        <w:trPr>
          <w:trHeight w:val="255"/>
        </w:trPr>
        <w:tc>
          <w:tcPr>
            <w:tcW w:w="2690" w:type="pct"/>
            <w:tcBorders>
              <w:top w:val="nil"/>
              <w:left w:val="nil"/>
              <w:bottom w:val="nil"/>
              <w:right w:val="nil"/>
            </w:tcBorders>
            <w:shd w:val="clear" w:color="auto" w:fill="auto"/>
            <w:noWrap/>
            <w:vAlign w:val="bottom"/>
            <w:hideMark/>
          </w:tcPr>
          <w:p w14:paraId="46CFAA0C"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27BB7A8F"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5E597E83"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2A575B22"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427540F7" w14:textId="77777777" w:rsidTr="00D40CA6">
        <w:trPr>
          <w:trHeight w:val="255"/>
        </w:trPr>
        <w:tc>
          <w:tcPr>
            <w:tcW w:w="2690" w:type="pct"/>
            <w:tcBorders>
              <w:top w:val="nil"/>
              <w:left w:val="nil"/>
              <w:bottom w:val="nil"/>
              <w:right w:val="nil"/>
            </w:tcBorders>
            <w:shd w:val="clear" w:color="000000" w:fill="9C9D9F"/>
            <w:noWrap/>
            <w:vAlign w:val="bottom"/>
            <w:hideMark/>
          </w:tcPr>
          <w:p w14:paraId="370F02BD"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Ostatní úplný výsledek</w:t>
            </w:r>
          </w:p>
        </w:tc>
        <w:tc>
          <w:tcPr>
            <w:tcW w:w="769" w:type="pct"/>
            <w:tcBorders>
              <w:top w:val="nil"/>
              <w:left w:val="nil"/>
              <w:bottom w:val="nil"/>
              <w:right w:val="nil"/>
            </w:tcBorders>
            <w:shd w:val="clear" w:color="000000" w:fill="9C9D9F"/>
            <w:noWrap/>
            <w:vAlign w:val="bottom"/>
            <w:hideMark/>
          </w:tcPr>
          <w:p w14:paraId="55E8E84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69" w:type="pct"/>
            <w:tcBorders>
              <w:top w:val="nil"/>
              <w:left w:val="nil"/>
              <w:bottom w:val="nil"/>
              <w:right w:val="nil"/>
            </w:tcBorders>
            <w:shd w:val="clear" w:color="000000" w:fill="9C9D9F"/>
            <w:noWrap/>
            <w:vAlign w:val="bottom"/>
            <w:hideMark/>
          </w:tcPr>
          <w:p w14:paraId="63248B1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72" w:type="pct"/>
            <w:tcBorders>
              <w:top w:val="nil"/>
              <w:left w:val="nil"/>
              <w:bottom w:val="nil"/>
              <w:right w:val="nil"/>
            </w:tcBorders>
            <w:shd w:val="clear" w:color="000000" w:fill="9C9D9F"/>
            <w:noWrap/>
            <w:vAlign w:val="bottom"/>
            <w:hideMark/>
          </w:tcPr>
          <w:p w14:paraId="0BF7F4C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63354612"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274A2E0E"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Čistý zisk ze zajištění peněžních toků</w:t>
            </w:r>
          </w:p>
        </w:tc>
        <w:tc>
          <w:tcPr>
            <w:tcW w:w="769" w:type="pct"/>
            <w:tcBorders>
              <w:top w:val="nil"/>
              <w:left w:val="nil"/>
              <w:bottom w:val="single" w:sz="4" w:space="0" w:color="9C9D9F"/>
              <w:right w:val="nil"/>
            </w:tcBorders>
            <w:shd w:val="clear" w:color="auto" w:fill="auto"/>
            <w:noWrap/>
            <w:vAlign w:val="bottom"/>
            <w:hideMark/>
          </w:tcPr>
          <w:p w14:paraId="63D59F4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-2 761</w:t>
            </w:r>
          </w:p>
        </w:tc>
        <w:tc>
          <w:tcPr>
            <w:tcW w:w="769" w:type="pct"/>
            <w:tcBorders>
              <w:top w:val="nil"/>
              <w:left w:val="nil"/>
              <w:bottom w:val="single" w:sz="4" w:space="0" w:color="9C9D9F"/>
              <w:right w:val="nil"/>
            </w:tcBorders>
            <w:shd w:val="clear" w:color="auto" w:fill="auto"/>
            <w:noWrap/>
            <w:vAlign w:val="bottom"/>
            <w:hideMark/>
          </w:tcPr>
          <w:p w14:paraId="154B8E75"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-56 390</w:t>
            </w:r>
          </w:p>
        </w:tc>
        <w:tc>
          <w:tcPr>
            <w:tcW w:w="772" w:type="pct"/>
            <w:tcBorders>
              <w:top w:val="nil"/>
              <w:left w:val="nil"/>
              <w:bottom w:val="single" w:sz="4" w:space="0" w:color="9C9D9F"/>
              <w:right w:val="nil"/>
            </w:tcBorders>
            <w:shd w:val="clear" w:color="auto" w:fill="auto"/>
            <w:noWrap/>
            <w:vAlign w:val="bottom"/>
            <w:hideMark/>
          </w:tcPr>
          <w:p w14:paraId="0EA4CC10" w14:textId="14CDE8F9"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w:t>
            </w:r>
            <w:r w:rsidR="00E9713C">
              <w:rPr>
                <w:rFonts w:ascii="Calibri" w:hAnsi="Calibri" w:cs="Calibri"/>
                <w:sz w:val="20"/>
                <w:szCs w:val="20"/>
              </w:rPr>
              <w:t xml:space="preserve"> </w:t>
            </w:r>
            <w:r w:rsidRPr="00D40CA6">
              <w:rPr>
                <w:rFonts w:ascii="Calibri" w:hAnsi="Calibri" w:cs="Calibri"/>
                <w:sz w:val="20"/>
                <w:szCs w:val="20"/>
              </w:rPr>
              <w:t>942,6%</w:t>
            </w:r>
          </w:p>
        </w:tc>
      </w:tr>
      <w:tr w:rsidR="00D40CA6" w:rsidRPr="00D40CA6" w14:paraId="24872D8F"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0DCE0C97"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Kurzové rozdíly vzniklé z přepočtu</w:t>
            </w:r>
          </w:p>
        </w:tc>
        <w:tc>
          <w:tcPr>
            <w:tcW w:w="769" w:type="pct"/>
            <w:tcBorders>
              <w:top w:val="nil"/>
              <w:left w:val="nil"/>
              <w:bottom w:val="single" w:sz="4" w:space="0" w:color="9C9D9F"/>
              <w:right w:val="nil"/>
            </w:tcBorders>
            <w:shd w:val="clear" w:color="auto" w:fill="auto"/>
            <w:noWrap/>
            <w:vAlign w:val="bottom"/>
            <w:hideMark/>
          </w:tcPr>
          <w:p w14:paraId="34C5AD7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129 211</w:t>
            </w:r>
          </w:p>
        </w:tc>
        <w:tc>
          <w:tcPr>
            <w:tcW w:w="769" w:type="pct"/>
            <w:tcBorders>
              <w:top w:val="nil"/>
              <w:left w:val="nil"/>
              <w:bottom w:val="single" w:sz="4" w:space="0" w:color="9C9D9F"/>
              <w:right w:val="nil"/>
            </w:tcBorders>
            <w:shd w:val="clear" w:color="auto" w:fill="auto"/>
            <w:noWrap/>
            <w:vAlign w:val="bottom"/>
            <w:hideMark/>
          </w:tcPr>
          <w:p w14:paraId="1E9D4378" w14:textId="6AF9EBED"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xml:space="preserve">17 </w:t>
            </w:r>
            <w:r w:rsidR="00803DB8">
              <w:rPr>
                <w:rFonts w:ascii="Calibri" w:hAnsi="Calibri" w:cs="Calibri"/>
                <w:sz w:val="20"/>
                <w:szCs w:val="20"/>
              </w:rPr>
              <w:t>024</w:t>
            </w:r>
          </w:p>
        </w:tc>
        <w:tc>
          <w:tcPr>
            <w:tcW w:w="772" w:type="pct"/>
            <w:tcBorders>
              <w:top w:val="nil"/>
              <w:left w:val="nil"/>
              <w:bottom w:val="single" w:sz="4" w:space="0" w:color="9C9D9F"/>
              <w:right w:val="nil"/>
            </w:tcBorders>
            <w:shd w:val="clear" w:color="auto" w:fill="auto"/>
            <w:noWrap/>
            <w:vAlign w:val="bottom"/>
            <w:hideMark/>
          </w:tcPr>
          <w:p w14:paraId="123208C5"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-86,8%</w:t>
            </w:r>
          </w:p>
        </w:tc>
      </w:tr>
      <w:tr w:rsidR="00D40CA6" w:rsidRPr="00D40CA6" w14:paraId="65E94590" w14:textId="77777777" w:rsidTr="00D40CA6">
        <w:trPr>
          <w:trHeight w:val="315"/>
        </w:trPr>
        <w:tc>
          <w:tcPr>
            <w:tcW w:w="2690" w:type="pct"/>
            <w:tcBorders>
              <w:top w:val="nil"/>
              <w:left w:val="nil"/>
              <w:bottom w:val="single" w:sz="4" w:space="0" w:color="9C9D9F"/>
              <w:right w:val="nil"/>
            </w:tcBorders>
            <w:shd w:val="clear" w:color="auto" w:fill="auto"/>
            <w:noWrap/>
            <w:vAlign w:val="bottom"/>
            <w:hideMark/>
          </w:tcPr>
          <w:p w14:paraId="70EB7F11"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Úplný výsledek za období celkem</w:t>
            </w:r>
          </w:p>
        </w:tc>
        <w:tc>
          <w:tcPr>
            <w:tcW w:w="769" w:type="pct"/>
            <w:tcBorders>
              <w:top w:val="nil"/>
              <w:left w:val="nil"/>
              <w:bottom w:val="single" w:sz="4" w:space="0" w:color="9C9D9F"/>
              <w:right w:val="nil"/>
            </w:tcBorders>
            <w:shd w:val="clear" w:color="auto" w:fill="auto"/>
            <w:noWrap/>
            <w:vAlign w:val="bottom"/>
            <w:hideMark/>
          </w:tcPr>
          <w:p w14:paraId="1576B141"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146 937</w:t>
            </w:r>
          </w:p>
        </w:tc>
        <w:tc>
          <w:tcPr>
            <w:tcW w:w="769" w:type="pct"/>
            <w:tcBorders>
              <w:top w:val="nil"/>
              <w:left w:val="nil"/>
              <w:bottom w:val="single" w:sz="4" w:space="0" w:color="9C9D9F"/>
              <w:right w:val="nil"/>
            </w:tcBorders>
            <w:shd w:val="clear" w:color="auto" w:fill="auto"/>
            <w:noWrap/>
            <w:vAlign w:val="bottom"/>
            <w:hideMark/>
          </w:tcPr>
          <w:p w14:paraId="057ACAAE" w14:textId="10DCC0FC" w:rsidR="00D40CA6" w:rsidRPr="00D40CA6" w:rsidRDefault="00803DB8" w:rsidP="00D40CA6">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132 294</w:t>
            </w:r>
          </w:p>
        </w:tc>
        <w:tc>
          <w:tcPr>
            <w:tcW w:w="772" w:type="pct"/>
            <w:tcBorders>
              <w:top w:val="nil"/>
              <w:left w:val="nil"/>
              <w:bottom w:val="single" w:sz="4" w:space="0" w:color="9C9D9F"/>
              <w:right w:val="nil"/>
            </w:tcBorders>
            <w:shd w:val="clear" w:color="auto" w:fill="auto"/>
            <w:noWrap/>
            <w:vAlign w:val="bottom"/>
            <w:hideMark/>
          </w:tcPr>
          <w:p w14:paraId="52BE344D" w14:textId="748F4B46" w:rsidR="00D40CA6" w:rsidRPr="00D40CA6" w:rsidRDefault="00D40CA6" w:rsidP="00803DB8">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w:t>
            </w:r>
            <w:r w:rsidR="00803DB8">
              <w:rPr>
                <w:rFonts w:ascii="Calibri" w:hAnsi="Calibri" w:cs="Calibri"/>
                <w:b/>
                <w:bCs/>
                <w:sz w:val="20"/>
                <w:szCs w:val="20"/>
              </w:rPr>
              <w:t>10</w:t>
            </w:r>
            <w:r w:rsidRPr="00D40CA6">
              <w:rPr>
                <w:rFonts w:ascii="Calibri" w:hAnsi="Calibri" w:cs="Calibri"/>
                <w:b/>
                <w:bCs/>
                <w:sz w:val="20"/>
                <w:szCs w:val="20"/>
              </w:rPr>
              <w:t>,</w:t>
            </w:r>
            <w:r w:rsidR="00803DB8">
              <w:rPr>
                <w:rFonts w:ascii="Calibri" w:hAnsi="Calibri" w:cs="Calibri"/>
                <w:b/>
                <w:bCs/>
                <w:sz w:val="20"/>
                <w:szCs w:val="20"/>
              </w:rPr>
              <w:t>0</w:t>
            </w:r>
            <w:r w:rsidRPr="00D40CA6">
              <w:rPr>
                <w:rFonts w:ascii="Calibri" w:hAnsi="Calibri" w:cs="Calibri"/>
                <w:b/>
                <w:bCs/>
                <w:sz w:val="20"/>
                <w:szCs w:val="20"/>
              </w:rPr>
              <w:t>%</w:t>
            </w:r>
          </w:p>
        </w:tc>
      </w:tr>
      <w:tr w:rsidR="00D40CA6" w:rsidRPr="00D40CA6" w14:paraId="2A745960" w14:textId="77777777" w:rsidTr="00D40CA6">
        <w:trPr>
          <w:trHeight w:val="105"/>
        </w:trPr>
        <w:tc>
          <w:tcPr>
            <w:tcW w:w="2690" w:type="pct"/>
            <w:tcBorders>
              <w:top w:val="nil"/>
              <w:left w:val="nil"/>
              <w:bottom w:val="nil"/>
              <w:right w:val="nil"/>
            </w:tcBorders>
            <w:shd w:val="clear" w:color="auto" w:fill="auto"/>
            <w:noWrap/>
            <w:vAlign w:val="bottom"/>
            <w:hideMark/>
          </w:tcPr>
          <w:p w14:paraId="411E8C1D"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769" w:type="pct"/>
            <w:tcBorders>
              <w:top w:val="nil"/>
              <w:left w:val="nil"/>
              <w:bottom w:val="nil"/>
              <w:right w:val="nil"/>
            </w:tcBorders>
            <w:shd w:val="clear" w:color="auto" w:fill="auto"/>
            <w:noWrap/>
            <w:vAlign w:val="bottom"/>
            <w:hideMark/>
          </w:tcPr>
          <w:p w14:paraId="4BF21677"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769" w:type="pct"/>
            <w:tcBorders>
              <w:top w:val="nil"/>
              <w:left w:val="nil"/>
              <w:bottom w:val="nil"/>
              <w:right w:val="nil"/>
            </w:tcBorders>
            <w:shd w:val="clear" w:color="auto" w:fill="auto"/>
            <w:noWrap/>
            <w:vAlign w:val="bottom"/>
            <w:hideMark/>
          </w:tcPr>
          <w:p w14:paraId="2154BC95"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c>
          <w:tcPr>
            <w:tcW w:w="772" w:type="pct"/>
            <w:tcBorders>
              <w:top w:val="nil"/>
              <w:left w:val="nil"/>
              <w:bottom w:val="nil"/>
              <w:right w:val="nil"/>
            </w:tcBorders>
            <w:shd w:val="clear" w:color="auto" w:fill="auto"/>
            <w:noWrap/>
            <w:vAlign w:val="bottom"/>
            <w:hideMark/>
          </w:tcPr>
          <w:p w14:paraId="4AD36271"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53F7C0F7" w14:textId="77777777" w:rsidTr="00D40CA6">
        <w:trPr>
          <w:trHeight w:val="255"/>
        </w:trPr>
        <w:tc>
          <w:tcPr>
            <w:tcW w:w="2690" w:type="pct"/>
            <w:tcBorders>
              <w:top w:val="nil"/>
              <w:left w:val="nil"/>
              <w:bottom w:val="nil"/>
              <w:right w:val="nil"/>
            </w:tcBorders>
            <w:shd w:val="clear" w:color="000000" w:fill="9C9D9F"/>
            <w:noWrap/>
            <w:vAlign w:val="bottom"/>
            <w:hideMark/>
          </w:tcPr>
          <w:p w14:paraId="4C9586ED"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Čistý zisk na akcii</w:t>
            </w:r>
          </w:p>
        </w:tc>
        <w:tc>
          <w:tcPr>
            <w:tcW w:w="769" w:type="pct"/>
            <w:tcBorders>
              <w:top w:val="nil"/>
              <w:left w:val="nil"/>
              <w:bottom w:val="nil"/>
              <w:right w:val="nil"/>
            </w:tcBorders>
            <w:shd w:val="clear" w:color="000000" w:fill="9C9D9F"/>
            <w:noWrap/>
            <w:vAlign w:val="bottom"/>
            <w:hideMark/>
          </w:tcPr>
          <w:p w14:paraId="1F65FDC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69" w:type="pct"/>
            <w:tcBorders>
              <w:top w:val="nil"/>
              <w:left w:val="nil"/>
              <w:bottom w:val="nil"/>
              <w:right w:val="nil"/>
            </w:tcBorders>
            <w:shd w:val="clear" w:color="000000" w:fill="9C9D9F"/>
            <w:noWrap/>
            <w:vAlign w:val="bottom"/>
            <w:hideMark/>
          </w:tcPr>
          <w:p w14:paraId="26C5804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772" w:type="pct"/>
            <w:tcBorders>
              <w:top w:val="nil"/>
              <w:left w:val="nil"/>
              <w:bottom w:val="nil"/>
              <w:right w:val="nil"/>
            </w:tcBorders>
            <w:shd w:val="clear" w:color="000000" w:fill="9C9D9F"/>
            <w:noWrap/>
            <w:vAlign w:val="bottom"/>
            <w:hideMark/>
          </w:tcPr>
          <w:p w14:paraId="01D7EEF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75AC2CB0"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62B29CE5"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Základní čistý zisk na akcii (CZK)</w:t>
            </w:r>
          </w:p>
        </w:tc>
        <w:tc>
          <w:tcPr>
            <w:tcW w:w="769" w:type="pct"/>
            <w:tcBorders>
              <w:top w:val="nil"/>
              <w:left w:val="nil"/>
              <w:bottom w:val="single" w:sz="4" w:space="0" w:color="9C9D9F"/>
              <w:right w:val="nil"/>
            </w:tcBorders>
            <w:shd w:val="clear" w:color="auto" w:fill="auto"/>
            <w:noWrap/>
            <w:vAlign w:val="bottom"/>
            <w:hideMark/>
          </w:tcPr>
          <w:p w14:paraId="7939F3E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2,34</w:t>
            </w:r>
          </w:p>
        </w:tc>
        <w:tc>
          <w:tcPr>
            <w:tcW w:w="769" w:type="pct"/>
            <w:tcBorders>
              <w:top w:val="nil"/>
              <w:left w:val="nil"/>
              <w:bottom w:val="single" w:sz="4" w:space="0" w:color="9C9D9F"/>
              <w:right w:val="nil"/>
            </w:tcBorders>
            <w:shd w:val="clear" w:color="auto" w:fill="auto"/>
            <w:noWrap/>
            <w:vAlign w:val="bottom"/>
            <w:hideMark/>
          </w:tcPr>
          <w:p w14:paraId="3F4DCDCA" w14:textId="195559F4"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19,59</w:t>
            </w:r>
            <w:r w:rsidR="00A12AA2">
              <w:rPr>
                <w:rFonts w:ascii="Calibri" w:hAnsi="Calibri" w:cs="Calibri"/>
                <w:sz w:val="20"/>
                <w:szCs w:val="20"/>
              </w:rPr>
              <w:t>*</w:t>
            </w:r>
          </w:p>
        </w:tc>
        <w:tc>
          <w:tcPr>
            <w:tcW w:w="772" w:type="pct"/>
            <w:tcBorders>
              <w:top w:val="nil"/>
              <w:left w:val="nil"/>
              <w:bottom w:val="single" w:sz="4" w:space="0" w:color="9C9D9F"/>
              <w:right w:val="nil"/>
            </w:tcBorders>
            <w:shd w:val="clear" w:color="auto" w:fill="auto"/>
            <w:noWrap/>
            <w:vAlign w:val="bottom"/>
            <w:hideMark/>
          </w:tcPr>
          <w:p w14:paraId="26DC8A23" w14:textId="3BCCF361" w:rsidR="00D40CA6" w:rsidRPr="00D40CA6" w:rsidRDefault="00D40CA6" w:rsidP="00803DB8">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7</w:t>
            </w:r>
            <w:r w:rsidR="00803DB8">
              <w:rPr>
                <w:rFonts w:ascii="Calibri" w:hAnsi="Calibri" w:cs="Calibri"/>
                <w:sz w:val="20"/>
                <w:szCs w:val="20"/>
              </w:rPr>
              <w:t>37</w:t>
            </w:r>
            <w:r w:rsidRPr="00D40CA6">
              <w:rPr>
                <w:rFonts w:ascii="Calibri" w:hAnsi="Calibri" w:cs="Calibri"/>
                <w:sz w:val="20"/>
                <w:szCs w:val="20"/>
              </w:rPr>
              <w:t>,</w:t>
            </w:r>
            <w:r w:rsidR="00803DB8">
              <w:rPr>
                <w:rFonts w:ascii="Calibri" w:hAnsi="Calibri" w:cs="Calibri"/>
                <w:sz w:val="20"/>
                <w:szCs w:val="20"/>
              </w:rPr>
              <w:t>9</w:t>
            </w:r>
            <w:r w:rsidRPr="00D40CA6">
              <w:rPr>
                <w:rFonts w:ascii="Calibri" w:hAnsi="Calibri" w:cs="Calibri"/>
                <w:sz w:val="20"/>
                <w:szCs w:val="20"/>
              </w:rPr>
              <w:t>%</w:t>
            </w:r>
          </w:p>
        </w:tc>
      </w:tr>
      <w:tr w:rsidR="00D40CA6" w:rsidRPr="00D40CA6" w14:paraId="54B868FA" w14:textId="77777777" w:rsidTr="00D40CA6">
        <w:trPr>
          <w:trHeight w:val="255"/>
        </w:trPr>
        <w:tc>
          <w:tcPr>
            <w:tcW w:w="2690" w:type="pct"/>
            <w:tcBorders>
              <w:top w:val="nil"/>
              <w:left w:val="nil"/>
              <w:bottom w:val="single" w:sz="4" w:space="0" w:color="9C9D9F"/>
              <w:right w:val="nil"/>
            </w:tcBorders>
            <w:shd w:val="clear" w:color="auto" w:fill="auto"/>
            <w:noWrap/>
            <w:vAlign w:val="bottom"/>
            <w:hideMark/>
          </w:tcPr>
          <w:p w14:paraId="693B632E"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Zředěný čistý zisk na akcii (CZK)</w:t>
            </w:r>
          </w:p>
        </w:tc>
        <w:tc>
          <w:tcPr>
            <w:tcW w:w="769" w:type="pct"/>
            <w:tcBorders>
              <w:top w:val="nil"/>
              <w:left w:val="nil"/>
              <w:bottom w:val="single" w:sz="4" w:space="0" w:color="9C9D9F"/>
              <w:right w:val="nil"/>
            </w:tcBorders>
            <w:shd w:val="clear" w:color="auto" w:fill="auto"/>
            <w:noWrap/>
            <w:vAlign w:val="bottom"/>
            <w:hideMark/>
          </w:tcPr>
          <w:p w14:paraId="2658D6A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2,33</w:t>
            </w:r>
          </w:p>
        </w:tc>
        <w:tc>
          <w:tcPr>
            <w:tcW w:w="769" w:type="pct"/>
            <w:tcBorders>
              <w:top w:val="nil"/>
              <w:left w:val="nil"/>
              <w:bottom w:val="single" w:sz="4" w:space="0" w:color="9C9D9F"/>
              <w:right w:val="nil"/>
            </w:tcBorders>
            <w:shd w:val="clear" w:color="auto" w:fill="auto"/>
            <w:noWrap/>
            <w:vAlign w:val="bottom"/>
            <w:hideMark/>
          </w:tcPr>
          <w:p w14:paraId="39303ABC" w14:textId="384FB6AC"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19,59</w:t>
            </w:r>
            <w:r w:rsidR="00A12AA2">
              <w:rPr>
                <w:rFonts w:ascii="Calibri" w:hAnsi="Calibri" w:cs="Calibri"/>
                <w:sz w:val="20"/>
                <w:szCs w:val="20"/>
              </w:rPr>
              <w:t>*</w:t>
            </w:r>
          </w:p>
        </w:tc>
        <w:tc>
          <w:tcPr>
            <w:tcW w:w="772" w:type="pct"/>
            <w:tcBorders>
              <w:top w:val="nil"/>
              <w:left w:val="nil"/>
              <w:bottom w:val="single" w:sz="4" w:space="0" w:color="9C9D9F"/>
              <w:right w:val="nil"/>
            </w:tcBorders>
            <w:shd w:val="clear" w:color="auto" w:fill="auto"/>
            <w:noWrap/>
            <w:vAlign w:val="bottom"/>
            <w:hideMark/>
          </w:tcPr>
          <w:p w14:paraId="0A4A0542" w14:textId="7D0114BC" w:rsidR="00D40CA6" w:rsidRPr="00D40CA6" w:rsidRDefault="00D40CA6" w:rsidP="00803DB8">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74</w:t>
            </w:r>
            <w:r w:rsidR="00803DB8">
              <w:rPr>
                <w:rFonts w:ascii="Calibri" w:hAnsi="Calibri" w:cs="Calibri"/>
                <w:sz w:val="20"/>
                <w:szCs w:val="20"/>
              </w:rPr>
              <w:t>0</w:t>
            </w:r>
            <w:r w:rsidRPr="00D40CA6">
              <w:rPr>
                <w:rFonts w:ascii="Calibri" w:hAnsi="Calibri" w:cs="Calibri"/>
                <w:sz w:val="20"/>
                <w:szCs w:val="20"/>
              </w:rPr>
              <w:t>,</w:t>
            </w:r>
            <w:r w:rsidR="00803DB8">
              <w:rPr>
                <w:rFonts w:ascii="Calibri" w:hAnsi="Calibri" w:cs="Calibri"/>
                <w:sz w:val="20"/>
                <w:szCs w:val="20"/>
              </w:rPr>
              <w:t>3</w:t>
            </w:r>
            <w:r w:rsidRPr="00D40CA6">
              <w:rPr>
                <w:rFonts w:ascii="Calibri" w:hAnsi="Calibri" w:cs="Calibri"/>
                <w:sz w:val="20"/>
                <w:szCs w:val="20"/>
              </w:rPr>
              <w:t>%</w:t>
            </w:r>
          </w:p>
        </w:tc>
      </w:tr>
    </w:tbl>
    <w:p w14:paraId="436243C7" w14:textId="115A4896" w:rsidR="00A9481B" w:rsidRPr="00A9481B" w:rsidRDefault="00A9481B" w:rsidP="00A9481B">
      <w:pPr>
        <w:rPr>
          <w:sz w:val="20"/>
          <w:szCs w:val="20"/>
        </w:rPr>
      </w:pPr>
      <w:r w:rsidRPr="00A9481B">
        <w:rPr>
          <w:sz w:val="20"/>
          <w:szCs w:val="20"/>
        </w:rPr>
        <w:t xml:space="preserve">* viz komentář k vývoji čistého zisku na str. </w:t>
      </w:r>
      <w:r>
        <w:rPr>
          <w:sz w:val="20"/>
          <w:szCs w:val="20"/>
        </w:rPr>
        <w:t>8</w:t>
      </w:r>
      <w:r w:rsidR="00A12AA2">
        <w:rPr>
          <w:sz w:val="20"/>
          <w:szCs w:val="20"/>
        </w:rPr>
        <w:t xml:space="preserve"> a výpočet zisku na akcii na str. 28 a 29</w:t>
      </w:r>
    </w:p>
    <w:p w14:paraId="24D3B3A5" w14:textId="4E52BC63" w:rsidR="000C292F" w:rsidRPr="006C048C" w:rsidRDefault="000C292F" w:rsidP="000C292F">
      <w:pPr>
        <w:spacing w:before="0" w:beforeAutospacing="0" w:after="0" w:afterAutospacing="0"/>
        <w:jc w:val="left"/>
        <w:rPr>
          <w:b/>
          <w:bCs/>
          <w:kern w:val="32"/>
          <w:sz w:val="28"/>
          <w:szCs w:val="28"/>
        </w:rPr>
      </w:pPr>
      <w:r w:rsidRPr="006C048C">
        <w:br w:type="page"/>
      </w:r>
    </w:p>
    <w:p w14:paraId="689F863F" w14:textId="77777777" w:rsidR="000C292F" w:rsidRPr="006C048C" w:rsidRDefault="000C292F" w:rsidP="000C292F">
      <w:pPr>
        <w:pStyle w:val="Nadpis2"/>
      </w:pPr>
      <w:bookmarkStart w:id="95" w:name="_Toc522086617"/>
      <w:r w:rsidRPr="006C048C">
        <w:lastRenderedPageBreak/>
        <w:t>Konsolidovaný výkaz o finanční situaci ve zkrácené podobě</w:t>
      </w:r>
      <w:bookmarkEnd w:id="93"/>
      <w:bookmarkEnd w:id="94"/>
      <w:bookmarkEnd w:id="95"/>
    </w:p>
    <w:p w14:paraId="33F3C246" w14:textId="77777777" w:rsidR="00D40CA6" w:rsidRDefault="00D40CA6">
      <w:pPr>
        <w:spacing w:before="0" w:beforeAutospacing="0" w:after="160" w:afterAutospacing="0" w:line="259" w:lineRule="auto"/>
        <w:jc w:val="left"/>
      </w:pPr>
      <w:bookmarkStart w:id="96" w:name="_Toc269111145"/>
      <w:bookmarkStart w:id="97" w:name="_Toc269118418"/>
      <w:bookmarkStart w:id="98" w:name="_Toc269139336"/>
      <w:bookmarkStart w:id="99" w:name="_Toc269295562"/>
      <w:bookmarkStart w:id="100" w:name="_Toc269907501"/>
      <w:bookmarkEnd w:id="96"/>
      <w:bookmarkEnd w:id="97"/>
      <w:bookmarkEnd w:id="98"/>
    </w:p>
    <w:tbl>
      <w:tblPr>
        <w:tblW w:w="5000" w:type="pct"/>
        <w:tblCellMar>
          <w:left w:w="70" w:type="dxa"/>
          <w:right w:w="70" w:type="dxa"/>
        </w:tblCellMar>
        <w:tblLook w:val="04A0" w:firstRow="1" w:lastRow="0" w:firstColumn="1" w:lastColumn="0" w:noHBand="0" w:noVBand="1"/>
      </w:tblPr>
      <w:tblGrid>
        <w:gridCol w:w="5744"/>
        <w:gridCol w:w="1664"/>
        <w:gridCol w:w="1664"/>
      </w:tblGrid>
      <w:tr w:rsidR="00D40CA6" w:rsidRPr="00D40CA6" w14:paraId="26F84355" w14:textId="77777777" w:rsidTr="00D40CA6">
        <w:trPr>
          <w:trHeight w:val="563"/>
        </w:trPr>
        <w:tc>
          <w:tcPr>
            <w:tcW w:w="3166" w:type="pct"/>
            <w:tcBorders>
              <w:top w:val="nil"/>
              <w:left w:val="nil"/>
              <w:bottom w:val="nil"/>
              <w:right w:val="nil"/>
            </w:tcBorders>
            <w:shd w:val="clear" w:color="000000" w:fill="2A7FC6"/>
            <w:noWrap/>
            <w:vAlign w:val="bottom"/>
            <w:hideMark/>
          </w:tcPr>
          <w:p w14:paraId="0943CD28" w14:textId="77777777" w:rsidR="00D40CA6" w:rsidRPr="00D40CA6" w:rsidRDefault="00D40CA6" w:rsidP="00D40CA6">
            <w:pPr>
              <w:spacing w:before="0" w:beforeAutospacing="0" w:after="0" w:afterAutospacing="0"/>
              <w:jc w:val="left"/>
              <w:rPr>
                <w:rFonts w:ascii="Calibri" w:hAnsi="Calibri" w:cs="Calibri"/>
                <w:b/>
                <w:bCs/>
                <w:color w:val="FFFFFF"/>
                <w:sz w:val="20"/>
                <w:szCs w:val="20"/>
              </w:rPr>
            </w:pPr>
            <w:r w:rsidRPr="00D40CA6">
              <w:rPr>
                <w:rFonts w:ascii="Calibri" w:hAnsi="Calibri" w:cs="Calibri"/>
                <w:b/>
                <w:bCs/>
                <w:color w:val="FFFFFF"/>
                <w:sz w:val="20"/>
                <w:szCs w:val="20"/>
              </w:rPr>
              <w:t>v tis. Kč</w:t>
            </w:r>
          </w:p>
        </w:tc>
        <w:tc>
          <w:tcPr>
            <w:tcW w:w="917" w:type="pct"/>
            <w:tcBorders>
              <w:top w:val="nil"/>
              <w:left w:val="nil"/>
              <w:bottom w:val="nil"/>
              <w:right w:val="nil"/>
            </w:tcBorders>
            <w:shd w:val="clear" w:color="000000" w:fill="2A7FC6"/>
            <w:vAlign w:val="bottom"/>
            <w:hideMark/>
          </w:tcPr>
          <w:p w14:paraId="0922217F" w14:textId="764138C9" w:rsidR="00D40CA6" w:rsidRPr="00D40CA6" w:rsidRDefault="00D40CA6" w:rsidP="00C21A90">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 xml:space="preserve">1. </w:t>
            </w:r>
            <w:r w:rsidR="00C21A90">
              <w:rPr>
                <w:rFonts w:ascii="Calibri" w:hAnsi="Calibri" w:cs="Calibri"/>
                <w:b/>
                <w:bCs/>
                <w:color w:val="FFFFFF"/>
                <w:sz w:val="20"/>
                <w:szCs w:val="20"/>
              </w:rPr>
              <w:t>ledna</w:t>
            </w:r>
            <w:r w:rsidR="00C21A90">
              <w:rPr>
                <w:rFonts w:ascii="Calibri" w:hAnsi="Calibri" w:cs="Calibri"/>
                <w:b/>
                <w:bCs/>
                <w:color w:val="FFFFFF"/>
                <w:sz w:val="20"/>
                <w:szCs w:val="20"/>
              </w:rPr>
              <w:br/>
              <w:t>2018</w:t>
            </w:r>
          </w:p>
        </w:tc>
        <w:tc>
          <w:tcPr>
            <w:tcW w:w="917" w:type="pct"/>
            <w:tcBorders>
              <w:top w:val="nil"/>
              <w:left w:val="nil"/>
              <w:bottom w:val="nil"/>
              <w:right w:val="nil"/>
            </w:tcBorders>
            <w:shd w:val="clear" w:color="000000" w:fill="2A7FC6"/>
            <w:vAlign w:val="bottom"/>
            <w:hideMark/>
          </w:tcPr>
          <w:p w14:paraId="7D6BADD2" w14:textId="77777777" w:rsidR="00D40CA6" w:rsidRPr="00D40CA6" w:rsidRDefault="00D40CA6" w:rsidP="00D40CA6">
            <w:pPr>
              <w:spacing w:before="0" w:beforeAutospacing="0" w:after="0" w:afterAutospacing="0"/>
              <w:jc w:val="center"/>
              <w:rPr>
                <w:rFonts w:ascii="Calibri" w:hAnsi="Calibri" w:cs="Calibri"/>
                <w:b/>
                <w:bCs/>
                <w:color w:val="FFFFFF"/>
                <w:sz w:val="20"/>
                <w:szCs w:val="20"/>
              </w:rPr>
            </w:pPr>
            <w:r w:rsidRPr="00D40CA6">
              <w:rPr>
                <w:rFonts w:ascii="Calibri" w:hAnsi="Calibri" w:cs="Calibri"/>
                <w:b/>
                <w:bCs/>
                <w:color w:val="FFFFFF"/>
                <w:sz w:val="20"/>
                <w:szCs w:val="20"/>
              </w:rPr>
              <w:t>30. června</w:t>
            </w:r>
            <w:r w:rsidRPr="00D40CA6">
              <w:rPr>
                <w:rFonts w:ascii="Calibri" w:hAnsi="Calibri" w:cs="Calibri"/>
                <w:b/>
                <w:bCs/>
                <w:color w:val="FFFFFF"/>
                <w:sz w:val="20"/>
                <w:szCs w:val="20"/>
              </w:rPr>
              <w:br/>
              <w:t>2018</w:t>
            </w:r>
          </w:p>
        </w:tc>
      </w:tr>
      <w:tr w:rsidR="00D40CA6" w:rsidRPr="00D40CA6" w14:paraId="3A72283B" w14:textId="77777777" w:rsidTr="00D40CA6">
        <w:trPr>
          <w:trHeight w:val="255"/>
        </w:trPr>
        <w:tc>
          <w:tcPr>
            <w:tcW w:w="3166" w:type="pct"/>
            <w:tcBorders>
              <w:top w:val="nil"/>
              <w:left w:val="nil"/>
              <w:bottom w:val="nil"/>
              <w:right w:val="nil"/>
            </w:tcBorders>
            <w:shd w:val="clear" w:color="000000" w:fill="2A7FC6"/>
            <w:noWrap/>
            <w:vAlign w:val="bottom"/>
            <w:hideMark/>
          </w:tcPr>
          <w:p w14:paraId="1D3BD90A" w14:textId="77777777" w:rsidR="00D40CA6" w:rsidRPr="00D40CA6" w:rsidRDefault="00D40CA6" w:rsidP="00D40CA6">
            <w:pPr>
              <w:spacing w:before="0" w:beforeAutospacing="0" w:after="0" w:afterAutospacing="0"/>
              <w:jc w:val="left"/>
              <w:rPr>
                <w:rFonts w:ascii="Calibri" w:hAnsi="Calibri" w:cs="Calibri"/>
                <w:color w:val="FFFFFF"/>
                <w:sz w:val="20"/>
                <w:szCs w:val="20"/>
              </w:rPr>
            </w:pPr>
            <w:r w:rsidRPr="00D40CA6">
              <w:rPr>
                <w:rFonts w:ascii="Calibri" w:hAnsi="Calibri" w:cs="Calibri"/>
                <w:color w:val="FFFFFF"/>
                <w:sz w:val="20"/>
                <w:szCs w:val="20"/>
              </w:rPr>
              <w:t> </w:t>
            </w:r>
          </w:p>
        </w:tc>
        <w:tc>
          <w:tcPr>
            <w:tcW w:w="917" w:type="pct"/>
            <w:tcBorders>
              <w:top w:val="nil"/>
              <w:left w:val="nil"/>
              <w:bottom w:val="nil"/>
              <w:right w:val="nil"/>
            </w:tcBorders>
            <w:shd w:val="clear" w:color="000000" w:fill="2A7FC6"/>
            <w:noWrap/>
            <w:vAlign w:val="bottom"/>
            <w:hideMark/>
          </w:tcPr>
          <w:p w14:paraId="1C022136" w14:textId="4D715400" w:rsidR="00D40CA6" w:rsidRPr="00D40CA6" w:rsidRDefault="00D40CA6" w:rsidP="00D40CA6">
            <w:pPr>
              <w:spacing w:before="0" w:beforeAutospacing="0" w:after="0" w:afterAutospacing="0"/>
              <w:jc w:val="center"/>
              <w:rPr>
                <w:rFonts w:ascii="Calibri" w:hAnsi="Calibri" w:cs="Calibri"/>
                <w:color w:val="FFFFFF"/>
                <w:sz w:val="20"/>
                <w:szCs w:val="20"/>
              </w:rPr>
            </w:pPr>
            <w:r w:rsidRPr="00D40CA6">
              <w:rPr>
                <w:rFonts w:ascii="Calibri" w:hAnsi="Calibri" w:cs="Calibri"/>
                <w:color w:val="FFFFFF"/>
                <w:sz w:val="20"/>
                <w:szCs w:val="20"/>
              </w:rPr>
              <w:t>(</w:t>
            </w:r>
            <w:r w:rsidR="00C21A90">
              <w:rPr>
                <w:rFonts w:ascii="Calibri" w:hAnsi="Calibri" w:cs="Calibri"/>
                <w:color w:val="FFFFFF"/>
                <w:sz w:val="20"/>
                <w:szCs w:val="20"/>
              </w:rPr>
              <w:t>ne</w:t>
            </w:r>
            <w:r w:rsidRPr="00D40CA6">
              <w:rPr>
                <w:rFonts w:ascii="Calibri" w:hAnsi="Calibri" w:cs="Calibri"/>
                <w:color w:val="FFFFFF"/>
                <w:sz w:val="20"/>
                <w:szCs w:val="20"/>
              </w:rPr>
              <w:t>auditované)</w:t>
            </w:r>
          </w:p>
        </w:tc>
        <w:tc>
          <w:tcPr>
            <w:tcW w:w="917" w:type="pct"/>
            <w:tcBorders>
              <w:top w:val="nil"/>
              <w:left w:val="nil"/>
              <w:bottom w:val="nil"/>
              <w:right w:val="nil"/>
            </w:tcBorders>
            <w:shd w:val="clear" w:color="000000" w:fill="2A7FC6"/>
            <w:noWrap/>
            <w:vAlign w:val="bottom"/>
            <w:hideMark/>
          </w:tcPr>
          <w:p w14:paraId="18C0E086" w14:textId="77777777" w:rsidR="00D40CA6" w:rsidRPr="00D40CA6" w:rsidRDefault="00D40CA6" w:rsidP="00D40CA6">
            <w:pPr>
              <w:spacing w:before="0" w:beforeAutospacing="0" w:after="0" w:afterAutospacing="0"/>
              <w:jc w:val="center"/>
              <w:rPr>
                <w:rFonts w:ascii="Calibri" w:hAnsi="Calibri" w:cs="Calibri"/>
                <w:color w:val="FFFFFF"/>
                <w:sz w:val="20"/>
                <w:szCs w:val="20"/>
              </w:rPr>
            </w:pPr>
            <w:r w:rsidRPr="00D40CA6">
              <w:rPr>
                <w:rFonts w:ascii="Calibri" w:hAnsi="Calibri" w:cs="Calibri"/>
                <w:color w:val="FFFFFF"/>
                <w:sz w:val="20"/>
                <w:szCs w:val="20"/>
              </w:rPr>
              <w:t>(neauditované)</w:t>
            </w:r>
          </w:p>
        </w:tc>
      </w:tr>
      <w:tr w:rsidR="00D40CA6" w:rsidRPr="00D40CA6" w14:paraId="255006BA" w14:textId="77777777" w:rsidTr="00D40CA6">
        <w:trPr>
          <w:trHeight w:val="150"/>
        </w:trPr>
        <w:tc>
          <w:tcPr>
            <w:tcW w:w="3166" w:type="pct"/>
            <w:tcBorders>
              <w:top w:val="nil"/>
              <w:left w:val="nil"/>
              <w:bottom w:val="nil"/>
              <w:right w:val="nil"/>
            </w:tcBorders>
            <w:shd w:val="clear" w:color="auto" w:fill="auto"/>
            <w:noWrap/>
            <w:vAlign w:val="bottom"/>
            <w:hideMark/>
          </w:tcPr>
          <w:p w14:paraId="487E3813" w14:textId="77777777" w:rsidR="00D40CA6" w:rsidRPr="00D40CA6" w:rsidRDefault="00D40CA6" w:rsidP="00D40CA6">
            <w:pPr>
              <w:spacing w:before="0" w:beforeAutospacing="0" w:after="0" w:afterAutospacing="0"/>
              <w:jc w:val="center"/>
              <w:rPr>
                <w:rFonts w:ascii="Calibri" w:hAnsi="Calibri" w:cs="Calibri"/>
                <w:color w:val="FFFFFF"/>
                <w:sz w:val="20"/>
                <w:szCs w:val="20"/>
              </w:rPr>
            </w:pPr>
          </w:p>
        </w:tc>
        <w:tc>
          <w:tcPr>
            <w:tcW w:w="917" w:type="pct"/>
            <w:tcBorders>
              <w:top w:val="nil"/>
              <w:left w:val="nil"/>
              <w:bottom w:val="nil"/>
              <w:right w:val="nil"/>
            </w:tcBorders>
            <w:shd w:val="clear" w:color="auto" w:fill="auto"/>
            <w:noWrap/>
            <w:vAlign w:val="bottom"/>
            <w:hideMark/>
          </w:tcPr>
          <w:p w14:paraId="2D3A062C"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260B9496"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67FCAB60" w14:textId="77777777" w:rsidTr="00D40CA6">
        <w:trPr>
          <w:trHeight w:val="270"/>
        </w:trPr>
        <w:tc>
          <w:tcPr>
            <w:tcW w:w="3166" w:type="pct"/>
            <w:tcBorders>
              <w:top w:val="double" w:sz="6" w:space="0" w:color="9C9D9F"/>
              <w:left w:val="nil"/>
              <w:bottom w:val="nil"/>
              <w:right w:val="nil"/>
            </w:tcBorders>
            <w:shd w:val="clear" w:color="auto" w:fill="auto"/>
            <w:noWrap/>
            <w:vAlign w:val="bottom"/>
            <w:hideMark/>
          </w:tcPr>
          <w:p w14:paraId="0A1EC4F2"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Aktiva</w:t>
            </w:r>
          </w:p>
        </w:tc>
        <w:tc>
          <w:tcPr>
            <w:tcW w:w="917" w:type="pct"/>
            <w:tcBorders>
              <w:top w:val="double" w:sz="6" w:space="0" w:color="9C9D9F"/>
              <w:left w:val="nil"/>
              <w:bottom w:val="nil"/>
              <w:right w:val="nil"/>
            </w:tcBorders>
            <w:shd w:val="clear" w:color="auto" w:fill="auto"/>
            <w:noWrap/>
            <w:vAlign w:val="bottom"/>
            <w:hideMark/>
          </w:tcPr>
          <w:p w14:paraId="5976344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double" w:sz="6" w:space="0" w:color="9C9D9F"/>
              <w:left w:val="nil"/>
              <w:bottom w:val="nil"/>
              <w:right w:val="nil"/>
            </w:tcBorders>
            <w:shd w:val="clear" w:color="auto" w:fill="auto"/>
            <w:noWrap/>
            <w:vAlign w:val="bottom"/>
            <w:hideMark/>
          </w:tcPr>
          <w:p w14:paraId="26C17D9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5D37D764" w14:textId="77777777" w:rsidTr="00D40CA6">
        <w:trPr>
          <w:trHeight w:val="150"/>
        </w:trPr>
        <w:tc>
          <w:tcPr>
            <w:tcW w:w="3166" w:type="pct"/>
            <w:tcBorders>
              <w:top w:val="nil"/>
              <w:left w:val="nil"/>
              <w:bottom w:val="nil"/>
              <w:right w:val="nil"/>
            </w:tcBorders>
            <w:shd w:val="clear" w:color="auto" w:fill="auto"/>
            <w:noWrap/>
            <w:vAlign w:val="bottom"/>
            <w:hideMark/>
          </w:tcPr>
          <w:p w14:paraId="63477CA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p>
        </w:tc>
        <w:tc>
          <w:tcPr>
            <w:tcW w:w="917" w:type="pct"/>
            <w:tcBorders>
              <w:top w:val="nil"/>
              <w:left w:val="nil"/>
              <w:bottom w:val="nil"/>
              <w:right w:val="nil"/>
            </w:tcBorders>
            <w:shd w:val="clear" w:color="auto" w:fill="auto"/>
            <w:noWrap/>
            <w:vAlign w:val="bottom"/>
            <w:hideMark/>
          </w:tcPr>
          <w:p w14:paraId="48871440"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0120AA74"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199EAC02" w14:textId="77777777" w:rsidTr="00D40CA6">
        <w:trPr>
          <w:trHeight w:val="255"/>
        </w:trPr>
        <w:tc>
          <w:tcPr>
            <w:tcW w:w="3166" w:type="pct"/>
            <w:tcBorders>
              <w:top w:val="nil"/>
              <w:left w:val="nil"/>
              <w:bottom w:val="nil"/>
              <w:right w:val="nil"/>
            </w:tcBorders>
            <w:shd w:val="clear" w:color="000000" w:fill="9C9D9F"/>
            <w:noWrap/>
            <w:vAlign w:val="bottom"/>
            <w:hideMark/>
          </w:tcPr>
          <w:p w14:paraId="424EFA76"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Dlouhodobý majetek</w:t>
            </w:r>
          </w:p>
        </w:tc>
        <w:tc>
          <w:tcPr>
            <w:tcW w:w="917" w:type="pct"/>
            <w:tcBorders>
              <w:top w:val="nil"/>
              <w:left w:val="nil"/>
              <w:bottom w:val="nil"/>
              <w:right w:val="nil"/>
            </w:tcBorders>
            <w:shd w:val="clear" w:color="000000" w:fill="9C9D9F"/>
            <w:noWrap/>
            <w:vAlign w:val="bottom"/>
            <w:hideMark/>
          </w:tcPr>
          <w:p w14:paraId="6AEB4BB8"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nil"/>
              <w:left w:val="nil"/>
              <w:bottom w:val="nil"/>
              <w:right w:val="nil"/>
            </w:tcBorders>
            <w:shd w:val="clear" w:color="000000" w:fill="9C9D9F"/>
            <w:noWrap/>
            <w:vAlign w:val="bottom"/>
            <w:hideMark/>
          </w:tcPr>
          <w:p w14:paraId="5FC4BD4A"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179963B7"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77398052"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Dlouhodobý hmotný majetek</w:t>
            </w:r>
          </w:p>
        </w:tc>
        <w:tc>
          <w:tcPr>
            <w:tcW w:w="917" w:type="pct"/>
            <w:tcBorders>
              <w:top w:val="nil"/>
              <w:left w:val="nil"/>
              <w:bottom w:val="single" w:sz="4" w:space="0" w:color="9C9D9F"/>
              <w:right w:val="nil"/>
            </w:tcBorders>
            <w:shd w:val="clear" w:color="auto" w:fill="auto"/>
            <w:noWrap/>
            <w:vAlign w:val="bottom"/>
            <w:hideMark/>
          </w:tcPr>
          <w:p w14:paraId="73FCC17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4 918 015</w:t>
            </w:r>
          </w:p>
        </w:tc>
        <w:tc>
          <w:tcPr>
            <w:tcW w:w="917" w:type="pct"/>
            <w:tcBorders>
              <w:top w:val="nil"/>
              <w:left w:val="nil"/>
              <w:bottom w:val="single" w:sz="4" w:space="0" w:color="9C9D9F"/>
              <w:right w:val="nil"/>
            </w:tcBorders>
            <w:shd w:val="clear" w:color="auto" w:fill="auto"/>
            <w:noWrap/>
            <w:vAlign w:val="bottom"/>
            <w:hideMark/>
          </w:tcPr>
          <w:p w14:paraId="429635C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4 982 613</w:t>
            </w:r>
          </w:p>
        </w:tc>
      </w:tr>
      <w:tr w:rsidR="00D40CA6" w:rsidRPr="00D40CA6" w14:paraId="3C638A97"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72933034"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Dlouhodobý nehmotný majetek</w:t>
            </w:r>
          </w:p>
        </w:tc>
        <w:tc>
          <w:tcPr>
            <w:tcW w:w="917" w:type="pct"/>
            <w:tcBorders>
              <w:top w:val="nil"/>
              <w:left w:val="nil"/>
              <w:bottom w:val="single" w:sz="4" w:space="0" w:color="9C9D9F"/>
              <w:right w:val="nil"/>
            </w:tcBorders>
            <w:shd w:val="clear" w:color="auto" w:fill="auto"/>
            <w:noWrap/>
            <w:vAlign w:val="bottom"/>
            <w:hideMark/>
          </w:tcPr>
          <w:p w14:paraId="13AD3B1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159 083</w:t>
            </w:r>
          </w:p>
        </w:tc>
        <w:tc>
          <w:tcPr>
            <w:tcW w:w="917" w:type="pct"/>
            <w:tcBorders>
              <w:top w:val="nil"/>
              <w:left w:val="nil"/>
              <w:bottom w:val="single" w:sz="4" w:space="0" w:color="9C9D9F"/>
              <w:right w:val="nil"/>
            </w:tcBorders>
            <w:shd w:val="clear" w:color="auto" w:fill="auto"/>
            <w:noWrap/>
            <w:vAlign w:val="bottom"/>
            <w:hideMark/>
          </w:tcPr>
          <w:p w14:paraId="77C0D97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171 990</w:t>
            </w:r>
          </w:p>
        </w:tc>
      </w:tr>
      <w:tr w:rsidR="00D40CA6" w:rsidRPr="00D40CA6" w14:paraId="7A3830E6"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51C88D1C"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Goodwill</w:t>
            </w:r>
          </w:p>
        </w:tc>
        <w:tc>
          <w:tcPr>
            <w:tcW w:w="917" w:type="pct"/>
            <w:tcBorders>
              <w:top w:val="nil"/>
              <w:left w:val="nil"/>
              <w:bottom w:val="single" w:sz="4" w:space="0" w:color="9C9D9F"/>
              <w:right w:val="nil"/>
            </w:tcBorders>
            <w:shd w:val="clear" w:color="auto" w:fill="auto"/>
            <w:noWrap/>
            <w:vAlign w:val="bottom"/>
            <w:hideMark/>
          </w:tcPr>
          <w:p w14:paraId="15DA453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2 320 136</w:t>
            </w:r>
          </w:p>
        </w:tc>
        <w:tc>
          <w:tcPr>
            <w:tcW w:w="917" w:type="pct"/>
            <w:tcBorders>
              <w:top w:val="nil"/>
              <w:left w:val="nil"/>
              <w:bottom w:val="single" w:sz="4" w:space="0" w:color="9C9D9F"/>
              <w:right w:val="nil"/>
            </w:tcBorders>
            <w:shd w:val="clear" w:color="auto" w:fill="auto"/>
            <w:noWrap/>
            <w:vAlign w:val="bottom"/>
            <w:hideMark/>
          </w:tcPr>
          <w:p w14:paraId="719EF55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2 320 127</w:t>
            </w:r>
          </w:p>
        </w:tc>
      </w:tr>
      <w:tr w:rsidR="00D40CA6" w:rsidRPr="00D40CA6" w14:paraId="4449DFE5"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58B8DD44"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Dlouhodobý majetek celkem</w:t>
            </w:r>
          </w:p>
        </w:tc>
        <w:tc>
          <w:tcPr>
            <w:tcW w:w="917" w:type="pct"/>
            <w:tcBorders>
              <w:top w:val="nil"/>
              <w:left w:val="nil"/>
              <w:bottom w:val="single" w:sz="4" w:space="0" w:color="9C9D9F"/>
              <w:right w:val="nil"/>
            </w:tcBorders>
            <w:shd w:val="clear" w:color="auto" w:fill="auto"/>
            <w:noWrap/>
            <w:vAlign w:val="bottom"/>
            <w:hideMark/>
          </w:tcPr>
          <w:p w14:paraId="470D6154"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7 397 234</w:t>
            </w:r>
          </w:p>
        </w:tc>
        <w:tc>
          <w:tcPr>
            <w:tcW w:w="917" w:type="pct"/>
            <w:tcBorders>
              <w:top w:val="nil"/>
              <w:left w:val="nil"/>
              <w:bottom w:val="single" w:sz="4" w:space="0" w:color="9C9D9F"/>
              <w:right w:val="nil"/>
            </w:tcBorders>
            <w:shd w:val="clear" w:color="auto" w:fill="auto"/>
            <w:noWrap/>
            <w:vAlign w:val="bottom"/>
            <w:hideMark/>
          </w:tcPr>
          <w:p w14:paraId="675BB55F"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7 474 730</w:t>
            </w:r>
          </w:p>
        </w:tc>
      </w:tr>
      <w:tr w:rsidR="00D40CA6" w:rsidRPr="00D40CA6" w14:paraId="12223D3F" w14:textId="77777777" w:rsidTr="00D40CA6">
        <w:trPr>
          <w:trHeight w:val="150"/>
        </w:trPr>
        <w:tc>
          <w:tcPr>
            <w:tcW w:w="3166" w:type="pct"/>
            <w:tcBorders>
              <w:top w:val="nil"/>
              <w:left w:val="nil"/>
              <w:bottom w:val="nil"/>
              <w:right w:val="nil"/>
            </w:tcBorders>
            <w:shd w:val="clear" w:color="auto" w:fill="auto"/>
            <w:noWrap/>
            <w:vAlign w:val="bottom"/>
            <w:hideMark/>
          </w:tcPr>
          <w:p w14:paraId="611F1A9F"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917" w:type="pct"/>
            <w:tcBorders>
              <w:top w:val="nil"/>
              <w:left w:val="nil"/>
              <w:bottom w:val="nil"/>
              <w:right w:val="nil"/>
            </w:tcBorders>
            <w:shd w:val="clear" w:color="auto" w:fill="auto"/>
            <w:noWrap/>
            <w:vAlign w:val="bottom"/>
            <w:hideMark/>
          </w:tcPr>
          <w:p w14:paraId="014D3C14"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0B06777A"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061B000B" w14:textId="77777777" w:rsidTr="00D40CA6">
        <w:trPr>
          <w:trHeight w:val="255"/>
        </w:trPr>
        <w:tc>
          <w:tcPr>
            <w:tcW w:w="3166" w:type="pct"/>
            <w:tcBorders>
              <w:top w:val="nil"/>
              <w:left w:val="nil"/>
              <w:bottom w:val="nil"/>
              <w:right w:val="nil"/>
            </w:tcBorders>
            <w:shd w:val="clear" w:color="000000" w:fill="9C9D9F"/>
            <w:noWrap/>
            <w:vAlign w:val="bottom"/>
            <w:hideMark/>
          </w:tcPr>
          <w:p w14:paraId="46944229"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Oběžná aktiva</w:t>
            </w:r>
          </w:p>
        </w:tc>
        <w:tc>
          <w:tcPr>
            <w:tcW w:w="917" w:type="pct"/>
            <w:tcBorders>
              <w:top w:val="nil"/>
              <w:left w:val="nil"/>
              <w:bottom w:val="nil"/>
              <w:right w:val="nil"/>
            </w:tcBorders>
            <w:shd w:val="clear" w:color="000000" w:fill="9C9D9F"/>
            <w:noWrap/>
            <w:vAlign w:val="bottom"/>
            <w:hideMark/>
          </w:tcPr>
          <w:p w14:paraId="40BAFDC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nil"/>
              <w:left w:val="nil"/>
              <w:bottom w:val="nil"/>
              <w:right w:val="nil"/>
            </w:tcBorders>
            <w:shd w:val="clear" w:color="000000" w:fill="9C9D9F"/>
            <w:noWrap/>
            <w:vAlign w:val="bottom"/>
            <w:hideMark/>
          </w:tcPr>
          <w:p w14:paraId="60A71D4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0A05DE7D"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54DD51E7"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Zásoby</w:t>
            </w:r>
          </w:p>
        </w:tc>
        <w:tc>
          <w:tcPr>
            <w:tcW w:w="917" w:type="pct"/>
            <w:tcBorders>
              <w:top w:val="nil"/>
              <w:left w:val="nil"/>
              <w:bottom w:val="single" w:sz="4" w:space="0" w:color="9C9D9F"/>
              <w:right w:val="nil"/>
            </w:tcBorders>
            <w:shd w:val="clear" w:color="auto" w:fill="auto"/>
            <w:noWrap/>
            <w:vAlign w:val="bottom"/>
            <w:hideMark/>
          </w:tcPr>
          <w:p w14:paraId="499BF5B1"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717 278</w:t>
            </w:r>
          </w:p>
        </w:tc>
        <w:tc>
          <w:tcPr>
            <w:tcW w:w="917" w:type="pct"/>
            <w:tcBorders>
              <w:top w:val="nil"/>
              <w:left w:val="nil"/>
              <w:bottom w:val="single" w:sz="4" w:space="0" w:color="9C9D9F"/>
              <w:right w:val="nil"/>
            </w:tcBorders>
            <w:shd w:val="clear" w:color="auto" w:fill="auto"/>
            <w:noWrap/>
            <w:vAlign w:val="bottom"/>
            <w:hideMark/>
          </w:tcPr>
          <w:p w14:paraId="7F2D5AE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637 028</w:t>
            </w:r>
          </w:p>
        </w:tc>
      </w:tr>
      <w:tr w:rsidR="00D40CA6" w:rsidRPr="00D40CA6" w14:paraId="2251F261" w14:textId="77777777" w:rsidTr="00D40CA6">
        <w:trPr>
          <w:trHeight w:val="255"/>
        </w:trPr>
        <w:tc>
          <w:tcPr>
            <w:tcW w:w="3166" w:type="pct"/>
            <w:tcBorders>
              <w:top w:val="nil"/>
              <w:left w:val="nil"/>
              <w:bottom w:val="single" w:sz="4" w:space="0" w:color="9C9D9F"/>
              <w:right w:val="nil"/>
            </w:tcBorders>
            <w:shd w:val="clear" w:color="auto" w:fill="auto"/>
            <w:vAlign w:val="bottom"/>
            <w:hideMark/>
          </w:tcPr>
          <w:p w14:paraId="1E35114B"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Pohledávky z obchodních vztahů a jiné pohledávky</w:t>
            </w:r>
          </w:p>
        </w:tc>
        <w:tc>
          <w:tcPr>
            <w:tcW w:w="917" w:type="pct"/>
            <w:tcBorders>
              <w:top w:val="nil"/>
              <w:left w:val="nil"/>
              <w:bottom w:val="single" w:sz="4" w:space="0" w:color="9C9D9F"/>
              <w:right w:val="nil"/>
            </w:tcBorders>
            <w:shd w:val="clear" w:color="auto" w:fill="auto"/>
            <w:noWrap/>
            <w:vAlign w:val="bottom"/>
            <w:hideMark/>
          </w:tcPr>
          <w:p w14:paraId="74E5205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2 082 303</w:t>
            </w:r>
          </w:p>
        </w:tc>
        <w:tc>
          <w:tcPr>
            <w:tcW w:w="917" w:type="pct"/>
            <w:tcBorders>
              <w:top w:val="nil"/>
              <w:left w:val="nil"/>
              <w:bottom w:val="single" w:sz="4" w:space="0" w:color="9C9D9F"/>
              <w:right w:val="nil"/>
            </w:tcBorders>
            <w:shd w:val="clear" w:color="auto" w:fill="auto"/>
            <w:noWrap/>
            <w:vAlign w:val="bottom"/>
            <w:hideMark/>
          </w:tcPr>
          <w:p w14:paraId="1516AF5B" w14:textId="7BC9EF9C"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2 128 485</w:t>
            </w:r>
          </w:p>
        </w:tc>
      </w:tr>
      <w:tr w:rsidR="00D40CA6" w:rsidRPr="00D40CA6" w14:paraId="75ED5C16"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3CCC2F2E"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Pohledávky z daně z příjmu</w:t>
            </w:r>
          </w:p>
        </w:tc>
        <w:tc>
          <w:tcPr>
            <w:tcW w:w="917" w:type="pct"/>
            <w:tcBorders>
              <w:top w:val="nil"/>
              <w:left w:val="nil"/>
              <w:bottom w:val="single" w:sz="4" w:space="0" w:color="9C9D9F"/>
              <w:right w:val="nil"/>
            </w:tcBorders>
            <w:shd w:val="clear" w:color="auto" w:fill="auto"/>
            <w:noWrap/>
            <w:vAlign w:val="bottom"/>
            <w:hideMark/>
          </w:tcPr>
          <w:p w14:paraId="003ADD8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c>
          <w:tcPr>
            <w:tcW w:w="917" w:type="pct"/>
            <w:tcBorders>
              <w:top w:val="nil"/>
              <w:left w:val="nil"/>
              <w:bottom w:val="single" w:sz="4" w:space="0" w:color="9C9D9F"/>
              <w:right w:val="nil"/>
            </w:tcBorders>
            <w:shd w:val="clear" w:color="auto" w:fill="auto"/>
            <w:noWrap/>
            <w:vAlign w:val="bottom"/>
            <w:hideMark/>
          </w:tcPr>
          <w:p w14:paraId="6D51CB3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r>
      <w:tr w:rsidR="00D40CA6" w:rsidRPr="00D40CA6" w14:paraId="0DDC08C2"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2DF2AA42"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Peníze a peněžní ekvivalenty</w:t>
            </w:r>
          </w:p>
        </w:tc>
        <w:tc>
          <w:tcPr>
            <w:tcW w:w="917" w:type="pct"/>
            <w:tcBorders>
              <w:top w:val="nil"/>
              <w:left w:val="nil"/>
              <w:bottom w:val="single" w:sz="4" w:space="0" w:color="9C9D9F"/>
              <w:right w:val="nil"/>
            </w:tcBorders>
            <w:shd w:val="clear" w:color="auto" w:fill="auto"/>
            <w:noWrap/>
            <w:vAlign w:val="bottom"/>
            <w:hideMark/>
          </w:tcPr>
          <w:p w14:paraId="517A7FF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1 513 977</w:t>
            </w:r>
          </w:p>
        </w:tc>
        <w:tc>
          <w:tcPr>
            <w:tcW w:w="917" w:type="pct"/>
            <w:tcBorders>
              <w:top w:val="nil"/>
              <w:left w:val="nil"/>
              <w:bottom w:val="single" w:sz="4" w:space="0" w:color="9C9D9F"/>
              <w:right w:val="nil"/>
            </w:tcBorders>
            <w:shd w:val="clear" w:color="auto" w:fill="auto"/>
            <w:noWrap/>
            <w:vAlign w:val="bottom"/>
            <w:hideMark/>
          </w:tcPr>
          <w:p w14:paraId="638C0656" w14:textId="3851CE35" w:rsidR="00D40CA6" w:rsidRPr="00D40CA6" w:rsidRDefault="00D40CA6" w:rsidP="007B298D">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xml:space="preserve">1 476 </w:t>
            </w:r>
            <w:r w:rsidR="007B298D">
              <w:rPr>
                <w:rFonts w:ascii="Calibri" w:hAnsi="Calibri" w:cs="Calibri"/>
                <w:sz w:val="20"/>
                <w:szCs w:val="20"/>
              </w:rPr>
              <w:t>829</w:t>
            </w:r>
          </w:p>
        </w:tc>
      </w:tr>
      <w:tr w:rsidR="00D40CA6" w:rsidRPr="00D40CA6" w14:paraId="1261D3F8"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4D48A316"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Oběžná aktiva celkem</w:t>
            </w:r>
          </w:p>
        </w:tc>
        <w:tc>
          <w:tcPr>
            <w:tcW w:w="917" w:type="pct"/>
            <w:tcBorders>
              <w:top w:val="nil"/>
              <w:left w:val="nil"/>
              <w:bottom w:val="single" w:sz="4" w:space="0" w:color="9C9D9F"/>
              <w:right w:val="nil"/>
            </w:tcBorders>
            <w:shd w:val="clear" w:color="auto" w:fill="auto"/>
            <w:noWrap/>
            <w:vAlign w:val="bottom"/>
            <w:hideMark/>
          </w:tcPr>
          <w:p w14:paraId="76A56E10"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4 313 558</w:t>
            </w:r>
          </w:p>
        </w:tc>
        <w:tc>
          <w:tcPr>
            <w:tcW w:w="917" w:type="pct"/>
            <w:tcBorders>
              <w:top w:val="nil"/>
              <w:left w:val="nil"/>
              <w:bottom w:val="single" w:sz="4" w:space="0" w:color="9C9D9F"/>
              <w:right w:val="nil"/>
            </w:tcBorders>
            <w:shd w:val="clear" w:color="auto" w:fill="auto"/>
            <w:noWrap/>
            <w:vAlign w:val="bottom"/>
            <w:hideMark/>
          </w:tcPr>
          <w:p w14:paraId="437C4B4E" w14:textId="74E172EA" w:rsidR="00D40CA6" w:rsidRPr="00D40CA6" w:rsidRDefault="00803DB8" w:rsidP="007B298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4 242 342</w:t>
            </w:r>
          </w:p>
        </w:tc>
      </w:tr>
      <w:tr w:rsidR="00D40CA6" w:rsidRPr="00D40CA6" w14:paraId="28B3CC93" w14:textId="77777777" w:rsidTr="00D40CA6">
        <w:trPr>
          <w:trHeight w:val="300"/>
        </w:trPr>
        <w:tc>
          <w:tcPr>
            <w:tcW w:w="3166" w:type="pct"/>
            <w:tcBorders>
              <w:top w:val="nil"/>
              <w:left w:val="nil"/>
              <w:bottom w:val="single" w:sz="4" w:space="0" w:color="9C9D9F"/>
              <w:right w:val="nil"/>
            </w:tcBorders>
            <w:shd w:val="clear" w:color="auto" w:fill="auto"/>
            <w:noWrap/>
            <w:vAlign w:val="bottom"/>
            <w:hideMark/>
          </w:tcPr>
          <w:p w14:paraId="4E0D8265"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Aktiva celkem</w:t>
            </w:r>
          </w:p>
        </w:tc>
        <w:tc>
          <w:tcPr>
            <w:tcW w:w="917" w:type="pct"/>
            <w:tcBorders>
              <w:top w:val="nil"/>
              <w:left w:val="nil"/>
              <w:bottom w:val="single" w:sz="4" w:space="0" w:color="9C9D9F"/>
              <w:right w:val="nil"/>
            </w:tcBorders>
            <w:shd w:val="clear" w:color="auto" w:fill="auto"/>
            <w:noWrap/>
            <w:vAlign w:val="bottom"/>
            <w:hideMark/>
          </w:tcPr>
          <w:p w14:paraId="77504A75"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11 710 792</w:t>
            </w:r>
          </w:p>
        </w:tc>
        <w:tc>
          <w:tcPr>
            <w:tcW w:w="917" w:type="pct"/>
            <w:tcBorders>
              <w:top w:val="nil"/>
              <w:left w:val="nil"/>
              <w:bottom w:val="single" w:sz="4" w:space="0" w:color="9C9D9F"/>
              <w:right w:val="nil"/>
            </w:tcBorders>
            <w:shd w:val="clear" w:color="auto" w:fill="auto"/>
            <w:noWrap/>
            <w:vAlign w:val="bottom"/>
            <w:hideMark/>
          </w:tcPr>
          <w:p w14:paraId="5E456EAD" w14:textId="5F385B3A" w:rsidR="00D40CA6" w:rsidRPr="00D40CA6" w:rsidRDefault="00803DB8" w:rsidP="007B298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11 717 072</w:t>
            </w:r>
          </w:p>
        </w:tc>
      </w:tr>
      <w:tr w:rsidR="00D40CA6" w:rsidRPr="00D40CA6" w14:paraId="172E849D" w14:textId="77777777" w:rsidTr="00D40CA6">
        <w:trPr>
          <w:trHeight w:val="270"/>
        </w:trPr>
        <w:tc>
          <w:tcPr>
            <w:tcW w:w="3166" w:type="pct"/>
            <w:tcBorders>
              <w:top w:val="nil"/>
              <w:left w:val="nil"/>
              <w:bottom w:val="nil"/>
              <w:right w:val="nil"/>
            </w:tcBorders>
            <w:shd w:val="clear" w:color="auto" w:fill="auto"/>
            <w:noWrap/>
            <w:vAlign w:val="bottom"/>
            <w:hideMark/>
          </w:tcPr>
          <w:p w14:paraId="14BBE232"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917" w:type="pct"/>
            <w:tcBorders>
              <w:top w:val="nil"/>
              <w:left w:val="nil"/>
              <w:bottom w:val="nil"/>
              <w:right w:val="nil"/>
            </w:tcBorders>
            <w:shd w:val="clear" w:color="auto" w:fill="auto"/>
            <w:noWrap/>
            <w:vAlign w:val="bottom"/>
            <w:hideMark/>
          </w:tcPr>
          <w:p w14:paraId="06E153E3"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0D5BD607"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446A1C1F" w14:textId="77777777" w:rsidTr="00D40CA6">
        <w:trPr>
          <w:trHeight w:val="270"/>
        </w:trPr>
        <w:tc>
          <w:tcPr>
            <w:tcW w:w="3166" w:type="pct"/>
            <w:tcBorders>
              <w:top w:val="double" w:sz="6" w:space="0" w:color="9C9D9F"/>
              <w:left w:val="nil"/>
              <w:bottom w:val="nil"/>
              <w:right w:val="nil"/>
            </w:tcBorders>
            <w:shd w:val="clear" w:color="auto" w:fill="auto"/>
            <w:noWrap/>
            <w:vAlign w:val="bottom"/>
            <w:hideMark/>
          </w:tcPr>
          <w:p w14:paraId="6EA24C1B"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Vlastní kapitál a cizí zdroje</w:t>
            </w:r>
          </w:p>
        </w:tc>
        <w:tc>
          <w:tcPr>
            <w:tcW w:w="917" w:type="pct"/>
            <w:tcBorders>
              <w:top w:val="double" w:sz="6" w:space="0" w:color="9C9D9F"/>
              <w:left w:val="nil"/>
              <w:bottom w:val="nil"/>
              <w:right w:val="nil"/>
            </w:tcBorders>
            <w:shd w:val="clear" w:color="auto" w:fill="auto"/>
            <w:noWrap/>
            <w:vAlign w:val="bottom"/>
            <w:hideMark/>
          </w:tcPr>
          <w:p w14:paraId="634E962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double" w:sz="6" w:space="0" w:color="9C9D9F"/>
              <w:left w:val="nil"/>
              <w:bottom w:val="nil"/>
              <w:right w:val="nil"/>
            </w:tcBorders>
            <w:shd w:val="clear" w:color="auto" w:fill="auto"/>
            <w:noWrap/>
            <w:vAlign w:val="bottom"/>
            <w:hideMark/>
          </w:tcPr>
          <w:p w14:paraId="58E42B9D"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4FAE7EC2" w14:textId="77777777" w:rsidTr="00D40CA6">
        <w:trPr>
          <w:trHeight w:val="150"/>
        </w:trPr>
        <w:tc>
          <w:tcPr>
            <w:tcW w:w="3166" w:type="pct"/>
            <w:tcBorders>
              <w:top w:val="nil"/>
              <w:left w:val="nil"/>
              <w:bottom w:val="nil"/>
              <w:right w:val="nil"/>
            </w:tcBorders>
            <w:shd w:val="clear" w:color="auto" w:fill="auto"/>
            <w:noWrap/>
            <w:vAlign w:val="bottom"/>
            <w:hideMark/>
          </w:tcPr>
          <w:p w14:paraId="35C5B54B"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p>
        </w:tc>
        <w:tc>
          <w:tcPr>
            <w:tcW w:w="917" w:type="pct"/>
            <w:tcBorders>
              <w:top w:val="nil"/>
              <w:left w:val="nil"/>
              <w:bottom w:val="nil"/>
              <w:right w:val="nil"/>
            </w:tcBorders>
            <w:shd w:val="clear" w:color="auto" w:fill="auto"/>
            <w:noWrap/>
            <w:vAlign w:val="bottom"/>
            <w:hideMark/>
          </w:tcPr>
          <w:p w14:paraId="7CC8C487"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3D28576B"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60EBD152" w14:textId="77777777" w:rsidTr="00D40CA6">
        <w:trPr>
          <w:trHeight w:val="255"/>
        </w:trPr>
        <w:tc>
          <w:tcPr>
            <w:tcW w:w="3166" w:type="pct"/>
            <w:tcBorders>
              <w:top w:val="nil"/>
              <w:left w:val="nil"/>
              <w:bottom w:val="nil"/>
              <w:right w:val="nil"/>
            </w:tcBorders>
            <w:shd w:val="clear" w:color="000000" w:fill="9C9D9F"/>
            <w:noWrap/>
            <w:vAlign w:val="bottom"/>
            <w:hideMark/>
          </w:tcPr>
          <w:p w14:paraId="7441BEFA"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Základní kapitál a rezervní fondy</w:t>
            </w:r>
          </w:p>
        </w:tc>
        <w:tc>
          <w:tcPr>
            <w:tcW w:w="917" w:type="pct"/>
            <w:tcBorders>
              <w:top w:val="nil"/>
              <w:left w:val="nil"/>
              <w:bottom w:val="nil"/>
              <w:right w:val="nil"/>
            </w:tcBorders>
            <w:shd w:val="clear" w:color="000000" w:fill="9C9D9F"/>
            <w:noWrap/>
            <w:vAlign w:val="bottom"/>
            <w:hideMark/>
          </w:tcPr>
          <w:p w14:paraId="1948693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nil"/>
              <w:left w:val="nil"/>
              <w:bottom w:val="nil"/>
              <w:right w:val="nil"/>
            </w:tcBorders>
            <w:shd w:val="clear" w:color="000000" w:fill="9C9D9F"/>
            <w:noWrap/>
            <w:vAlign w:val="bottom"/>
            <w:hideMark/>
          </w:tcPr>
          <w:p w14:paraId="09FA431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209A37F7"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51CA1114"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 xml:space="preserve">Základní kapitál </w:t>
            </w:r>
          </w:p>
        </w:tc>
        <w:tc>
          <w:tcPr>
            <w:tcW w:w="917" w:type="pct"/>
            <w:tcBorders>
              <w:top w:val="nil"/>
              <w:left w:val="nil"/>
              <w:bottom w:val="single" w:sz="4" w:space="0" w:color="9C9D9F"/>
              <w:right w:val="nil"/>
            </w:tcBorders>
            <w:shd w:val="clear" w:color="auto" w:fill="auto"/>
            <w:noWrap/>
            <w:vAlign w:val="bottom"/>
            <w:hideMark/>
          </w:tcPr>
          <w:p w14:paraId="4FFE016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299 857</w:t>
            </w:r>
          </w:p>
        </w:tc>
        <w:tc>
          <w:tcPr>
            <w:tcW w:w="917" w:type="pct"/>
            <w:tcBorders>
              <w:top w:val="nil"/>
              <w:left w:val="nil"/>
              <w:bottom w:val="single" w:sz="4" w:space="0" w:color="9C9D9F"/>
              <w:right w:val="nil"/>
            </w:tcBorders>
            <w:shd w:val="clear" w:color="auto" w:fill="auto"/>
            <w:noWrap/>
            <w:vAlign w:val="bottom"/>
            <w:hideMark/>
          </w:tcPr>
          <w:p w14:paraId="5E87F3A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299 857</w:t>
            </w:r>
          </w:p>
        </w:tc>
      </w:tr>
      <w:tr w:rsidR="00D40CA6" w:rsidRPr="00D40CA6" w14:paraId="46834727"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5761B55A"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Zákonný rezervní fond a ostatní rezervy</w:t>
            </w:r>
          </w:p>
        </w:tc>
        <w:tc>
          <w:tcPr>
            <w:tcW w:w="917" w:type="pct"/>
            <w:tcBorders>
              <w:top w:val="nil"/>
              <w:left w:val="nil"/>
              <w:bottom w:val="single" w:sz="4" w:space="0" w:color="9C9D9F"/>
              <w:right w:val="nil"/>
            </w:tcBorders>
            <w:shd w:val="clear" w:color="auto" w:fill="auto"/>
            <w:noWrap/>
            <w:vAlign w:val="bottom"/>
            <w:hideMark/>
          </w:tcPr>
          <w:p w14:paraId="5A77277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86 701</w:t>
            </w:r>
          </w:p>
        </w:tc>
        <w:tc>
          <w:tcPr>
            <w:tcW w:w="917" w:type="pct"/>
            <w:tcBorders>
              <w:top w:val="nil"/>
              <w:left w:val="nil"/>
              <w:bottom w:val="single" w:sz="4" w:space="0" w:color="9C9D9F"/>
              <w:right w:val="nil"/>
            </w:tcBorders>
            <w:shd w:val="clear" w:color="auto" w:fill="auto"/>
            <w:noWrap/>
            <w:vAlign w:val="bottom"/>
            <w:hideMark/>
          </w:tcPr>
          <w:p w14:paraId="2832F8E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86 701</w:t>
            </w:r>
          </w:p>
        </w:tc>
      </w:tr>
      <w:tr w:rsidR="00D40CA6" w:rsidRPr="00D40CA6" w14:paraId="1304859A"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354D7477"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Vlastní akcie</w:t>
            </w:r>
          </w:p>
        </w:tc>
        <w:tc>
          <w:tcPr>
            <w:tcW w:w="917" w:type="pct"/>
            <w:tcBorders>
              <w:top w:val="nil"/>
              <w:left w:val="nil"/>
              <w:bottom w:val="single" w:sz="4" w:space="0" w:color="9C9D9F"/>
              <w:right w:val="nil"/>
            </w:tcBorders>
            <w:shd w:val="clear" w:color="auto" w:fill="auto"/>
            <w:noWrap/>
            <w:vAlign w:val="bottom"/>
            <w:hideMark/>
          </w:tcPr>
          <w:p w14:paraId="7779D623"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c>
          <w:tcPr>
            <w:tcW w:w="917" w:type="pct"/>
            <w:tcBorders>
              <w:top w:val="nil"/>
              <w:left w:val="nil"/>
              <w:bottom w:val="single" w:sz="4" w:space="0" w:color="9C9D9F"/>
              <w:right w:val="nil"/>
            </w:tcBorders>
            <w:shd w:val="clear" w:color="auto" w:fill="auto"/>
            <w:noWrap/>
            <w:vAlign w:val="bottom"/>
            <w:hideMark/>
          </w:tcPr>
          <w:p w14:paraId="181905E9"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r>
      <w:tr w:rsidR="00D40CA6" w:rsidRPr="00D40CA6" w14:paraId="0F84E2B5"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2F862323"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Rozdíly z přepočtu</w:t>
            </w:r>
          </w:p>
        </w:tc>
        <w:tc>
          <w:tcPr>
            <w:tcW w:w="917" w:type="pct"/>
            <w:tcBorders>
              <w:top w:val="nil"/>
              <w:left w:val="nil"/>
              <w:bottom w:val="single" w:sz="4" w:space="0" w:color="9C9D9F"/>
              <w:right w:val="nil"/>
            </w:tcBorders>
            <w:shd w:val="clear" w:color="auto" w:fill="auto"/>
            <w:noWrap/>
            <w:vAlign w:val="bottom"/>
            <w:hideMark/>
          </w:tcPr>
          <w:p w14:paraId="47FEC66A"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251 860</w:t>
            </w:r>
          </w:p>
        </w:tc>
        <w:tc>
          <w:tcPr>
            <w:tcW w:w="917" w:type="pct"/>
            <w:tcBorders>
              <w:top w:val="nil"/>
              <w:left w:val="nil"/>
              <w:bottom w:val="single" w:sz="4" w:space="0" w:color="9C9D9F"/>
              <w:right w:val="nil"/>
            </w:tcBorders>
            <w:shd w:val="clear" w:color="auto" w:fill="auto"/>
            <w:noWrap/>
            <w:vAlign w:val="bottom"/>
            <w:hideMark/>
          </w:tcPr>
          <w:p w14:paraId="140E9C0A" w14:textId="1010A36E"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282 375</w:t>
            </w:r>
          </w:p>
        </w:tc>
      </w:tr>
      <w:tr w:rsidR="00D40CA6" w:rsidRPr="00D40CA6" w14:paraId="113DFA25"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77FA00A2"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Zajištění peněžních toků</w:t>
            </w:r>
          </w:p>
        </w:tc>
        <w:tc>
          <w:tcPr>
            <w:tcW w:w="917" w:type="pct"/>
            <w:tcBorders>
              <w:top w:val="nil"/>
              <w:left w:val="nil"/>
              <w:bottom w:val="single" w:sz="4" w:space="0" w:color="9C9D9F"/>
              <w:right w:val="nil"/>
            </w:tcBorders>
            <w:shd w:val="clear" w:color="auto" w:fill="auto"/>
            <w:noWrap/>
            <w:vAlign w:val="bottom"/>
            <w:hideMark/>
          </w:tcPr>
          <w:p w14:paraId="4CF7409C"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41 265</w:t>
            </w:r>
          </w:p>
        </w:tc>
        <w:tc>
          <w:tcPr>
            <w:tcW w:w="917" w:type="pct"/>
            <w:tcBorders>
              <w:top w:val="nil"/>
              <w:left w:val="nil"/>
              <w:bottom w:val="single" w:sz="4" w:space="0" w:color="9C9D9F"/>
              <w:right w:val="nil"/>
            </w:tcBorders>
            <w:shd w:val="clear" w:color="auto" w:fill="auto"/>
            <w:noWrap/>
            <w:vAlign w:val="bottom"/>
            <w:hideMark/>
          </w:tcPr>
          <w:p w14:paraId="447680F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-6 183</w:t>
            </w:r>
          </w:p>
        </w:tc>
      </w:tr>
      <w:tr w:rsidR="00D40CA6" w:rsidRPr="00D40CA6" w14:paraId="1B680E50"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11B20754"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Nerozdělený zisk</w:t>
            </w:r>
          </w:p>
        </w:tc>
        <w:tc>
          <w:tcPr>
            <w:tcW w:w="917" w:type="pct"/>
            <w:tcBorders>
              <w:top w:val="nil"/>
              <w:left w:val="nil"/>
              <w:bottom w:val="single" w:sz="4" w:space="0" w:color="9C9D9F"/>
              <w:right w:val="nil"/>
            </w:tcBorders>
            <w:shd w:val="clear" w:color="auto" w:fill="auto"/>
            <w:noWrap/>
            <w:vAlign w:val="bottom"/>
            <w:hideMark/>
          </w:tcPr>
          <w:p w14:paraId="75CFE998"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3 526 424</w:t>
            </w:r>
          </w:p>
        </w:tc>
        <w:tc>
          <w:tcPr>
            <w:tcW w:w="917" w:type="pct"/>
            <w:tcBorders>
              <w:top w:val="nil"/>
              <w:left w:val="nil"/>
              <w:bottom w:val="single" w:sz="4" w:space="0" w:color="9C9D9F"/>
              <w:right w:val="nil"/>
            </w:tcBorders>
            <w:shd w:val="clear" w:color="auto" w:fill="auto"/>
            <w:noWrap/>
            <w:vAlign w:val="bottom"/>
            <w:hideMark/>
          </w:tcPr>
          <w:p w14:paraId="44416261" w14:textId="695A60E4"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3 806 349</w:t>
            </w:r>
          </w:p>
        </w:tc>
      </w:tr>
      <w:tr w:rsidR="00D40CA6" w:rsidRPr="00D40CA6" w14:paraId="580E8DE6"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01F9DC32"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Základní kapitál a rezervní fondy celkem</w:t>
            </w:r>
          </w:p>
        </w:tc>
        <w:tc>
          <w:tcPr>
            <w:tcW w:w="917" w:type="pct"/>
            <w:tcBorders>
              <w:top w:val="nil"/>
              <w:left w:val="nil"/>
              <w:bottom w:val="single" w:sz="4" w:space="0" w:color="9C9D9F"/>
              <w:right w:val="nil"/>
            </w:tcBorders>
            <w:shd w:val="clear" w:color="auto" w:fill="auto"/>
            <w:noWrap/>
            <w:vAlign w:val="bottom"/>
            <w:hideMark/>
          </w:tcPr>
          <w:p w14:paraId="6981286D"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4 206 107</w:t>
            </w:r>
          </w:p>
        </w:tc>
        <w:tc>
          <w:tcPr>
            <w:tcW w:w="917" w:type="pct"/>
            <w:tcBorders>
              <w:top w:val="nil"/>
              <w:left w:val="nil"/>
              <w:bottom w:val="single" w:sz="4" w:space="0" w:color="9C9D9F"/>
              <w:right w:val="nil"/>
            </w:tcBorders>
            <w:shd w:val="clear" w:color="auto" w:fill="auto"/>
            <w:noWrap/>
            <w:vAlign w:val="bottom"/>
            <w:hideMark/>
          </w:tcPr>
          <w:p w14:paraId="1AF8DBA2" w14:textId="4B43F1EE" w:rsidR="00D40CA6" w:rsidRPr="00D40CA6" w:rsidRDefault="00803DB8" w:rsidP="00D40CA6">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4 469 099</w:t>
            </w:r>
          </w:p>
        </w:tc>
      </w:tr>
      <w:tr w:rsidR="00D40CA6" w:rsidRPr="00D40CA6" w14:paraId="264689C9" w14:textId="77777777" w:rsidTr="00D40CA6">
        <w:trPr>
          <w:trHeight w:val="150"/>
        </w:trPr>
        <w:tc>
          <w:tcPr>
            <w:tcW w:w="3166" w:type="pct"/>
            <w:tcBorders>
              <w:top w:val="nil"/>
              <w:left w:val="nil"/>
              <w:bottom w:val="nil"/>
              <w:right w:val="nil"/>
            </w:tcBorders>
            <w:shd w:val="clear" w:color="auto" w:fill="auto"/>
            <w:noWrap/>
            <w:vAlign w:val="bottom"/>
            <w:hideMark/>
          </w:tcPr>
          <w:p w14:paraId="4166854C"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917" w:type="pct"/>
            <w:tcBorders>
              <w:top w:val="nil"/>
              <w:left w:val="nil"/>
              <w:bottom w:val="nil"/>
              <w:right w:val="nil"/>
            </w:tcBorders>
            <w:shd w:val="clear" w:color="auto" w:fill="auto"/>
            <w:noWrap/>
            <w:vAlign w:val="bottom"/>
            <w:hideMark/>
          </w:tcPr>
          <w:p w14:paraId="15149F29"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532AA69C"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4B6A83A9" w14:textId="77777777" w:rsidTr="00D40CA6">
        <w:trPr>
          <w:trHeight w:val="255"/>
        </w:trPr>
        <w:tc>
          <w:tcPr>
            <w:tcW w:w="3166" w:type="pct"/>
            <w:tcBorders>
              <w:top w:val="nil"/>
              <w:left w:val="nil"/>
              <w:bottom w:val="nil"/>
              <w:right w:val="nil"/>
            </w:tcBorders>
            <w:shd w:val="clear" w:color="000000" w:fill="9C9D9F"/>
            <w:noWrap/>
            <w:vAlign w:val="bottom"/>
            <w:hideMark/>
          </w:tcPr>
          <w:p w14:paraId="7B20B90F"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Dlouhodobé závazky</w:t>
            </w:r>
          </w:p>
        </w:tc>
        <w:tc>
          <w:tcPr>
            <w:tcW w:w="917" w:type="pct"/>
            <w:tcBorders>
              <w:top w:val="nil"/>
              <w:left w:val="nil"/>
              <w:bottom w:val="nil"/>
              <w:right w:val="nil"/>
            </w:tcBorders>
            <w:shd w:val="clear" w:color="000000" w:fill="9C9D9F"/>
            <w:noWrap/>
            <w:vAlign w:val="bottom"/>
            <w:hideMark/>
          </w:tcPr>
          <w:p w14:paraId="31687ADF"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nil"/>
              <w:left w:val="nil"/>
              <w:bottom w:val="nil"/>
              <w:right w:val="nil"/>
            </w:tcBorders>
            <w:shd w:val="clear" w:color="000000" w:fill="9C9D9F"/>
            <w:noWrap/>
            <w:vAlign w:val="bottom"/>
            <w:hideMark/>
          </w:tcPr>
          <w:p w14:paraId="103E91C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0517EF31"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5049CF79"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Dlouhodobé bankovní úvěry</w:t>
            </w:r>
          </w:p>
        </w:tc>
        <w:tc>
          <w:tcPr>
            <w:tcW w:w="917" w:type="pct"/>
            <w:tcBorders>
              <w:top w:val="nil"/>
              <w:left w:val="nil"/>
              <w:bottom w:val="single" w:sz="4" w:space="0" w:color="9C9D9F"/>
              <w:right w:val="nil"/>
            </w:tcBorders>
            <w:shd w:val="clear" w:color="auto" w:fill="auto"/>
            <w:noWrap/>
            <w:vAlign w:val="bottom"/>
            <w:hideMark/>
          </w:tcPr>
          <w:p w14:paraId="3AA9301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c>
          <w:tcPr>
            <w:tcW w:w="917" w:type="pct"/>
            <w:tcBorders>
              <w:top w:val="nil"/>
              <w:left w:val="nil"/>
              <w:bottom w:val="single" w:sz="4" w:space="0" w:color="9C9D9F"/>
              <w:right w:val="nil"/>
            </w:tcBorders>
            <w:shd w:val="clear" w:color="auto" w:fill="auto"/>
            <w:noWrap/>
            <w:vAlign w:val="bottom"/>
            <w:hideMark/>
          </w:tcPr>
          <w:p w14:paraId="07A5F79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r>
      <w:tr w:rsidR="00D40CA6" w:rsidRPr="00D40CA6" w14:paraId="68BB33CB"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023FD909"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Odložený daňový závazek</w:t>
            </w:r>
          </w:p>
        </w:tc>
        <w:tc>
          <w:tcPr>
            <w:tcW w:w="917" w:type="pct"/>
            <w:tcBorders>
              <w:top w:val="nil"/>
              <w:left w:val="nil"/>
              <w:bottom w:val="single" w:sz="4" w:space="0" w:color="9C9D9F"/>
              <w:right w:val="nil"/>
            </w:tcBorders>
            <w:shd w:val="clear" w:color="auto" w:fill="auto"/>
            <w:noWrap/>
            <w:vAlign w:val="bottom"/>
            <w:hideMark/>
          </w:tcPr>
          <w:p w14:paraId="6675E48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517 033</w:t>
            </w:r>
          </w:p>
        </w:tc>
        <w:tc>
          <w:tcPr>
            <w:tcW w:w="917" w:type="pct"/>
            <w:tcBorders>
              <w:top w:val="nil"/>
              <w:left w:val="nil"/>
              <w:bottom w:val="single" w:sz="4" w:space="0" w:color="9C9D9F"/>
              <w:right w:val="nil"/>
            </w:tcBorders>
            <w:shd w:val="clear" w:color="auto" w:fill="auto"/>
            <w:noWrap/>
            <w:vAlign w:val="bottom"/>
            <w:hideMark/>
          </w:tcPr>
          <w:p w14:paraId="53CC894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506 975</w:t>
            </w:r>
          </w:p>
        </w:tc>
      </w:tr>
      <w:tr w:rsidR="00D40CA6" w:rsidRPr="00D40CA6" w14:paraId="2DE12FC4"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70BEEC21"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Dlouhodobé dluhopisy</w:t>
            </w:r>
          </w:p>
        </w:tc>
        <w:tc>
          <w:tcPr>
            <w:tcW w:w="917" w:type="pct"/>
            <w:tcBorders>
              <w:top w:val="nil"/>
              <w:left w:val="nil"/>
              <w:bottom w:val="single" w:sz="4" w:space="0" w:color="9C9D9F"/>
              <w:right w:val="nil"/>
            </w:tcBorders>
            <w:shd w:val="clear" w:color="auto" w:fill="auto"/>
            <w:noWrap/>
            <w:vAlign w:val="bottom"/>
            <w:hideMark/>
          </w:tcPr>
          <w:p w14:paraId="677591B7"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3 920 618</w:t>
            </w:r>
          </w:p>
        </w:tc>
        <w:tc>
          <w:tcPr>
            <w:tcW w:w="917" w:type="pct"/>
            <w:tcBorders>
              <w:top w:val="nil"/>
              <w:left w:val="nil"/>
              <w:bottom w:val="single" w:sz="4" w:space="0" w:color="9C9D9F"/>
              <w:right w:val="nil"/>
            </w:tcBorders>
            <w:shd w:val="clear" w:color="auto" w:fill="auto"/>
            <w:noWrap/>
            <w:vAlign w:val="bottom"/>
            <w:hideMark/>
          </w:tcPr>
          <w:p w14:paraId="246410B2"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3 944 500</w:t>
            </w:r>
          </w:p>
        </w:tc>
      </w:tr>
      <w:tr w:rsidR="00D40CA6" w:rsidRPr="00D40CA6" w14:paraId="04E6E33F"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32F24766"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Dlouhodobé závazky celkem</w:t>
            </w:r>
          </w:p>
        </w:tc>
        <w:tc>
          <w:tcPr>
            <w:tcW w:w="917" w:type="pct"/>
            <w:tcBorders>
              <w:top w:val="nil"/>
              <w:left w:val="nil"/>
              <w:bottom w:val="single" w:sz="4" w:space="0" w:color="9C9D9F"/>
              <w:right w:val="nil"/>
            </w:tcBorders>
            <w:shd w:val="clear" w:color="auto" w:fill="auto"/>
            <w:noWrap/>
            <w:vAlign w:val="bottom"/>
            <w:hideMark/>
          </w:tcPr>
          <w:p w14:paraId="13A9DBB0"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4 437 651</w:t>
            </w:r>
          </w:p>
        </w:tc>
        <w:tc>
          <w:tcPr>
            <w:tcW w:w="917" w:type="pct"/>
            <w:tcBorders>
              <w:top w:val="nil"/>
              <w:left w:val="nil"/>
              <w:bottom w:val="single" w:sz="4" w:space="0" w:color="9C9D9F"/>
              <w:right w:val="nil"/>
            </w:tcBorders>
            <w:shd w:val="clear" w:color="auto" w:fill="auto"/>
            <w:noWrap/>
            <w:vAlign w:val="bottom"/>
            <w:hideMark/>
          </w:tcPr>
          <w:p w14:paraId="765DBB49"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4 451 475</w:t>
            </w:r>
          </w:p>
        </w:tc>
      </w:tr>
      <w:tr w:rsidR="00D40CA6" w:rsidRPr="00D40CA6" w14:paraId="6E948E7B" w14:textId="77777777" w:rsidTr="00D40CA6">
        <w:trPr>
          <w:trHeight w:val="150"/>
        </w:trPr>
        <w:tc>
          <w:tcPr>
            <w:tcW w:w="3166" w:type="pct"/>
            <w:tcBorders>
              <w:top w:val="nil"/>
              <w:left w:val="nil"/>
              <w:bottom w:val="nil"/>
              <w:right w:val="nil"/>
            </w:tcBorders>
            <w:shd w:val="clear" w:color="auto" w:fill="auto"/>
            <w:noWrap/>
            <w:vAlign w:val="bottom"/>
            <w:hideMark/>
          </w:tcPr>
          <w:p w14:paraId="28A8A7F4"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p>
        </w:tc>
        <w:tc>
          <w:tcPr>
            <w:tcW w:w="917" w:type="pct"/>
            <w:tcBorders>
              <w:top w:val="nil"/>
              <w:left w:val="nil"/>
              <w:bottom w:val="nil"/>
              <w:right w:val="nil"/>
            </w:tcBorders>
            <w:shd w:val="clear" w:color="auto" w:fill="auto"/>
            <w:noWrap/>
            <w:vAlign w:val="bottom"/>
            <w:hideMark/>
          </w:tcPr>
          <w:p w14:paraId="693FFABA" w14:textId="77777777" w:rsidR="00D40CA6" w:rsidRPr="00D40CA6" w:rsidRDefault="00D40CA6" w:rsidP="00D40CA6">
            <w:pPr>
              <w:spacing w:before="0" w:beforeAutospacing="0" w:after="0" w:afterAutospacing="0"/>
              <w:jc w:val="left"/>
              <w:rPr>
                <w:rFonts w:ascii="Times New Roman" w:hAnsi="Times New Roman"/>
                <w:sz w:val="20"/>
                <w:szCs w:val="20"/>
              </w:rPr>
            </w:pPr>
          </w:p>
        </w:tc>
        <w:tc>
          <w:tcPr>
            <w:tcW w:w="917" w:type="pct"/>
            <w:tcBorders>
              <w:top w:val="nil"/>
              <w:left w:val="nil"/>
              <w:bottom w:val="nil"/>
              <w:right w:val="nil"/>
            </w:tcBorders>
            <w:shd w:val="clear" w:color="auto" w:fill="auto"/>
            <w:noWrap/>
            <w:vAlign w:val="bottom"/>
            <w:hideMark/>
          </w:tcPr>
          <w:p w14:paraId="5682AF86" w14:textId="77777777" w:rsidR="00D40CA6" w:rsidRPr="00D40CA6" w:rsidRDefault="00D40CA6" w:rsidP="00D40CA6">
            <w:pPr>
              <w:spacing w:before="0" w:beforeAutospacing="0" w:after="0" w:afterAutospacing="0"/>
              <w:ind w:firstLineChars="100" w:firstLine="200"/>
              <w:jc w:val="right"/>
              <w:rPr>
                <w:rFonts w:ascii="Times New Roman" w:hAnsi="Times New Roman"/>
                <w:sz w:val="20"/>
                <w:szCs w:val="20"/>
              </w:rPr>
            </w:pPr>
          </w:p>
        </w:tc>
      </w:tr>
      <w:tr w:rsidR="00D40CA6" w:rsidRPr="00D40CA6" w14:paraId="7BC68401" w14:textId="77777777" w:rsidTr="00D40CA6">
        <w:trPr>
          <w:trHeight w:val="255"/>
        </w:trPr>
        <w:tc>
          <w:tcPr>
            <w:tcW w:w="3166" w:type="pct"/>
            <w:tcBorders>
              <w:top w:val="nil"/>
              <w:left w:val="nil"/>
              <w:bottom w:val="nil"/>
              <w:right w:val="nil"/>
            </w:tcBorders>
            <w:shd w:val="clear" w:color="000000" w:fill="9C9D9F"/>
            <w:noWrap/>
            <w:vAlign w:val="bottom"/>
            <w:hideMark/>
          </w:tcPr>
          <w:p w14:paraId="542AE69D"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Krátkodobé závazky</w:t>
            </w:r>
          </w:p>
        </w:tc>
        <w:tc>
          <w:tcPr>
            <w:tcW w:w="917" w:type="pct"/>
            <w:tcBorders>
              <w:top w:val="nil"/>
              <w:left w:val="nil"/>
              <w:bottom w:val="nil"/>
              <w:right w:val="nil"/>
            </w:tcBorders>
            <w:shd w:val="clear" w:color="000000" w:fill="9C9D9F"/>
            <w:noWrap/>
            <w:vAlign w:val="bottom"/>
            <w:hideMark/>
          </w:tcPr>
          <w:p w14:paraId="0CDDFE7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c>
          <w:tcPr>
            <w:tcW w:w="917" w:type="pct"/>
            <w:tcBorders>
              <w:top w:val="nil"/>
              <w:left w:val="nil"/>
              <w:bottom w:val="nil"/>
              <w:right w:val="nil"/>
            </w:tcBorders>
            <w:shd w:val="clear" w:color="000000" w:fill="9C9D9F"/>
            <w:noWrap/>
            <w:vAlign w:val="bottom"/>
            <w:hideMark/>
          </w:tcPr>
          <w:p w14:paraId="3B77BE26"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w:t>
            </w:r>
          </w:p>
        </w:tc>
      </w:tr>
      <w:tr w:rsidR="00D40CA6" w:rsidRPr="00D40CA6" w14:paraId="5AD17C3F"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09C31027"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Závazky z obchodních vztahů a jiné závazky</w:t>
            </w:r>
          </w:p>
        </w:tc>
        <w:tc>
          <w:tcPr>
            <w:tcW w:w="917" w:type="pct"/>
            <w:tcBorders>
              <w:top w:val="nil"/>
              <w:left w:val="nil"/>
              <w:bottom w:val="single" w:sz="4" w:space="0" w:color="9C9D9F"/>
              <w:right w:val="nil"/>
            </w:tcBorders>
            <w:shd w:val="clear" w:color="auto" w:fill="auto"/>
            <w:noWrap/>
            <w:vAlign w:val="bottom"/>
            <w:hideMark/>
          </w:tcPr>
          <w:p w14:paraId="1B4F7054"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482 509</w:t>
            </w:r>
          </w:p>
        </w:tc>
        <w:tc>
          <w:tcPr>
            <w:tcW w:w="917" w:type="pct"/>
            <w:tcBorders>
              <w:top w:val="nil"/>
              <w:left w:val="nil"/>
              <w:bottom w:val="single" w:sz="4" w:space="0" w:color="9C9D9F"/>
              <w:right w:val="nil"/>
            </w:tcBorders>
            <w:shd w:val="clear" w:color="auto" w:fill="auto"/>
            <w:noWrap/>
            <w:vAlign w:val="bottom"/>
            <w:hideMark/>
          </w:tcPr>
          <w:p w14:paraId="5194F6EB" w14:textId="08A50EE8" w:rsidR="00D40CA6" w:rsidRPr="00D40CA6" w:rsidRDefault="00803DB8"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466 532</w:t>
            </w:r>
          </w:p>
        </w:tc>
      </w:tr>
      <w:tr w:rsidR="00D40CA6" w:rsidRPr="00D40CA6" w14:paraId="1C2135FE"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319865CA"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Daňové závazky</w:t>
            </w:r>
          </w:p>
        </w:tc>
        <w:tc>
          <w:tcPr>
            <w:tcW w:w="917" w:type="pct"/>
            <w:tcBorders>
              <w:top w:val="nil"/>
              <w:left w:val="nil"/>
              <w:bottom w:val="single" w:sz="4" w:space="0" w:color="9C9D9F"/>
              <w:right w:val="nil"/>
            </w:tcBorders>
            <w:shd w:val="clear" w:color="auto" w:fill="auto"/>
            <w:noWrap/>
            <w:vAlign w:val="bottom"/>
            <w:hideMark/>
          </w:tcPr>
          <w:p w14:paraId="3E85B54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11 108</w:t>
            </w:r>
          </w:p>
        </w:tc>
        <w:tc>
          <w:tcPr>
            <w:tcW w:w="917" w:type="pct"/>
            <w:tcBorders>
              <w:top w:val="nil"/>
              <w:left w:val="nil"/>
              <w:bottom w:val="single" w:sz="4" w:space="0" w:color="9C9D9F"/>
              <w:right w:val="nil"/>
            </w:tcBorders>
            <w:shd w:val="clear" w:color="auto" w:fill="auto"/>
            <w:noWrap/>
            <w:vAlign w:val="bottom"/>
            <w:hideMark/>
          </w:tcPr>
          <w:p w14:paraId="2A871AF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13 998</w:t>
            </w:r>
          </w:p>
        </w:tc>
      </w:tr>
      <w:tr w:rsidR="00D40CA6" w:rsidRPr="00D40CA6" w14:paraId="04817636"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41210BB8" w14:textId="3D818B50" w:rsidR="00D40CA6" w:rsidRPr="00D40CA6" w:rsidRDefault="00D40CA6" w:rsidP="00261661">
            <w:pPr>
              <w:spacing w:before="0" w:beforeAutospacing="0" w:after="0" w:afterAutospacing="0"/>
              <w:jc w:val="left"/>
              <w:rPr>
                <w:rFonts w:ascii="Calibri" w:hAnsi="Calibri" w:cs="Calibri"/>
                <w:sz w:val="20"/>
                <w:szCs w:val="20"/>
              </w:rPr>
            </w:pPr>
            <w:r w:rsidRPr="00D40CA6">
              <w:rPr>
                <w:rFonts w:ascii="Calibri" w:hAnsi="Calibri" w:cs="Calibri"/>
                <w:sz w:val="20"/>
                <w:szCs w:val="20"/>
              </w:rPr>
              <w:t>Krátkodob</w:t>
            </w:r>
            <w:r w:rsidR="003253FE">
              <w:rPr>
                <w:rFonts w:ascii="Calibri" w:hAnsi="Calibri" w:cs="Calibri"/>
                <w:sz w:val="20"/>
                <w:szCs w:val="20"/>
              </w:rPr>
              <w:t>é</w:t>
            </w:r>
            <w:r w:rsidRPr="00D40CA6">
              <w:rPr>
                <w:rFonts w:ascii="Calibri" w:hAnsi="Calibri" w:cs="Calibri"/>
                <w:sz w:val="20"/>
                <w:szCs w:val="20"/>
              </w:rPr>
              <w:t xml:space="preserve"> bankovní úvěr</w:t>
            </w:r>
            <w:r w:rsidR="003253FE">
              <w:rPr>
                <w:rFonts w:ascii="Calibri" w:hAnsi="Calibri" w:cs="Calibri"/>
                <w:sz w:val="20"/>
                <w:szCs w:val="20"/>
              </w:rPr>
              <w:t>y</w:t>
            </w:r>
          </w:p>
        </w:tc>
        <w:tc>
          <w:tcPr>
            <w:tcW w:w="917" w:type="pct"/>
            <w:tcBorders>
              <w:top w:val="nil"/>
              <w:left w:val="nil"/>
              <w:bottom w:val="single" w:sz="4" w:space="0" w:color="9C9D9F"/>
              <w:right w:val="nil"/>
            </w:tcBorders>
            <w:shd w:val="clear" w:color="auto" w:fill="auto"/>
            <w:noWrap/>
            <w:vAlign w:val="bottom"/>
            <w:hideMark/>
          </w:tcPr>
          <w:p w14:paraId="2BCB5F65" w14:textId="76FA170B" w:rsidR="00D40CA6" w:rsidRPr="00D40CA6" w:rsidRDefault="00D40CA6" w:rsidP="00C21A90">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 xml:space="preserve"> </w:t>
            </w:r>
            <w:r w:rsidR="00C21A90">
              <w:rPr>
                <w:rFonts w:ascii="Calibri" w:hAnsi="Calibri" w:cs="Calibri"/>
                <w:sz w:val="20"/>
                <w:szCs w:val="20"/>
              </w:rPr>
              <w:t>2</w:t>
            </w:r>
            <w:r w:rsidRPr="00D40CA6">
              <w:rPr>
                <w:rFonts w:ascii="Calibri" w:hAnsi="Calibri" w:cs="Calibri"/>
                <w:sz w:val="20"/>
                <w:szCs w:val="20"/>
              </w:rPr>
              <w:t>7</w:t>
            </w:r>
            <w:r w:rsidR="00C21A90">
              <w:rPr>
                <w:rFonts w:ascii="Calibri" w:hAnsi="Calibri" w:cs="Calibri"/>
                <w:sz w:val="20"/>
                <w:szCs w:val="20"/>
              </w:rPr>
              <w:t>1</w:t>
            </w:r>
            <w:r w:rsidRPr="00D40CA6">
              <w:rPr>
                <w:rFonts w:ascii="Calibri" w:hAnsi="Calibri" w:cs="Calibri"/>
                <w:sz w:val="20"/>
                <w:szCs w:val="20"/>
              </w:rPr>
              <w:t xml:space="preserve"> 417</w:t>
            </w:r>
          </w:p>
        </w:tc>
        <w:tc>
          <w:tcPr>
            <w:tcW w:w="917" w:type="pct"/>
            <w:tcBorders>
              <w:top w:val="nil"/>
              <w:left w:val="nil"/>
              <w:bottom w:val="single" w:sz="4" w:space="0" w:color="9C9D9F"/>
              <w:right w:val="nil"/>
            </w:tcBorders>
            <w:shd w:val="clear" w:color="auto" w:fill="auto"/>
            <w:noWrap/>
            <w:vAlign w:val="bottom"/>
            <w:hideMark/>
          </w:tcPr>
          <w:p w14:paraId="34177F75" w14:textId="2F1465FF" w:rsidR="00E9781D" w:rsidRPr="00D40CA6" w:rsidRDefault="00E9781D" w:rsidP="00E9781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0</w:t>
            </w:r>
          </w:p>
        </w:tc>
      </w:tr>
      <w:tr w:rsidR="00D40CA6" w:rsidRPr="00D40CA6" w14:paraId="096BA722" w14:textId="77777777" w:rsidTr="00D40CA6">
        <w:trPr>
          <w:trHeight w:val="255"/>
        </w:trPr>
        <w:tc>
          <w:tcPr>
            <w:tcW w:w="3166" w:type="pct"/>
            <w:tcBorders>
              <w:top w:val="nil"/>
              <w:left w:val="nil"/>
              <w:bottom w:val="single" w:sz="4" w:space="0" w:color="9C9D9F"/>
              <w:right w:val="nil"/>
            </w:tcBorders>
            <w:shd w:val="clear" w:color="auto" w:fill="auto"/>
            <w:noWrap/>
            <w:vAlign w:val="bottom"/>
          </w:tcPr>
          <w:p w14:paraId="71A527B7" w14:textId="77871755" w:rsidR="00D40CA6" w:rsidRPr="00D40CA6" w:rsidRDefault="00D40CA6" w:rsidP="00D40CA6">
            <w:pPr>
              <w:spacing w:before="0" w:beforeAutospacing="0" w:after="0" w:afterAutospacing="0"/>
              <w:jc w:val="left"/>
              <w:rPr>
                <w:rFonts w:ascii="Calibri" w:hAnsi="Calibri" w:cs="Calibri"/>
                <w:sz w:val="20"/>
                <w:szCs w:val="20"/>
              </w:rPr>
            </w:pPr>
            <w:r>
              <w:rPr>
                <w:rFonts w:ascii="Calibri" w:hAnsi="Calibri" w:cs="Calibri"/>
                <w:sz w:val="20"/>
                <w:szCs w:val="20"/>
              </w:rPr>
              <w:t>Krátkodobé dluhopisy</w:t>
            </w:r>
          </w:p>
        </w:tc>
        <w:tc>
          <w:tcPr>
            <w:tcW w:w="917" w:type="pct"/>
            <w:tcBorders>
              <w:top w:val="nil"/>
              <w:left w:val="nil"/>
              <w:bottom w:val="single" w:sz="4" w:space="0" w:color="9C9D9F"/>
              <w:right w:val="nil"/>
            </w:tcBorders>
            <w:shd w:val="clear" w:color="auto" w:fill="auto"/>
            <w:noWrap/>
            <w:vAlign w:val="bottom"/>
          </w:tcPr>
          <w:p w14:paraId="67F19C67" w14:textId="7C8124C5" w:rsidR="00D40CA6" w:rsidRPr="00D40CA6" w:rsidRDefault="00C21A90"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2 302 000</w:t>
            </w:r>
          </w:p>
        </w:tc>
        <w:tc>
          <w:tcPr>
            <w:tcW w:w="917" w:type="pct"/>
            <w:tcBorders>
              <w:top w:val="nil"/>
              <w:left w:val="nil"/>
              <w:bottom w:val="single" w:sz="4" w:space="0" w:color="9C9D9F"/>
              <w:right w:val="nil"/>
            </w:tcBorders>
            <w:shd w:val="clear" w:color="auto" w:fill="auto"/>
            <w:noWrap/>
            <w:vAlign w:val="bottom"/>
          </w:tcPr>
          <w:p w14:paraId="3B09FE40" w14:textId="1CB2C4EE" w:rsidR="00D40CA6" w:rsidRPr="00D40CA6" w:rsidRDefault="00C21A90" w:rsidP="00D40CA6">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2 302 000</w:t>
            </w:r>
          </w:p>
        </w:tc>
      </w:tr>
      <w:tr w:rsidR="00D40CA6" w:rsidRPr="00D40CA6" w14:paraId="46D182E0"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75A0ACC3" w14:textId="77777777" w:rsidR="00D40CA6" w:rsidRPr="00D40CA6" w:rsidRDefault="00D40CA6" w:rsidP="00D40CA6">
            <w:pPr>
              <w:spacing w:before="0" w:beforeAutospacing="0" w:after="0" w:afterAutospacing="0"/>
              <w:jc w:val="left"/>
              <w:rPr>
                <w:rFonts w:ascii="Calibri" w:hAnsi="Calibri" w:cs="Calibri"/>
                <w:sz w:val="20"/>
                <w:szCs w:val="20"/>
              </w:rPr>
            </w:pPr>
            <w:r w:rsidRPr="00D40CA6">
              <w:rPr>
                <w:rFonts w:ascii="Calibri" w:hAnsi="Calibri" w:cs="Calibri"/>
                <w:sz w:val="20"/>
                <w:szCs w:val="20"/>
              </w:rPr>
              <w:t>Rezervy</w:t>
            </w:r>
          </w:p>
        </w:tc>
        <w:tc>
          <w:tcPr>
            <w:tcW w:w="917" w:type="pct"/>
            <w:tcBorders>
              <w:top w:val="nil"/>
              <w:left w:val="nil"/>
              <w:bottom w:val="single" w:sz="4" w:space="0" w:color="9C9D9F"/>
              <w:right w:val="nil"/>
            </w:tcBorders>
            <w:shd w:val="clear" w:color="auto" w:fill="auto"/>
            <w:noWrap/>
            <w:vAlign w:val="bottom"/>
            <w:hideMark/>
          </w:tcPr>
          <w:p w14:paraId="3010A90E"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0</w:t>
            </w:r>
          </w:p>
        </w:tc>
        <w:tc>
          <w:tcPr>
            <w:tcW w:w="917" w:type="pct"/>
            <w:tcBorders>
              <w:top w:val="nil"/>
              <w:left w:val="nil"/>
              <w:bottom w:val="single" w:sz="4" w:space="0" w:color="9C9D9F"/>
              <w:right w:val="nil"/>
            </w:tcBorders>
            <w:shd w:val="clear" w:color="auto" w:fill="auto"/>
            <w:noWrap/>
            <w:vAlign w:val="bottom"/>
            <w:hideMark/>
          </w:tcPr>
          <w:p w14:paraId="0A324D70" w14:textId="77777777" w:rsidR="00D40CA6" w:rsidRPr="00D40CA6" w:rsidRDefault="00D40CA6" w:rsidP="00D40CA6">
            <w:pPr>
              <w:spacing w:before="0" w:beforeAutospacing="0" w:after="0" w:afterAutospacing="0"/>
              <w:ind w:firstLineChars="100" w:firstLine="200"/>
              <w:jc w:val="right"/>
              <w:rPr>
                <w:rFonts w:ascii="Calibri" w:hAnsi="Calibri" w:cs="Calibri"/>
                <w:sz w:val="20"/>
                <w:szCs w:val="20"/>
              </w:rPr>
            </w:pPr>
            <w:r w:rsidRPr="00D40CA6">
              <w:rPr>
                <w:rFonts w:ascii="Calibri" w:hAnsi="Calibri" w:cs="Calibri"/>
                <w:sz w:val="20"/>
                <w:szCs w:val="20"/>
              </w:rPr>
              <w:t>13 968</w:t>
            </w:r>
          </w:p>
        </w:tc>
      </w:tr>
      <w:tr w:rsidR="00D40CA6" w:rsidRPr="00D40CA6" w14:paraId="1EB2D084"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6E96A643"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Krátkodobé závazky celkem</w:t>
            </w:r>
          </w:p>
        </w:tc>
        <w:tc>
          <w:tcPr>
            <w:tcW w:w="917" w:type="pct"/>
            <w:tcBorders>
              <w:top w:val="nil"/>
              <w:left w:val="nil"/>
              <w:bottom w:val="single" w:sz="4" w:space="0" w:color="9C9D9F"/>
              <w:right w:val="nil"/>
            </w:tcBorders>
            <w:shd w:val="clear" w:color="auto" w:fill="auto"/>
            <w:noWrap/>
            <w:vAlign w:val="bottom"/>
            <w:hideMark/>
          </w:tcPr>
          <w:p w14:paraId="24753ED8"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3 067 034</w:t>
            </w:r>
          </w:p>
        </w:tc>
        <w:tc>
          <w:tcPr>
            <w:tcW w:w="917" w:type="pct"/>
            <w:tcBorders>
              <w:top w:val="nil"/>
              <w:left w:val="nil"/>
              <w:bottom w:val="single" w:sz="4" w:space="0" w:color="9C9D9F"/>
              <w:right w:val="nil"/>
            </w:tcBorders>
            <w:shd w:val="clear" w:color="auto" w:fill="auto"/>
            <w:noWrap/>
            <w:vAlign w:val="bottom"/>
            <w:hideMark/>
          </w:tcPr>
          <w:p w14:paraId="40F8AA87" w14:textId="1DDABED5" w:rsidR="00D40CA6" w:rsidRPr="00D40CA6" w:rsidRDefault="00803DB8" w:rsidP="00E9781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2 796 498</w:t>
            </w:r>
          </w:p>
        </w:tc>
      </w:tr>
      <w:tr w:rsidR="00D40CA6" w:rsidRPr="00D40CA6" w14:paraId="6EA328D7" w14:textId="77777777" w:rsidTr="00D40CA6">
        <w:trPr>
          <w:trHeight w:val="255"/>
        </w:trPr>
        <w:tc>
          <w:tcPr>
            <w:tcW w:w="3166" w:type="pct"/>
            <w:tcBorders>
              <w:top w:val="nil"/>
              <w:left w:val="nil"/>
              <w:bottom w:val="single" w:sz="4" w:space="0" w:color="9C9D9F"/>
              <w:right w:val="nil"/>
            </w:tcBorders>
            <w:shd w:val="clear" w:color="auto" w:fill="auto"/>
            <w:noWrap/>
            <w:vAlign w:val="bottom"/>
            <w:hideMark/>
          </w:tcPr>
          <w:p w14:paraId="4CF618C4"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Cizí zdroje celkem</w:t>
            </w:r>
          </w:p>
        </w:tc>
        <w:tc>
          <w:tcPr>
            <w:tcW w:w="917" w:type="pct"/>
            <w:tcBorders>
              <w:top w:val="nil"/>
              <w:left w:val="nil"/>
              <w:bottom w:val="single" w:sz="4" w:space="0" w:color="9C9D9F"/>
              <w:right w:val="nil"/>
            </w:tcBorders>
            <w:shd w:val="clear" w:color="auto" w:fill="auto"/>
            <w:noWrap/>
            <w:vAlign w:val="bottom"/>
            <w:hideMark/>
          </w:tcPr>
          <w:p w14:paraId="1820F59E"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7 504 685</w:t>
            </w:r>
          </w:p>
        </w:tc>
        <w:tc>
          <w:tcPr>
            <w:tcW w:w="917" w:type="pct"/>
            <w:tcBorders>
              <w:top w:val="nil"/>
              <w:left w:val="nil"/>
              <w:bottom w:val="single" w:sz="4" w:space="0" w:color="9C9D9F"/>
              <w:right w:val="nil"/>
            </w:tcBorders>
            <w:shd w:val="clear" w:color="auto" w:fill="auto"/>
            <w:noWrap/>
            <w:vAlign w:val="bottom"/>
            <w:hideMark/>
          </w:tcPr>
          <w:p w14:paraId="437B5CC7" w14:textId="4D127DC1" w:rsidR="00D40CA6" w:rsidRPr="00D40CA6" w:rsidRDefault="00803DB8" w:rsidP="00E9781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7 247 973</w:t>
            </w:r>
          </w:p>
        </w:tc>
      </w:tr>
      <w:tr w:rsidR="00D40CA6" w:rsidRPr="00D40CA6" w14:paraId="0BD2B5A3" w14:textId="77777777" w:rsidTr="00D40CA6">
        <w:trPr>
          <w:trHeight w:val="300"/>
        </w:trPr>
        <w:tc>
          <w:tcPr>
            <w:tcW w:w="3166" w:type="pct"/>
            <w:tcBorders>
              <w:top w:val="nil"/>
              <w:left w:val="nil"/>
              <w:bottom w:val="single" w:sz="4" w:space="0" w:color="9C9D9F"/>
              <w:right w:val="nil"/>
            </w:tcBorders>
            <w:shd w:val="clear" w:color="auto" w:fill="auto"/>
            <w:noWrap/>
            <w:vAlign w:val="bottom"/>
            <w:hideMark/>
          </w:tcPr>
          <w:p w14:paraId="0462A530" w14:textId="77777777" w:rsidR="00D40CA6" w:rsidRPr="00D40CA6" w:rsidRDefault="00D40CA6" w:rsidP="00D40CA6">
            <w:pPr>
              <w:spacing w:before="0" w:beforeAutospacing="0" w:after="0" w:afterAutospacing="0"/>
              <w:jc w:val="left"/>
              <w:rPr>
                <w:rFonts w:ascii="Calibri" w:hAnsi="Calibri" w:cs="Calibri"/>
                <w:b/>
                <w:bCs/>
                <w:sz w:val="20"/>
                <w:szCs w:val="20"/>
              </w:rPr>
            </w:pPr>
            <w:r w:rsidRPr="00D40CA6">
              <w:rPr>
                <w:rFonts w:ascii="Calibri" w:hAnsi="Calibri" w:cs="Calibri"/>
                <w:b/>
                <w:bCs/>
                <w:sz w:val="20"/>
                <w:szCs w:val="20"/>
              </w:rPr>
              <w:t>Vlastní kapitál a cizí zdroje celkem</w:t>
            </w:r>
          </w:p>
        </w:tc>
        <w:tc>
          <w:tcPr>
            <w:tcW w:w="917" w:type="pct"/>
            <w:tcBorders>
              <w:top w:val="nil"/>
              <w:left w:val="nil"/>
              <w:bottom w:val="single" w:sz="4" w:space="0" w:color="9C9D9F"/>
              <w:right w:val="nil"/>
            </w:tcBorders>
            <w:shd w:val="clear" w:color="auto" w:fill="auto"/>
            <w:noWrap/>
            <w:vAlign w:val="bottom"/>
            <w:hideMark/>
          </w:tcPr>
          <w:p w14:paraId="5767D743" w14:textId="77777777" w:rsidR="00D40CA6" w:rsidRPr="00D40CA6" w:rsidRDefault="00D40CA6" w:rsidP="00D40CA6">
            <w:pPr>
              <w:spacing w:before="0" w:beforeAutospacing="0" w:after="0" w:afterAutospacing="0"/>
              <w:ind w:firstLineChars="100" w:firstLine="200"/>
              <w:jc w:val="right"/>
              <w:rPr>
                <w:rFonts w:ascii="Calibri" w:hAnsi="Calibri" w:cs="Calibri"/>
                <w:b/>
                <w:bCs/>
                <w:sz w:val="20"/>
                <w:szCs w:val="20"/>
              </w:rPr>
            </w:pPr>
            <w:r w:rsidRPr="00D40CA6">
              <w:rPr>
                <w:rFonts w:ascii="Calibri" w:hAnsi="Calibri" w:cs="Calibri"/>
                <w:b/>
                <w:bCs/>
                <w:sz w:val="20"/>
                <w:szCs w:val="20"/>
              </w:rPr>
              <w:t>11 710 792</w:t>
            </w:r>
          </w:p>
        </w:tc>
        <w:tc>
          <w:tcPr>
            <w:tcW w:w="917" w:type="pct"/>
            <w:tcBorders>
              <w:top w:val="nil"/>
              <w:left w:val="nil"/>
              <w:bottom w:val="single" w:sz="4" w:space="0" w:color="9C9D9F"/>
              <w:right w:val="nil"/>
            </w:tcBorders>
            <w:shd w:val="clear" w:color="auto" w:fill="auto"/>
            <w:noWrap/>
            <w:vAlign w:val="bottom"/>
            <w:hideMark/>
          </w:tcPr>
          <w:p w14:paraId="45BA015A" w14:textId="186C23B2" w:rsidR="00D40CA6" w:rsidRPr="00D40CA6" w:rsidRDefault="00803DB8" w:rsidP="00E9781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11 717 072</w:t>
            </w:r>
          </w:p>
        </w:tc>
      </w:tr>
    </w:tbl>
    <w:p w14:paraId="56179EB9" w14:textId="2EF2CEC9" w:rsidR="00D40CA6" w:rsidRDefault="00D40CA6">
      <w:pPr>
        <w:spacing w:before="0" w:beforeAutospacing="0" w:after="160" w:afterAutospacing="0" w:line="259" w:lineRule="auto"/>
        <w:jc w:val="left"/>
        <w:rPr>
          <w:b/>
          <w:bCs/>
          <w:kern w:val="32"/>
          <w:sz w:val="28"/>
          <w:szCs w:val="28"/>
        </w:rPr>
      </w:pPr>
      <w:r>
        <w:br w:type="page"/>
      </w:r>
    </w:p>
    <w:p w14:paraId="66B14AC9" w14:textId="331D752A" w:rsidR="000C292F" w:rsidRPr="006C048C" w:rsidRDefault="000C292F" w:rsidP="000C292F">
      <w:pPr>
        <w:pStyle w:val="Nadpis2"/>
      </w:pPr>
      <w:bookmarkStart w:id="101" w:name="_Toc522086618"/>
      <w:r w:rsidRPr="006C048C">
        <w:lastRenderedPageBreak/>
        <w:t>Konsolidovaný přehled o peněžních tocích ve zkrácené podobě</w:t>
      </w:r>
      <w:bookmarkEnd w:id="99"/>
      <w:bookmarkEnd w:id="100"/>
      <w:bookmarkEnd w:id="101"/>
      <w:r w:rsidR="00BE7891">
        <w:t xml:space="preserve"> </w:t>
      </w:r>
      <w:r w:rsidR="00BE7891" w:rsidRPr="00BE7891">
        <w:t>za období šesti měsíců</w:t>
      </w:r>
    </w:p>
    <w:p w14:paraId="3A8EFF6D" w14:textId="77777777" w:rsidR="000C292F" w:rsidRPr="006C048C" w:rsidRDefault="000C292F" w:rsidP="000C292F"/>
    <w:tbl>
      <w:tblPr>
        <w:tblW w:w="5000" w:type="pct"/>
        <w:tblCellMar>
          <w:left w:w="70" w:type="dxa"/>
          <w:right w:w="70" w:type="dxa"/>
        </w:tblCellMar>
        <w:tblLook w:val="04A0" w:firstRow="1" w:lastRow="0" w:firstColumn="1" w:lastColumn="0" w:noHBand="0" w:noVBand="1"/>
      </w:tblPr>
      <w:tblGrid>
        <w:gridCol w:w="5940"/>
        <w:gridCol w:w="1383"/>
        <w:gridCol w:w="1749"/>
      </w:tblGrid>
      <w:tr w:rsidR="007B298D" w:rsidRPr="007B298D" w14:paraId="4C72C882" w14:textId="77777777" w:rsidTr="009603DE">
        <w:trPr>
          <w:trHeight w:val="255"/>
        </w:trPr>
        <w:tc>
          <w:tcPr>
            <w:tcW w:w="3274" w:type="pct"/>
            <w:tcBorders>
              <w:top w:val="nil"/>
              <w:left w:val="nil"/>
              <w:bottom w:val="nil"/>
              <w:right w:val="nil"/>
            </w:tcBorders>
            <w:shd w:val="clear" w:color="000000" w:fill="2A7FC6"/>
            <w:noWrap/>
            <w:vAlign w:val="bottom"/>
            <w:hideMark/>
          </w:tcPr>
          <w:p w14:paraId="3B4D2773" w14:textId="77777777" w:rsidR="007B298D" w:rsidRPr="007B298D" w:rsidRDefault="007B298D" w:rsidP="007B298D">
            <w:pPr>
              <w:spacing w:before="0" w:beforeAutospacing="0" w:after="0" w:afterAutospacing="0"/>
              <w:jc w:val="left"/>
              <w:rPr>
                <w:rFonts w:ascii="Calibri" w:hAnsi="Calibri" w:cs="Calibri"/>
                <w:b/>
                <w:bCs/>
                <w:color w:val="FFFFFF"/>
                <w:sz w:val="20"/>
                <w:szCs w:val="20"/>
              </w:rPr>
            </w:pPr>
            <w:r w:rsidRPr="007B298D">
              <w:rPr>
                <w:rFonts w:ascii="Calibri" w:hAnsi="Calibri" w:cs="Calibri"/>
                <w:b/>
                <w:bCs/>
                <w:color w:val="FFFFFF"/>
                <w:sz w:val="20"/>
                <w:szCs w:val="20"/>
              </w:rPr>
              <w:t>v tis. Kč</w:t>
            </w:r>
          </w:p>
        </w:tc>
        <w:tc>
          <w:tcPr>
            <w:tcW w:w="762" w:type="pct"/>
            <w:tcBorders>
              <w:top w:val="nil"/>
              <w:left w:val="nil"/>
              <w:bottom w:val="nil"/>
              <w:right w:val="nil"/>
            </w:tcBorders>
            <w:shd w:val="clear" w:color="000000" w:fill="2A7FC6"/>
            <w:noWrap/>
            <w:vAlign w:val="bottom"/>
            <w:hideMark/>
          </w:tcPr>
          <w:p w14:paraId="19EF4663" w14:textId="77777777" w:rsidR="007B298D" w:rsidRPr="007B298D" w:rsidRDefault="007B298D" w:rsidP="007B298D">
            <w:pPr>
              <w:spacing w:before="0" w:beforeAutospacing="0" w:after="0" w:afterAutospacing="0"/>
              <w:jc w:val="center"/>
              <w:rPr>
                <w:rFonts w:ascii="Calibri" w:hAnsi="Calibri" w:cs="Calibri"/>
                <w:b/>
                <w:bCs/>
                <w:color w:val="FFFFFF"/>
                <w:sz w:val="20"/>
                <w:szCs w:val="20"/>
              </w:rPr>
            </w:pPr>
            <w:r w:rsidRPr="007B298D">
              <w:rPr>
                <w:rFonts w:ascii="Calibri" w:hAnsi="Calibri" w:cs="Calibri"/>
                <w:b/>
                <w:bCs/>
                <w:color w:val="FFFFFF"/>
                <w:sz w:val="20"/>
                <w:szCs w:val="20"/>
              </w:rPr>
              <w:t>2017</w:t>
            </w:r>
          </w:p>
        </w:tc>
        <w:tc>
          <w:tcPr>
            <w:tcW w:w="964" w:type="pct"/>
            <w:tcBorders>
              <w:top w:val="nil"/>
              <w:left w:val="nil"/>
              <w:bottom w:val="nil"/>
              <w:right w:val="nil"/>
            </w:tcBorders>
            <w:shd w:val="clear" w:color="000000" w:fill="2A7FC6"/>
            <w:noWrap/>
            <w:vAlign w:val="bottom"/>
            <w:hideMark/>
          </w:tcPr>
          <w:p w14:paraId="0B6C151E" w14:textId="77777777" w:rsidR="007B298D" w:rsidRPr="007B298D" w:rsidRDefault="007B298D" w:rsidP="007B298D">
            <w:pPr>
              <w:spacing w:before="0" w:beforeAutospacing="0" w:after="0" w:afterAutospacing="0"/>
              <w:jc w:val="center"/>
              <w:rPr>
                <w:rFonts w:ascii="Calibri" w:hAnsi="Calibri" w:cs="Calibri"/>
                <w:b/>
                <w:bCs/>
                <w:color w:val="FFFFFF"/>
                <w:sz w:val="20"/>
                <w:szCs w:val="20"/>
              </w:rPr>
            </w:pPr>
            <w:r w:rsidRPr="007B298D">
              <w:rPr>
                <w:rFonts w:ascii="Calibri" w:hAnsi="Calibri" w:cs="Calibri"/>
                <w:b/>
                <w:bCs/>
                <w:color w:val="FFFFFF"/>
                <w:sz w:val="20"/>
                <w:szCs w:val="20"/>
              </w:rPr>
              <w:t>2018</w:t>
            </w:r>
          </w:p>
        </w:tc>
      </w:tr>
      <w:tr w:rsidR="007B298D" w:rsidRPr="007B298D" w14:paraId="18048392" w14:textId="77777777" w:rsidTr="009603DE">
        <w:trPr>
          <w:trHeight w:val="255"/>
        </w:trPr>
        <w:tc>
          <w:tcPr>
            <w:tcW w:w="3274" w:type="pct"/>
            <w:tcBorders>
              <w:top w:val="nil"/>
              <w:left w:val="nil"/>
              <w:bottom w:val="nil"/>
              <w:right w:val="nil"/>
            </w:tcBorders>
            <w:shd w:val="clear" w:color="000000" w:fill="2A7FC6"/>
            <w:noWrap/>
            <w:vAlign w:val="bottom"/>
            <w:hideMark/>
          </w:tcPr>
          <w:p w14:paraId="6A830E4C" w14:textId="77777777" w:rsidR="007B298D" w:rsidRPr="007B298D" w:rsidRDefault="007B298D" w:rsidP="007B298D">
            <w:pPr>
              <w:spacing w:before="0" w:beforeAutospacing="0" w:after="0" w:afterAutospacing="0"/>
              <w:jc w:val="left"/>
              <w:rPr>
                <w:rFonts w:ascii="Calibri" w:hAnsi="Calibri" w:cs="Calibri"/>
                <w:color w:val="FFFFFF"/>
                <w:sz w:val="20"/>
                <w:szCs w:val="20"/>
              </w:rPr>
            </w:pPr>
            <w:r w:rsidRPr="007B298D">
              <w:rPr>
                <w:rFonts w:ascii="Calibri" w:hAnsi="Calibri" w:cs="Calibri"/>
                <w:color w:val="FFFFFF"/>
                <w:sz w:val="20"/>
                <w:szCs w:val="20"/>
              </w:rPr>
              <w:t> </w:t>
            </w:r>
          </w:p>
        </w:tc>
        <w:tc>
          <w:tcPr>
            <w:tcW w:w="762" w:type="pct"/>
            <w:tcBorders>
              <w:top w:val="nil"/>
              <w:left w:val="nil"/>
              <w:bottom w:val="nil"/>
              <w:right w:val="nil"/>
            </w:tcBorders>
            <w:shd w:val="clear" w:color="000000" w:fill="2A7FC6"/>
            <w:noWrap/>
            <w:vAlign w:val="bottom"/>
            <w:hideMark/>
          </w:tcPr>
          <w:p w14:paraId="40C8691A" w14:textId="77777777" w:rsidR="007B298D" w:rsidRPr="007B298D" w:rsidRDefault="007B298D" w:rsidP="007B298D">
            <w:pPr>
              <w:spacing w:before="0" w:beforeAutospacing="0" w:after="0" w:afterAutospacing="0"/>
              <w:jc w:val="center"/>
              <w:rPr>
                <w:rFonts w:ascii="Calibri" w:hAnsi="Calibri" w:cs="Calibri"/>
                <w:color w:val="FFFFFF"/>
                <w:sz w:val="20"/>
                <w:szCs w:val="20"/>
              </w:rPr>
            </w:pPr>
            <w:r w:rsidRPr="007B298D">
              <w:rPr>
                <w:rFonts w:ascii="Calibri" w:hAnsi="Calibri" w:cs="Calibri"/>
                <w:color w:val="FFFFFF"/>
                <w:sz w:val="20"/>
                <w:szCs w:val="20"/>
              </w:rPr>
              <w:t>(neauditované)</w:t>
            </w:r>
          </w:p>
        </w:tc>
        <w:tc>
          <w:tcPr>
            <w:tcW w:w="964" w:type="pct"/>
            <w:tcBorders>
              <w:top w:val="nil"/>
              <w:left w:val="nil"/>
              <w:bottom w:val="nil"/>
              <w:right w:val="nil"/>
            </w:tcBorders>
            <w:shd w:val="clear" w:color="000000" w:fill="2A7FC6"/>
            <w:noWrap/>
            <w:vAlign w:val="bottom"/>
            <w:hideMark/>
          </w:tcPr>
          <w:p w14:paraId="6374EF12" w14:textId="77777777" w:rsidR="007B298D" w:rsidRPr="007B298D" w:rsidRDefault="007B298D" w:rsidP="007B298D">
            <w:pPr>
              <w:spacing w:before="0" w:beforeAutospacing="0" w:after="0" w:afterAutospacing="0"/>
              <w:jc w:val="center"/>
              <w:rPr>
                <w:rFonts w:ascii="Calibri" w:hAnsi="Calibri" w:cs="Calibri"/>
                <w:color w:val="FFFFFF"/>
                <w:sz w:val="20"/>
                <w:szCs w:val="20"/>
              </w:rPr>
            </w:pPr>
            <w:r w:rsidRPr="007B298D">
              <w:rPr>
                <w:rFonts w:ascii="Calibri" w:hAnsi="Calibri" w:cs="Calibri"/>
                <w:color w:val="FFFFFF"/>
                <w:sz w:val="20"/>
                <w:szCs w:val="20"/>
              </w:rPr>
              <w:t>(neauditované)</w:t>
            </w:r>
          </w:p>
        </w:tc>
      </w:tr>
      <w:tr w:rsidR="007B298D" w:rsidRPr="007B298D" w14:paraId="345C997E" w14:textId="77777777" w:rsidTr="009603DE">
        <w:trPr>
          <w:trHeight w:val="135"/>
        </w:trPr>
        <w:tc>
          <w:tcPr>
            <w:tcW w:w="3274" w:type="pct"/>
            <w:tcBorders>
              <w:top w:val="nil"/>
              <w:left w:val="nil"/>
              <w:bottom w:val="nil"/>
              <w:right w:val="nil"/>
            </w:tcBorders>
            <w:shd w:val="clear" w:color="auto" w:fill="auto"/>
            <w:noWrap/>
            <w:vAlign w:val="bottom"/>
            <w:hideMark/>
          </w:tcPr>
          <w:p w14:paraId="00383F73" w14:textId="77777777" w:rsidR="007B298D" w:rsidRPr="007B298D" w:rsidRDefault="007B298D" w:rsidP="007B298D">
            <w:pPr>
              <w:spacing w:before="0" w:beforeAutospacing="0" w:after="0" w:afterAutospacing="0"/>
              <w:jc w:val="center"/>
              <w:rPr>
                <w:rFonts w:ascii="Calibri" w:hAnsi="Calibri" w:cs="Calibri"/>
                <w:color w:val="FFFFFF"/>
                <w:sz w:val="20"/>
                <w:szCs w:val="20"/>
              </w:rPr>
            </w:pPr>
          </w:p>
        </w:tc>
        <w:tc>
          <w:tcPr>
            <w:tcW w:w="762" w:type="pct"/>
            <w:tcBorders>
              <w:top w:val="nil"/>
              <w:left w:val="nil"/>
              <w:bottom w:val="nil"/>
              <w:right w:val="nil"/>
            </w:tcBorders>
            <w:shd w:val="clear" w:color="auto" w:fill="auto"/>
            <w:noWrap/>
            <w:vAlign w:val="bottom"/>
            <w:hideMark/>
          </w:tcPr>
          <w:p w14:paraId="08E6D63A"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1AB5326F"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007B8EAC"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5F7944CF"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Zisk před zdaněním</w:t>
            </w:r>
          </w:p>
        </w:tc>
        <w:tc>
          <w:tcPr>
            <w:tcW w:w="762" w:type="pct"/>
            <w:tcBorders>
              <w:top w:val="nil"/>
              <w:left w:val="nil"/>
              <w:bottom w:val="single" w:sz="4" w:space="0" w:color="9C9D9F"/>
              <w:right w:val="nil"/>
            </w:tcBorders>
            <w:shd w:val="clear" w:color="auto" w:fill="auto"/>
            <w:noWrap/>
            <w:vAlign w:val="bottom"/>
            <w:hideMark/>
          </w:tcPr>
          <w:p w14:paraId="4A51AD13" w14:textId="53A6889B"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149</w:t>
            </w:r>
            <w:r w:rsidR="00E9713C">
              <w:rPr>
                <w:rFonts w:ascii="Calibri" w:hAnsi="Calibri" w:cs="Calibri"/>
                <w:b/>
                <w:bCs/>
                <w:sz w:val="20"/>
                <w:szCs w:val="20"/>
              </w:rPr>
              <w:t xml:space="preserve"> </w:t>
            </w:r>
            <w:r w:rsidRPr="007B298D">
              <w:rPr>
                <w:rFonts w:ascii="Calibri" w:hAnsi="Calibri" w:cs="Calibri"/>
                <w:b/>
                <w:bCs/>
                <w:sz w:val="20"/>
                <w:szCs w:val="20"/>
              </w:rPr>
              <w:t>465</w:t>
            </w:r>
          </w:p>
        </w:tc>
        <w:tc>
          <w:tcPr>
            <w:tcW w:w="964" w:type="pct"/>
            <w:tcBorders>
              <w:top w:val="nil"/>
              <w:left w:val="nil"/>
              <w:bottom w:val="single" w:sz="4" w:space="0" w:color="9C9D9F"/>
              <w:right w:val="nil"/>
            </w:tcBorders>
            <w:shd w:val="clear" w:color="auto" w:fill="auto"/>
            <w:noWrap/>
            <w:vAlign w:val="bottom"/>
            <w:hideMark/>
          </w:tcPr>
          <w:p w14:paraId="3A699B67" w14:textId="7235184F" w:rsidR="007B298D" w:rsidRPr="007B298D" w:rsidRDefault="00803DB8" w:rsidP="007B298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319 185</w:t>
            </w:r>
          </w:p>
        </w:tc>
      </w:tr>
      <w:tr w:rsidR="007B298D" w:rsidRPr="007B298D" w14:paraId="4A0BB776" w14:textId="77777777" w:rsidTr="009603DE">
        <w:trPr>
          <w:trHeight w:val="135"/>
        </w:trPr>
        <w:tc>
          <w:tcPr>
            <w:tcW w:w="3274" w:type="pct"/>
            <w:tcBorders>
              <w:top w:val="nil"/>
              <w:left w:val="nil"/>
              <w:bottom w:val="nil"/>
              <w:right w:val="nil"/>
            </w:tcBorders>
            <w:shd w:val="clear" w:color="auto" w:fill="auto"/>
            <w:vAlign w:val="bottom"/>
            <w:hideMark/>
          </w:tcPr>
          <w:p w14:paraId="1F1CFE34"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p>
        </w:tc>
        <w:tc>
          <w:tcPr>
            <w:tcW w:w="762" w:type="pct"/>
            <w:tcBorders>
              <w:top w:val="nil"/>
              <w:left w:val="nil"/>
              <w:bottom w:val="nil"/>
              <w:right w:val="nil"/>
            </w:tcBorders>
            <w:shd w:val="clear" w:color="auto" w:fill="auto"/>
            <w:noWrap/>
            <w:vAlign w:val="bottom"/>
            <w:hideMark/>
          </w:tcPr>
          <w:p w14:paraId="3650E0B1"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57C8B66F"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28BD0244" w14:textId="77777777" w:rsidTr="009603DE">
        <w:trPr>
          <w:trHeight w:val="255"/>
        </w:trPr>
        <w:tc>
          <w:tcPr>
            <w:tcW w:w="3274" w:type="pct"/>
            <w:tcBorders>
              <w:top w:val="nil"/>
              <w:left w:val="nil"/>
              <w:bottom w:val="nil"/>
              <w:right w:val="nil"/>
            </w:tcBorders>
            <w:shd w:val="clear" w:color="000000" w:fill="9C9D9F"/>
            <w:vAlign w:val="bottom"/>
            <w:hideMark/>
          </w:tcPr>
          <w:p w14:paraId="3E89FC5D"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Úpravy o:</w:t>
            </w:r>
          </w:p>
        </w:tc>
        <w:tc>
          <w:tcPr>
            <w:tcW w:w="762" w:type="pct"/>
            <w:tcBorders>
              <w:top w:val="nil"/>
              <w:left w:val="nil"/>
              <w:bottom w:val="nil"/>
              <w:right w:val="nil"/>
            </w:tcBorders>
            <w:shd w:val="clear" w:color="000000" w:fill="9C9D9F"/>
            <w:noWrap/>
            <w:vAlign w:val="bottom"/>
            <w:hideMark/>
          </w:tcPr>
          <w:p w14:paraId="4EA35519"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c>
          <w:tcPr>
            <w:tcW w:w="964" w:type="pct"/>
            <w:tcBorders>
              <w:top w:val="nil"/>
              <w:left w:val="nil"/>
              <w:bottom w:val="nil"/>
              <w:right w:val="nil"/>
            </w:tcBorders>
            <w:shd w:val="clear" w:color="000000" w:fill="9C9D9F"/>
            <w:noWrap/>
            <w:vAlign w:val="bottom"/>
            <w:hideMark/>
          </w:tcPr>
          <w:p w14:paraId="6B048DB3"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r>
      <w:tr w:rsidR="007B298D" w:rsidRPr="007B298D" w14:paraId="348583F0"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760CB674"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Odpisy</w:t>
            </w:r>
          </w:p>
        </w:tc>
        <w:tc>
          <w:tcPr>
            <w:tcW w:w="762" w:type="pct"/>
            <w:tcBorders>
              <w:top w:val="nil"/>
              <w:left w:val="nil"/>
              <w:bottom w:val="single" w:sz="4" w:space="0" w:color="9C9D9F"/>
              <w:right w:val="nil"/>
            </w:tcBorders>
            <w:shd w:val="clear" w:color="auto" w:fill="auto"/>
            <w:noWrap/>
            <w:vAlign w:val="bottom"/>
            <w:hideMark/>
          </w:tcPr>
          <w:p w14:paraId="60C0727B" w14:textId="17DE1499"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222</w:t>
            </w:r>
            <w:r w:rsidR="00E9713C">
              <w:rPr>
                <w:rFonts w:ascii="Calibri" w:hAnsi="Calibri" w:cs="Calibri"/>
                <w:sz w:val="20"/>
                <w:szCs w:val="20"/>
              </w:rPr>
              <w:t xml:space="preserve"> </w:t>
            </w:r>
            <w:r w:rsidRPr="007B298D">
              <w:rPr>
                <w:rFonts w:ascii="Calibri" w:hAnsi="Calibri" w:cs="Calibri"/>
                <w:sz w:val="20"/>
                <w:szCs w:val="20"/>
              </w:rPr>
              <w:t>167</w:t>
            </w:r>
          </w:p>
        </w:tc>
        <w:tc>
          <w:tcPr>
            <w:tcW w:w="964" w:type="pct"/>
            <w:tcBorders>
              <w:top w:val="nil"/>
              <w:left w:val="nil"/>
              <w:bottom w:val="single" w:sz="4" w:space="0" w:color="9C9D9F"/>
              <w:right w:val="nil"/>
            </w:tcBorders>
            <w:shd w:val="clear" w:color="auto" w:fill="auto"/>
            <w:noWrap/>
            <w:vAlign w:val="bottom"/>
            <w:hideMark/>
          </w:tcPr>
          <w:p w14:paraId="51F4B9B7" w14:textId="14FA45BA"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231</w:t>
            </w:r>
            <w:r w:rsidR="00E9713C">
              <w:rPr>
                <w:rFonts w:ascii="Calibri" w:hAnsi="Calibri" w:cs="Calibri"/>
                <w:sz w:val="20"/>
                <w:szCs w:val="20"/>
              </w:rPr>
              <w:t xml:space="preserve"> </w:t>
            </w:r>
            <w:r w:rsidRPr="007B298D">
              <w:rPr>
                <w:rFonts w:ascii="Calibri" w:hAnsi="Calibri" w:cs="Calibri"/>
                <w:sz w:val="20"/>
                <w:szCs w:val="20"/>
              </w:rPr>
              <w:t>118</w:t>
            </w:r>
          </w:p>
        </w:tc>
      </w:tr>
      <w:tr w:rsidR="007B298D" w:rsidRPr="007B298D" w14:paraId="736CC58A"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01235B98"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Kursové změny</w:t>
            </w:r>
          </w:p>
        </w:tc>
        <w:tc>
          <w:tcPr>
            <w:tcW w:w="762" w:type="pct"/>
            <w:tcBorders>
              <w:top w:val="nil"/>
              <w:left w:val="nil"/>
              <w:bottom w:val="single" w:sz="4" w:space="0" w:color="9C9D9F"/>
              <w:right w:val="nil"/>
            </w:tcBorders>
            <w:shd w:val="clear" w:color="auto" w:fill="auto"/>
            <w:noWrap/>
            <w:vAlign w:val="bottom"/>
            <w:hideMark/>
          </w:tcPr>
          <w:p w14:paraId="447D7BAF" w14:textId="4097BCDD"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-133</w:t>
            </w:r>
            <w:r w:rsidR="00E9713C">
              <w:rPr>
                <w:rFonts w:ascii="Calibri" w:hAnsi="Calibri" w:cs="Calibri"/>
                <w:sz w:val="20"/>
                <w:szCs w:val="20"/>
              </w:rPr>
              <w:t xml:space="preserve"> </w:t>
            </w:r>
            <w:r w:rsidRPr="007B298D">
              <w:rPr>
                <w:rFonts w:ascii="Calibri" w:hAnsi="Calibri" w:cs="Calibri"/>
                <w:sz w:val="20"/>
                <w:szCs w:val="20"/>
              </w:rPr>
              <w:t>466</w:t>
            </w:r>
          </w:p>
        </w:tc>
        <w:tc>
          <w:tcPr>
            <w:tcW w:w="964" w:type="pct"/>
            <w:tcBorders>
              <w:top w:val="nil"/>
              <w:left w:val="nil"/>
              <w:bottom w:val="single" w:sz="4" w:space="0" w:color="9C9D9F"/>
              <w:right w:val="nil"/>
            </w:tcBorders>
            <w:shd w:val="clear" w:color="auto" w:fill="auto"/>
            <w:noWrap/>
            <w:vAlign w:val="bottom"/>
            <w:hideMark/>
          </w:tcPr>
          <w:p w14:paraId="1CFEBB86" w14:textId="5FAD694C"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43 587</w:t>
            </w:r>
          </w:p>
        </w:tc>
      </w:tr>
      <w:tr w:rsidR="007B298D" w:rsidRPr="007B298D" w14:paraId="27F548FC"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2EE33260"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Úrokové náklady</w:t>
            </w:r>
          </w:p>
        </w:tc>
        <w:tc>
          <w:tcPr>
            <w:tcW w:w="762" w:type="pct"/>
            <w:tcBorders>
              <w:top w:val="nil"/>
              <w:left w:val="nil"/>
              <w:bottom w:val="single" w:sz="4" w:space="0" w:color="9C9D9F"/>
              <w:right w:val="nil"/>
            </w:tcBorders>
            <w:shd w:val="clear" w:color="auto" w:fill="auto"/>
            <w:noWrap/>
            <w:vAlign w:val="bottom"/>
            <w:hideMark/>
          </w:tcPr>
          <w:p w14:paraId="5D104E70" w14:textId="7777777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100,019</w:t>
            </w:r>
          </w:p>
        </w:tc>
        <w:tc>
          <w:tcPr>
            <w:tcW w:w="964" w:type="pct"/>
            <w:tcBorders>
              <w:top w:val="nil"/>
              <w:left w:val="nil"/>
              <w:bottom w:val="single" w:sz="4" w:space="0" w:color="9C9D9F"/>
              <w:right w:val="nil"/>
            </w:tcBorders>
            <w:shd w:val="clear" w:color="auto" w:fill="auto"/>
            <w:noWrap/>
            <w:vAlign w:val="bottom"/>
            <w:hideMark/>
          </w:tcPr>
          <w:p w14:paraId="559DF60E" w14:textId="4EE6E403"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92</w:t>
            </w:r>
            <w:r w:rsidR="00E9713C">
              <w:rPr>
                <w:rFonts w:ascii="Calibri" w:hAnsi="Calibri" w:cs="Calibri"/>
                <w:sz w:val="20"/>
                <w:szCs w:val="20"/>
              </w:rPr>
              <w:t xml:space="preserve"> </w:t>
            </w:r>
            <w:r w:rsidRPr="007B298D">
              <w:rPr>
                <w:rFonts w:ascii="Calibri" w:hAnsi="Calibri" w:cs="Calibri"/>
                <w:sz w:val="20"/>
                <w:szCs w:val="20"/>
              </w:rPr>
              <w:t>180</w:t>
            </w:r>
          </w:p>
        </w:tc>
      </w:tr>
      <w:tr w:rsidR="007B298D" w:rsidRPr="007B298D" w14:paraId="00B18E14"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07FDB37B"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Ostatní změny ve vlastním kapitálu</w:t>
            </w:r>
          </w:p>
        </w:tc>
        <w:tc>
          <w:tcPr>
            <w:tcW w:w="762" w:type="pct"/>
            <w:tcBorders>
              <w:top w:val="nil"/>
              <w:left w:val="nil"/>
              <w:bottom w:val="single" w:sz="4" w:space="0" w:color="9C9D9F"/>
              <w:right w:val="nil"/>
            </w:tcBorders>
            <w:shd w:val="clear" w:color="auto" w:fill="auto"/>
            <w:noWrap/>
            <w:vAlign w:val="bottom"/>
            <w:hideMark/>
          </w:tcPr>
          <w:p w14:paraId="2ADB378C" w14:textId="49F342B8"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19</w:t>
            </w:r>
            <w:r w:rsidR="00E9713C">
              <w:rPr>
                <w:rFonts w:ascii="Calibri" w:hAnsi="Calibri" w:cs="Calibri"/>
                <w:sz w:val="20"/>
                <w:szCs w:val="20"/>
              </w:rPr>
              <w:t xml:space="preserve"> </w:t>
            </w:r>
            <w:r w:rsidRPr="007B298D">
              <w:rPr>
                <w:rFonts w:ascii="Calibri" w:hAnsi="Calibri" w:cs="Calibri"/>
                <w:sz w:val="20"/>
                <w:szCs w:val="20"/>
              </w:rPr>
              <w:t>420</w:t>
            </w:r>
          </w:p>
        </w:tc>
        <w:tc>
          <w:tcPr>
            <w:tcW w:w="964" w:type="pct"/>
            <w:tcBorders>
              <w:top w:val="nil"/>
              <w:left w:val="nil"/>
              <w:bottom w:val="single" w:sz="4" w:space="0" w:color="9C9D9F"/>
              <w:right w:val="nil"/>
            </w:tcBorders>
            <w:shd w:val="clear" w:color="auto" w:fill="auto"/>
            <w:noWrap/>
            <w:vAlign w:val="bottom"/>
            <w:hideMark/>
          </w:tcPr>
          <w:p w14:paraId="36EEC2BD" w14:textId="0A406773"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-47</w:t>
            </w:r>
            <w:r w:rsidR="00E9713C">
              <w:rPr>
                <w:rFonts w:ascii="Calibri" w:hAnsi="Calibri" w:cs="Calibri"/>
                <w:sz w:val="20"/>
                <w:szCs w:val="20"/>
              </w:rPr>
              <w:t xml:space="preserve"> </w:t>
            </w:r>
            <w:r w:rsidRPr="007B298D">
              <w:rPr>
                <w:rFonts w:ascii="Calibri" w:hAnsi="Calibri" w:cs="Calibri"/>
                <w:sz w:val="20"/>
                <w:szCs w:val="20"/>
              </w:rPr>
              <w:t>455</w:t>
            </w:r>
          </w:p>
        </w:tc>
      </w:tr>
      <w:tr w:rsidR="007B298D" w:rsidRPr="007B298D" w14:paraId="4C40471E"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36A43855"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Ostatní finanční výnosy/(náklady)</w:t>
            </w:r>
          </w:p>
        </w:tc>
        <w:tc>
          <w:tcPr>
            <w:tcW w:w="762" w:type="pct"/>
            <w:tcBorders>
              <w:top w:val="nil"/>
              <w:left w:val="nil"/>
              <w:bottom w:val="single" w:sz="4" w:space="0" w:color="9C9D9F"/>
              <w:right w:val="nil"/>
            </w:tcBorders>
            <w:shd w:val="clear" w:color="auto" w:fill="auto"/>
            <w:noWrap/>
            <w:vAlign w:val="bottom"/>
            <w:hideMark/>
          </w:tcPr>
          <w:p w14:paraId="5511EF05" w14:textId="5CB28650"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-25</w:t>
            </w:r>
            <w:r w:rsidR="00E9713C">
              <w:rPr>
                <w:rFonts w:ascii="Calibri" w:hAnsi="Calibri" w:cs="Calibri"/>
                <w:sz w:val="20"/>
                <w:szCs w:val="20"/>
              </w:rPr>
              <w:t xml:space="preserve"> </w:t>
            </w:r>
            <w:r w:rsidRPr="007B298D">
              <w:rPr>
                <w:rFonts w:ascii="Calibri" w:hAnsi="Calibri" w:cs="Calibri"/>
                <w:sz w:val="20"/>
                <w:szCs w:val="20"/>
              </w:rPr>
              <w:t>751</w:t>
            </w:r>
          </w:p>
        </w:tc>
        <w:tc>
          <w:tcPr>
            <w:tcW w:w="964" w:type="pct"/>
            <w:tcBorders>
              <w:top w:val="nil"/>
              <w:left w:val="nil"/>
              <w:bottom w:val="single" w:sz="4" w:space="0" w:color="9C9D9F"/>
              <w:right w:val="nil"/>
            </w:tcBorders>
            <w:shd w:val="clear" w:color="auto" w:fill="auto"/>
            <w:noWrap/>
            <w:vAlign w:val="bottom"/>
            <w:hideMark/>
          </w:tcPr>
          <w:p w14:paraId="2C0B6577" w14:textId="50C87228"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40 072</w:t>
            </w:r>
          </w:p>
        </w:tc>
      </w:tr>
      <w:tr w:rsidR="007B298D" w:rsidRPr="007B298D" w14:paraId="6391D584" w14:textId="77777777" w:rsidTr="009603DE">
        <w:trPr>
          <w:trHeight w:val="135"/>
        </w:trPr>
        <w:tc>
          <w:tcPr>
            <w:tcW w:w="3274" w:type="pct"/>
            <w:tcBorders>
              <w:top w:val="nil"/>
              <w:left w:val="nil"/>
              <w:bottom w:val="nil"/>
              <w:right w:val="nil"/>
            </w:tcBorders>
            <w:shd w:val="clear" w:color="auto" w:fill="auto"/>
            <w:vAlign w:val="bottom"/>
            <w:hideMark/>
          </w:tcPr>
          <w:p w14:paraId="58F52F46" w14:textId="7777777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p>
        </w:tc>
        <w:tc>
          <w:tcPr>
            <w:tcW w:w="762" w:type="pct"/>
            <w:tcBorders>
              <w:top w:val="nil"/>
              <w:left w:val="nil"/>
              <w:bottom w:val="nil"/>
              <w:right w:val="nil"/>
            </w:tcBorders>
            <w:shd w:val="clear" w:color="auto" w:fill="auto"/>
            <w:noWrap/>
            <w:vAlign w:val="bottom"/>
            <w:hideMark/>
          </w:tcPr>
          <w:p w14:paraId="5123876A"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5B0ED86E"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17017512" w14:textId="77777777" w:rsidTr="009603DE">
        <w:trPr>
          <w:trHeight w:val="255"/>
        </w:trPr>
        <w:tc>
          <w:tcPr>
            <w:tcW w:w="3274" w:type="pct"/>
            <w:tcBorders>
              <w:top w:val="nil"/>
              <w:left w:val="nil"/>
              <w:bottom w:val="nil"/>
              <w:right w:val="nil"/>
            </w:tcBorders>
            <w:shd w:val="clear" w:color="000000" w:fill="9C9D9F"/>
            <w:vAlign w:val="bottom"/>
            <w:hideMark/>
          </w:tcPr>
          <w:p w14:paraId="6CB915D2"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Peněžní toky z provozní činnosti</w:t>
            </w:r>
          </w:p>
        </w:tc>
        <w:tc>
          <w:tcPr>
            <w:tcW w:w="762" w:type="pct"/>
            <w:tcBorders>
              <w:top w:val="nil"/>
              <w:left w:val="nil"/>
              <w:bottom w:val="nil"/>
              <w:right w:val="nil"/>
            </w:tcBorders>
            <w:shd w:val="clear" w:color="000000" w:fill="9C9D9F"/>
            <w:noWrap/>
            <w:vAlign w:val="bottom"/>
            <w:hideMark/>
          </w:tcPr>
          <w:p w14:paraId="13871692"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c>
          <w:tcPr>
            <w:tcW w:w="964" w:type="pct"/>
            <w:tcBorders>
              <w:top w:val="nil"/>
              <w:left w:val="nil"/>
              <w:bottom w:val="nil"/>
              <w:right w:val="nil"/>
            </w:tcBorders>
            <w:shd w:val="clear" w:color="000000" w:fill="9C9D9F"/>
            <w:noWrap/>
            <w:vAlign w:val="bottom"/>
            <w:hideMark/>
          </w:tcPr>
          <w:p w14:paraId="4079AD7D"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r>
      <w:tr w:rsidR="007B298D" w:rsidRPr="007B298D" w14:paraId="3F079F87"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2DF4F328"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Pokles/(růst) stavu zásob</w:t>
            </w:r>
          </w:p>
        </w:tc>
        <w:tc>
          <w:tcPr>
            <w:tcW w:w="762" w:type="pct"/>
            <w:tcBorders>
              <w:top w:val="nil"/>
              <w:left w:val="nil"/>
              <w:bottom w:val="single" w:sz="4" w:space="0" w:color="9C9D9F"/>
              <w:right w:val="nil"/>
            </w:tcBorders>
            <w:shd w:val="clear" w:color="auto" w:fill="auto"/>
            <w:noWrap/>
            <w:vAlign w:val="bottom"/>
            <w:hideMark/>
          </w:tcPr>
          <w:p w14:paraId="2921012D" w14:textId="654ABA29"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69</w:t>
            </w:r>
            <w:r w:rsidR="00E9713C">
              <w:rPr>
                <w:rFonts w:ascii="Calibri" w:hAnsi="Calibri" w:cs="Calibri"/>
                <w:sz w:val="20"/>
                <w:szCs w:val="20"/>
              </w:rPr>
              <w:t xml:space="preserve"> </w:t>
            </w:r>
            <w:r w:rsidRPr="007B298D">
              <w:rPr>
                <w:rFonts w:ascii="Calibri" w:hAnsi="Calibri" w:cs="Calibri"/>
                <w:sz w:val="20"/>
                <w:szCs w:val="20"/>
              </w:rPr>
              <w:t>322</w:t>
            </w:r>
          </w:p>
        </w:tc>
        <w:tc>
          <w:tcPr>
            <w:tcW w:w="964" w:type="pct"/>
            <w:tcBorders>
              <w:top w:val="nil"/>
              <w:left w:val="nil"/>
              <w:bottom w:val="single" w:sz="4" w:space="0" w:color="9C9D9F"/>
              <w:right w:val="nil"/>
            </w:tcBorders>
            <w:shd w:val="clear" w:color="auto" w:fill="auto"/>
            <w:noWrap/>
            <w:vAlign w:val="bottom"/>
            <w:hideMark/>
          </w:tcPr>
          <w:p w14:paraId="7236E54D" w14:textId="117FAB62"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92</w:t>
            </w:r>
            <w:r w:rsidR="00E9713C">
              <w:rPr>
                <w:rFonts w:ascii="Calibri" w:hAnsi="Calibri" w:cs="Calibri"/>
                <w:sz w:val="20"/>
                <w:szCs w:val="20"/>
              </w:rPr>
              <w:t xml:space="preserve"> </w:t>
            </w:r>
            <w:r w:rsidRPr="007B298D">
              <w:rPr>
                <w:rFonts w:ascii="Calibri" w:hAnsi="Calibri" w:cs="Calibri"/>
                <w:sz w:val="20"/>
                <w:szCs w:val="20"/>
              </w:rPr>
              <w:t>143</w:t>
            </w:r>
          </w:p>
        </w:tc>
      </w:tr>
      <w:tr w:rsidR="007B298D" w:rsidRPr="007B298D" w14:paraId="5ED56AAE"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227FCEE5"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Pokles/(růst) pohledávek</w:t>
            </w:r>
          </w:p>
        </w:tc>
        <w:tc>
          <w:tcPr>
            <w:tcW w:w="762" w:type="pct"/>
            <w:tcBorders>
              <w:top w:val="nil"/>
              <w:left w:val="nil"/>
              <w:bottom w:val="single" w:sz="4" w:space="0" w:color="9C9D9F"/>
              <w:right w:val="nil"/>
            </w:tcBorders>
            <w:shd w:val="clear" w:color="auto" w:fill="auto"/>
            <w:noWrap/>
            <w:vAlign w:val="bottom"/>
            <w:hideMark/>
          </w:tcPr>
          <w:p w14:paraId="1C30DA4C" w14:textId="70EA8B2C"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-203</w:t>
            </w:r>
            <w:r w:rsidR="00E9713C">
              <w:rPr>
                <w:rFonts w:ascii="Calibri" w:hAnsi="Calibri" w:cs="Calibri"/>
                <w:sz w:val="20"/>
                <w:szCs w:val="20"/>
              </w:rPr>
              <w:t xml:space="preserve"> </w:t>
            </w:r>
            <w:r w:rsidRPr="007B298D">
              <w:rPr>
                <w:rFonts w:ascii="Calibri" w:hAnsi="Calibri" w:cs="Calibri"/>
                <w:sz w:val="20"/>
                <w:szCs w:val="20"/>
              </w:rPr>
              <w:t>462</w:t>
            </w:r>
          </w:p>
        </w:tc>
        <w:tc>
          <w:tcPr>
            <w:tcW w:w="964" w:type="pct"/>
            <w:tcBorders>
              <w:top w:val="nil"/>
              <w:left w:val="nil"/>
              <w:bottom w:val="single" w:sz="4" w:space="0" w:color="9C9D9F"/>
              <w:right w:val="nil"/>
            </w:tcBorders>
            <w:shd w:val="clear" w:color="auto" w:fill="auto"/>
            <w:noWrap/>
            <w:vAlign w:val="bottom"/>
            <w:hideMark/>
          </w:tcPr>
          <w:p w14:paraId="19334471" w14:textId="42706159"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-20 455</w:t>
            </w:r>
          </w:p>
        </w:tc>
      </w:tr>
      <w:tr w:rsidR="007B298D" w:rsidRPr="007B298D" w14:paraId="15B2922D"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3C6A87ED"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Růst/(pokles) závazků</w:t>
            </w:r>
          </w:p>
        </w:tc>
        <w:tc>
          <w:tcPr>
            <w:tcW w:w="762" w:type="pct"/>
            <w:tcBorders>
              <w:top w:val="nil"/>
              <w:left w:val="nil"/>
              <w:bottom w:val="single" w:sz="4" w:space="0" w:color="9C9D9F"/>
              <w:right w:val="nil"/>
            </w:tcBorders>
            <w:shd w:val="clear" w:color="auto" w:fill="auto"/>
            <w:noWrap/>
            <w:vAlign w:val="bottom"/>
            <w:hideMark/>
          </w:tcPr>
          <w:p w14:paraId="5DED6C75" w14:textId="2ED27E04"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309</w:t>
            </w:r>
            <w:r w:rsidR="00E9713C">
              <w:rPr>
                <w:rFonts w:ascii="Calibri" w:hAnsi="Calibri" w:cs="Calibri"/>
                <w:sz w:val="20"/>
                <w:szCs w:val="20"/>
              </w:rPr>
              <w:t xml:space="preserve"> </w:t>
            </w:r>
            <w:r w:rsidRPr="007B298D">
              <w:rPr>
                <w:rFonts w:ascii="Calibri" w:hAnsi="Calibri" w:cs="Calibri"/>
                <w:sz w:val="20"/>
                <w:szCs w:val="20"/>
              </w:rPr>
              <w:t>712</w:t>
            </w:r>
          </w:p>
        </w:tc>
        <w:tc>
          <w:tcPr>
            <w:tcW w:w="964" w:type="pct"/>
            <w:tcBorders>
              <w:top w:val="nil"/>
              <w:left w:val="nil"/>
              <w:bottom w:val="single" w:sz="4" w:space="0" w:color="9C9D9F"/>
              <w:right w:val="nil"/>
            </w:tcBorders>
            <w:shd w:val="clear" w:color="auto" w:fill="auto"/>
            <w:noWrap/>
            <w:vAlign w:val="bottom"/>
            <w:hideMark/>
          </w:tcPr>
          <w:p w14:paraId="7866AAC7" w14:textId="1189FBD4"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-94 670</w:t>
            </w:r>
          </w:p>
        </w:tc>
      </w:tr>
      <w:tr w:rsidR="007B298D" w:rsidRPr="007B298D" w14:paraId="1ACA4EB0"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7E9E81D0"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Zaplacená daň z příjmů</w:t>
            </w:r>
          </w:p>
        </w:tc>
        <w:tc>
          <w:tcPr>
            <w:tcW w:w="762" w:type="pct"/>
            <w:tcBorders>
              <w:top w:val="nil"/>
              <w:left w:val="nil"/>
              <w:bottom w:val="single" w:sz="4" w:space="0" w:color="9C9D9F"/>
              <w:right w:val="nil"/>
            </w:tcBorders>
            <w:shd w:val="clear" w:color="auto" w:fill="auto"/>
            <w:noWrap/>
            <w:vAlign w:val="bottom"/>
            <w:hideMark/>
          </w:tcPr>
          <w:p w14:paraId="21E714FB" w14:textId="210E3759"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-67</w:t>
            </w:r>
            <w:r w:rsidR="00E9713C">
              <w:rPr>
                <w:rFonts w:ascii="Calibri" w:hAnsi="Calibri" w:cs="Calibri"/>
                <w:sz w:val="20"/>
                <w:szCs w:val="20"/>
              </w:rPr>
              <w:t xml:space="preserve"> </w:t>
            </w:r>
            <w:r w:rsidRPr="007B298D">
              <w:rPr>
                <w:rFonts w:ascii="Calibri" w:hAnsi="Calibri" w:cs="Calibri"/>
                <w:sz w:val="20"/>
                <w:szCs w:val="20"/>
              </w:rPr>
              <w:t>505</w:t>
            </w:r>
          </w:p>
        </w:tc>
        <w:tc>
          <w:tcPr>
            <w:tcW w:w="964" w:type="pct"/>
            <w:tcBorders>
              <w:top w:val="nil"/>
              <w:left w:val="nil"/>
              <w:bottom w:val="single" w:sz="4" w:space="0" w:color="9C9D9F"/>
              <w:right w:val="nil"/>
            </w:tcBorders>
            <w:shd w:val="clear" w:color="auto" w:fill="auto"/>
            <w:noWrap/>
            <w:vAlign w:val="bottom"/>
            <w:hideMark/>
          </w:tcPr>
          <w:p w14:paraId="391CA3F2" w14:textId="7B8AE548"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-47</w:t>
            </w:r>
            <w:r w:rsidR="00E9713C">
              <w:rPr>
                <w:rFonts w:ascii="Calibri" w:hAnsi="Calibri" w:cs="Calibri"/>
                <w:sz w:val="20"/>
                <w:szCs w:val="20"/>
              </w:rPr>
              <w:t xml:space="preserve"> </w:t>
            </w:r>
            <w:r w:rsidRPr="007B298D">
              <w:rPr>
                <w:rFonts w:ascii="Calibri" w:hAnsi="Calibri" w:cs="Calibri"/>
                <w:sz w:val="20"/>
                <w:szCs w:val="20"/>
              </w:rPr>
              <w:t>143</w:t>
            </w:r>
          </w:p>
        </w:tc>
      </w:tr>
      <w:tr w:rsidR="007B298D" w:rsidRPr="007B298D" w14:paraId="5F590260" w14:textId="77777777" w:rsidTr="009603DE">
        <w:trPr>
          <w:trHeight w:val="315"/>
        </w:trPr>
        <w:tc>
          <w:tcPr>
            <w:tcW w:w="3274" w:type="pct"/>
            <w:tcBorders>
              <w:top w:val="nil"/>
              <w:left w:val="nil"/>
              <w:bottom w:val="single" w:sz="4" w:space="0" w:color="9C9D9F"/>
              <w:right w:val="nil"/>
            </w:tcBorders>
            <w:shd w:val="clear" w:color="auto" w:fill="auto"/>
            <w:vAlign w:val="bottom"/>
            <w:hideMark/>
          </w:tcPr>
          <w:p w14:paraId="5E396C42"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Čisté peněžní toky z provozní činnosti</w:t>
            </w:r>
          </w:p>
        </w:tc>
        <w:tc>
          <w:tcPr>
            <w:tcW w:w="762" w:type="pct"/>
            <w:tcBorders>
              <w:top w:val="nil"/>
              <w:left w:val="nil"/>
              <w:bottom w:val="single" w:sz="4" w:space="0" w:color="9C9D9F"/>
              <w:right w:val="nil"/>
            </w:tcBorders>
            <w:shd w:val="clear" w:color="auto" w:fill="auto"/>
            <w:noWrap/>
            <w:vAlign w:val="bottom"/>
            <w:hideMark/>
          </w:tcPr>
          <w:p w14:paraId="5BFB1444" w14:textId="76FD30C2"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439</w:t>
            </w:r>
            <w:r w:rsidR="00E9713C">
              <w:rPr>
                <w:rFonts w:ascii="Calibri" w:hAnsi="Calibri" w:cs="Calibri"/>
                <w:b/>
                <w:bCs/>
                <w:sz w:val="20"/>
                <w:szCs w:val="20"/>
              </w:rPr>
              <w:t xml:space="preserve"> </w:t>
            </w:r>
            <w:r w:rsidRPr="007B298D">
              <w:rPr>
                <w:rFonts w:ascii="Calibri" w:hAnsi="Calibri" w:cs="Calibri"/>
                <w:b/>
                <w:bCs/>
                <w:sz w:val="20"/>
                <w:szCs w:val="20"/>
              </w:rPr>
              <w:t>921</w:t>
            </w:r>
          </w:p>
        </w:tc>
        <w:tc>
          <w:tcPr>
            <w:tcW w:w="964" w:type="pct"/>
            <w:tcBorders>
              <w:top w:val="nil"/>
              <w:left w:val="nil"/>
              <w:bottom w:val="single" w:sz="4" w:space="0" w:color="9C9D9F"/>
              <w:right w:val="nil"/>
            </w:tcBorders>
            <w:shd w:val="clear" w:color="auto" w:fill="auto"/>
            <w:noWrap/>
            <w:vAlign w:val="bottom"/>
            <w:hideMark/>
          </w:tcPr>
          <w:p w14:paraId="4A454AF2" w14:textId="0E569850" w:rsidR="007B298D" w:rsidRPr="007B298D" w:rsidRDefault="00803DB8" w:rsidP="007B298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608 562</w:t>
            </w:r>
          </w:p>
        </w:tc>
      </w:tr>
      <w:tr w:rsidR="007B298D" w:rsidRPr="007B298D" w14:paraId="1F81342E" w14:textId="77777777" w:rsidTr="009603DE">
        <w:trPr>
          <w:trHeight w:val="135"/>
        </w:trPr>
        <w:tc>
          <w:tcPr>
            <w:tcW w:w="3274" w:type="pct"/>
            <w:tcBorders>
              <w:top w:val="nil"/>
              <w:left w:val="nil"/>
              <w:bottom w:val="nil"/>
              <w:right w:val="nil"/>
            </w:tcBorders>
            <w:shd w:val="clear" w:color="auto" w:fill="auto"/>
            <w:vAlign w:val="bottom"/>
            <w:hideMark/>
          </w:tcPr>
          <w:p w14:paraId="74BCFC41"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p>
        </w:tc>
        <w:tc>
          <w:tcPr>
            <w:tcW w:w="762" w:type="pct"/>
            <w:tcBorders>
              <w:top w:val="nil"/>
              <w:left w:val="nil"/>
              <w:bottom w:val="nil"/>
              <w:right w:val="nil"/>
            </w:tcBorders>
            <w:shd w:val="clear" w:color="auto" w:fill="auto"/>
            <w:noWrap/>
            <w:vAlign w:val="bottom"/>
            <w:hideMark/>
          </w:tcPr>
          <w:p w14:paraId="11265296"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063AF978"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1A9ADFBB" w14:textId="77777777" w:rsidTr="009603DE">
        <w:trPr>
          <w:trHeight w:val="255"/>
        </w:trPr>
        <w:tc>
          <w:tcPr>
            <w:tcW w:w="3274" w:type="pct"/>
            <w:tcBorders>
              <w:top w:val="nil"/>
              <w:left w:val="nil"/>
              <w:bottom w:val="nil"/>
              <w:right w:val="nil"/>
            </w:tcBorders>
            <w:shd w:val="clear" w:color="000000" w:fill="9C9D9F"/>
            <w:vAlign w:val="bottom"/>
            <w:hideMark/>
          </w:tcPr>
          <w:p w14:paraId="3ABB9C68"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Peněžní toky z investiční činnosti</w:t>
            </w:r>
          </w:p>
        </w:tc>
        <w:tc>
          <w:tcPr>
            <w:tcW w:w="762" w:type="pct"/>
            <w:tcBorders>
              <w:top w:val="nil"/>
              <w:left w:val="nil"/>
              <w:bottom w:val="nil"/>
              <w:right w:val="nil"/>
            </w:tcBorders>
            <w:shd w:val="clear" w:color="000000" w:fill="9C9D9F"/>
            <w:noWrap/>
            <w:vAlign w:val="bottom"/>
            <w:hideMark/>
          </w:tcPr>
          <w:p w14:paraId="4A6C1780"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c>
          <w:tcPr>
            <w:tcW w:w="964" w:type="pct"/>
            <w:tcBorders>
              <w:top w:val="nil"/>
              <w:left w:val="nil"/>
              <w:bottom w:val="nil"/>
              <w:right w:val="nil"/>
            </w:tcBorders>
            <w:shd w:val="clear" w:color="000000" w:fill="9C9D9F"/>
            <w:noWrap/>
            <w:vAlign w:val="bottom"/>
            <w:hideMark/>
          </w:tcPr>
          <w:p w14:paraId="2FCE5B8C"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r>
      <w:tr w:rsidR="007B298D" w:rsidRPr="007B298D" w14:paraId="62F8A247"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4285C28E"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Pořízení dlouhodobého hmotného a nehmotného majetku</w:t>
            </w:r>
          </w:p>
        </w:tc>
        <w:tc>
          <w:tcPr>
            <w:tcW w:w="762" w:type="pct"/>
            <w:tcBorders>
              <w:top w:val="nil"/>
              <w:left w:val="nil"/>
              <w:bottom w:val="single" w:sz="4" w:space="0" w:color="9C9D9F"/>
              <w:right w:val="nil"/>
            </w:tcBorders>
            <w:shd w:val="clear" w:color="auto" w:fill="auto"/>
            <w:noWrap/>
            <w:vAlign w:val="bottom"/>
            <w:hideMark/>
          </w:tcPr>
          <w:p w14:paraId="20858F37" w14:textId="25DD0704"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-388</w:t>
            </w:r>
            <w:r w:rsidR="00E9713C">
              <w:rPr>
                <w:rFonts w:ascii="Calibri" w:hAnsi="Calibri" w:cs="Calibri"/>
                <w:sz w:val="20"/>
                <w:szCs w:val="20"/>
              </w:rPr>
              <w:t xml:space="preserve"> </w:t>
            </w:r>
            <w:r w:rsidRPr="007B298D">
              <w:rPr>
                <w:rFonts w:ascii="Calibri" w:hAnsi="Calibri" w:cs="Calibri"/>
                <w:sz w:val="20"/>
                <w:szCs w:val="20"/>
              </w:rPr>
              <w:t>288</w:t>
            </w:r>
          </w:p>
        </w:tc>
        <w:tc>
          <w:tcPr>
            <w:tcW w:w="964" w:type="pct"/>
            <w:tcBorders>
              <w:top w:val="nil"/>
              <w:left w:val="nil"/>
              <w:bottom w:val="single" w:sz="4" w:space="0" w:color="9C9D9F"/>
              <w:right w:val="nil"/>
            </w:tcBorders>
            <w:shd w:val="clear" w:color="auto" w:fill="auto"/>
            <w:noWrap/>
            <w:vAlign w:val="bottom"/>
            <w:hideMark/>
          </w:tcPr>
          <w:p w14:paraId="3ED3EB5A" w14:textId="75B5C902"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-252 570</w:t>
            </w:r>
          </w:p>
        </w:tc>
      </w:tr>
      <w:tr w:rsidR="007B298D" w:rsidRPr="007B298D" w14:paraId="24926CB7" w14:textId="77777777" w:rsidTr="009603DE">
        <w:trPr>
          <w:trHeight w:val="300"/>
        </w:trPr>
        <w:tc>
          <w:tcPr>
            <w:tcW w:w="3274" w:type="pct"/>
            <w:tcBorders>
              <w:top w:val="nil"/>
              <w:left w:val="nil"/>
              <w:bottom w:val="single" w:sz="4" w:space="0" w:color="9C9D9F"/>
              <w:right w:val="nil"/>
            </w:tcBorders>
            <w:shd w:val="clear" w:color="auto" w:fill="auto"/>
            <w:vAlign w:val="bottom"/>
            <w:hideMark/>
          </w:tcPr>
          <w:p w14:paraId="77765BAD"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Čisté peněžní toky z investiční činnosti</w:t>
            </w:r>
          </w:p>
        </w:tc>
        <w:tc>
          <w:tcPr>
            <w:tcW w:w="762" w:type="pct"/>
            <w:tcBorders>
              <w:top w:val="nil"/>
              <w:left w:val="nil"/>
              <w:bottom w:val="single" w:sz="4" w:space="0" w:color="9C9D9F"/>
              <w:right w:val="nil"/>
            </w:tcBorders>
            <w:shd w:val="clear" w:color="auto" w:fill="auto"/>
            <w:noWrap/>
            <w:vAlign w:val="bottom"/>
            <w:hideMark/>
          </w:tcPr>
          <w:p w14:paraId="12A7EC8B" w14:textId="6513644D"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-388</w:t>
            </w:r>
            <w:r w:rsidR="00E9713C">
              <w:rPr>
                <w:rFonts w:ascii="Calibri" w:hAnsi="Calibri" w:cs="Calibri"/>
                <w:b/>
                <w:bCs/>
                <w:sz w:val="20"/>
                <w:szCs w:val="20"/>
              </w:rPr>
              <w:t xml:space="preserve"> </w:t>
            </w:r>
            <w:r w:rsidRPr="007B298D">
              <w:rPr>
                <w:rFonts w:ascii="Calibri" w:hAnsi="Calibri" w:cs="Calibri"/>
                <w:b/>
                <w:bCs/>
                <w:sz w:val="20"/>
                <w:szCs w:val="20"/>
              </w:rPr>
              <w:t>288</w:t>
            </w:r>
          </w:p>
        </w:tc>
        <w:tc>
          <w:tcPr>
            <w:tcW w:w="964" w:type="pct"/>
            <w:tcBorders>
              <w:top w:val="nil"/>
              <w:left w:val="nil"/>
              <w:bottom w:val="single" w:sz="4" w:space="0" w:color="9C9D9F"/>
              <w:right w:val="nil"/>
            </w:tcBorders>
            <w:shd w:val="clear" w:color="auto" w:fill="auto"/>
            <w:noWrap/>
            <w:vAlign w:val="bottom"/>
            <w:hideMark/>
          </w:tcPr>
          <w:p w14:paraId="4F2A4B2A" w14:textId="1A914E58" w:rsidR="007B298D" w:rsidRPr="007B298D" w:rsidRDefault="00803DB8" w:rsidP="007B298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-252 570</w:t>
            </w:r>
          </w:p>
        </w:tc>
      </w:tr>
      <w:tr w:rsidR="007B298D" w:rsidRPr="007B298D" w14:paraId="43FED58B" w14:textId="77777777" w:rsidTr="009603DE">
        <w:trPr>
          <w:trHeight w:val="135"/>
        </w:trPr>
        <w:tc>
          <w:tcPr>
            <w:tcW w:w="3274" w:type="pct"/>
            <w:tcBorders>
              <w:top w:val="nil"/>
              <w:left w:val="nil"/>
              <w:bottom w:val="nil"/>
              <w:right w:val="nil"/>
            </w:tcBorders>
            <w:shd w:val="clear" w:color="auto" w:fill="auto"/>
            <w:vAlign w:val="bottom"/>
            <w:hideMark/>
          </w:tcPr>
          <w:p w14:paraId="206175E2"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p>
        </w:tc>
        <w:tc>
          <w:tcPr>
            <w:tcW w:w="762" w:type="pct"/>
            <w:tcBorders>
              <w:top w:val="nil"/>
              <w:left w:val="nil"/>
              <w:bottom w:val="nil"/>
              <w:right w:val="nil"/>
            </w:tcBorders>
            <w:shd w:val="clear" w:color="auto" w:fill="auto"/>
            <w:noWrap/>
            <w:vAlign w:val="bottom"/>
            <w:hideMark/>
          </w:tcPr>
          <w:p w14:paraId="55F42AEE"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131FBF69"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37FD0AE6" w14:textId="77777777" w:rsidTr="009603DE">
        <w:trPr>
          <w:trHeight w:val="255"/>
        </w:trPr>
        <w:tc>
          <w:tcPr>
            <w:tcW w:w="3274" w:type="pct"/>
            <w:tcBorders>
              <w:top w:val="nil"/>
              <w:left w:val="nil"/>
              <w:bottom w:val="nil"/>
              <w:right w:val="nil"/>
            </w:tcBorders>
            <w:shd w:val="clear" w:color="000000" w:fill="9C9D9F"/>
            <w:vAlign w:val="bottom"/>
            <w:hideMark/>
          </w:tcPr>
          <w:p w14:paraId="22530A64"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Peněžní toky z finanční činnosti</w:t>
            </w:r>
          </w:p>
        </w:tc>
        <w:tc>
          <w:tcPr>
            <w:tcW w:w="762" w:type="pct"/>
            <w:tcBorders>
              <w:top w:val="nil"/>
              <w:left w:val="nil"/>
              <w:bottom w:val="nil"/>
              <w:right w:val="nil"/>
            </w:tcBorders>
            <w:shd w:val="clear" w:color="000000" w:fill="9C9D9F"/>
            <w:noWrap/>
            <w:vAlign w:val="bottom"/>
            <w:hideMark/>
          </w:tcPr>
          <w:p w14:paraId="66C27073"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c>
          <w:tcPr>
            <w:tcW w:w="964" w:type="pct"/>
            <w:tcBorders>
              <w:top w:val="nil"/>
              <w:left w:val="nil"/>
              <w:bottom w:val="nil"/>
              <w:right w:val="nil"/>
            </w:tcBorders>
            <w:shd w:val="clear" w:color="000000" w:fill="9C9D9F"/>
            <w:noWrap/>
            <w:vAlign w:val="bottom"/>
            <w:hideMark/>
          </w:tcPr>
          <w:p w14:paraId="4C60C89D"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 </w:t>
            </w:r>
          </w:p>
        </w:tc>
      </w:tr>
      <w:tr w:rsidR="007B298D" w:rsidRPr="007B298D" w14:paraId="63716FFF"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0197E78F"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Růst/(pokles) krátkodobých bankovních úvěrů a dluhopisů</w:t>
            </w:r>
          </w:p>
        </w:tc>
        <w:tc>
          <w:tcPr>
            <w:tcW w:w="762" w:type="pct"/>
            <w:tcBorders>
              <w:top w:val="nil"/>
              <w:left w:val="nil"/>
              <w:bottom w:val="single" w:sz="4" w:space="0" w:color="9C9D9F"/>
              <w:right w:val="nil"/>
            </w:tcBorders>
            <w:shd w:val="clear" w:color="auto" w:fill="auto"/>
            <w:noWrap/>
            <w:vAlign w:val="bottom"/>
            <w:hideMark/>
          </w:tcPr>
          <w:p w14:paraId="3B9B0FCC" w14:textId="7777777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0</w:t>
            </w:r>
          </w:p>
        </w:tc>
        <w:tc>
          <w:tcPr>
            <w:tcW w:w="964" w:type="pct"/>
            <w:tcBorders>
              <w:top w:val="nil"/>
              <w:left w:val="nil"/>
              <w:bottom w:val="single" w:sz="4" w:space="0" w:color="9C9D9F"/>
              <w:right w:val="nil"/>
            </w:tcBorders>
            <w:shd w:val="clear" w:color="auto" w:fill="auto"/>
            <w:noWrap/>
            <w:vAlign w:val="bottom"/>
            <w:hideMark/>
          </w:tcPr>
          <w:p w14:paraId="46B9DD73" w14:textId="472E9AA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-271</w:t>
            </w:r>
            <w:r w:rsidR="00E9713C">
              <w:rPr>
                <w:rFonts w:ascii="Calibri" w:hAnsi="Calibri" w:cs="Calibri"/>
                <w:sz w:val="20"/>
                <w:szCs w:val="20"/>
              </w:rPr>
              <w:t xml:space="preserve"> </w:t>
            </w:r>
            <w:r w:rsidRPr="007B298D">
              <w:rPr>
                <w:rFonts w:ascii="Calibri" w:hAnsi="Calibri" w:cs="Calibri"/>
                <w:sz w:val="20"/>
                <w:szCs w:val="20"/>
              </w:rPr>
              <w:t>418</w:t>
            </w:r>
          </w:p>
        </w:tc>
      </w:tr>
      <w:tr w:rsidR="007B298D" w:rsidRPr="007B298D" w14:paraId="61774D4C"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11E28712"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Růst/(pokles) ostatních dlouhodobých závazků</w:t>
            </w:r>
          </w:p>
        </w:tc>
        <w:tc>
          <w:tcPr>
            <w:tcW w:w="762" w:type="pct"/>
            <w:tcBorders>
              <w:top w:val="nil"/>
              <w:left w:val="nil"/>
              <w:bottom w:val="single" w:sz="4" w:space="0" w:color="9C9D9F"/>
              <w:right w:val="nil"/>
            </w:tcBorders>
            <w:shd w:val="clear" w:color="auto" w:fill="auto"/>
            <w:noWrap/>
            <w:vAlign w:val="bottom"/>
            <w:hideMark/>
          </w:tcPr>
          <w:p w14:paraId="3A647390" w14:textId="6E0CAD52"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1</w:t>
            </w:r>
            <w:r w:rsidR="00E9713C">
              <w:rPr>
                <w:rFonts w:ascii="Calibri" w:hAnsi="Calibri" w:cs="Calibri"/>
                <w:sz w:val="20"/>
                <w:szCs w:val="20"/>
              </w:rPr>
              <w:t xml:space="preserve"> </w:t>
            </w:r>
            <w:r w:rsidRPr="007B298D">
              <w:rPr>
                <w:rFonts w:ascii="Calibri" w:hAnsi="Calibri" w:cs="Calibri"/>
                <w:sz w:val="20"/>
                <w:szCs w:val="20"/>
              </w:rPr>
              <w:t>457</w:t>
            </w:r>
            <w:r w:rsidR="00E9713C">
              <w:rPr>
                <w:rFonts w:ascii="Calibri" w:hAnsi="Calibri" w:cs="Calibri"/>
                <w:sz w:val="20"/>
                <w:szCs w:val="20"/>
              </w:rPr>
              <w:t xml:space="preserve"> </w:t>
            </w:r>
            <w:r w:rsidRPr="007B298D">
              <w:rPr>
                <w:rFonts w:ascii="Calibri" w:hAnsi="Calibri" w:cs="Calibri"/>
                <w:sz w:val="20"/>
                <w:szCs w:val="20"/>
              </w:rPr>
              <w:t>755</w:t>
            </w:r>
          </w:p>
        </w:tc>
        <w:tc>
          <w:tcPr>
            <w:tcW w:w="964" w:type="pct"/>
            <w:tcBorders>
              <w:top w:val="nil"/>
              <w:left w:val="nil"/>
              <w:bottom w:val="single" w:sz="4" w:space="0" w:color="9C9D9F"/>
              <w:right w:val="nil"/>
            </w:tcBorders>
            <w:shd w:val="clear" w:color="auto" w:fill="auto"/>
            <w:noWrap/>
            <w:vAlign w:val="bottom"/>
            <w:hideMark/>
          </w:tcPr>
          <w:p w14:paraId="3AB233BB" w14:textId="449E02E4"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-2 543</w:t>
            </w:r>
          </w:p>
        </w:tc>
      </w:tr>
      <w:tr w:rsidR="007B298D" w:rsidRPr="007B298D" w14:paraId="3B4AD6E3"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38DD3793"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Nabytí vlastních akcií a ostatní změny v kapitálu</w:t>
            </w:r>
          </w:p>
        </w:tc>
        <w:tc>
          <w:tcPr>
            <w:tcW w:w="762" w:type="pct"/>
            <w:tcBorders>
              <w:top w:val="nil"/>
              <w:left w:val="nil"/>
              <w:bottom w:val="single" w:sz="4" w:space="0" w:color="9C9D9F"/>
              <w:right w:val="nil"/>
            </w:tcBorders>
            <w:shd w:val="clear" w:color="auto" w:fill="auto"/>
            <w:noWrap/>
            <w:vAlign w:val="bottom"/>
            <w:hideMark/>
          </w:tcPr>
          <w:p w14:paraId="19A9C983" w14:textId="3AE2BB7E"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-308</w:t>
            </w:r>
            <w:r w:rsidR="00E9713C">
              <w:rPr>
                <w:rFonts w:ascii="Calibri" w:hAnsi="Calibri" w:cs="Calibri"/>
                <w:sz w:val="20"/>
                <w:szCs w:val="20"/>
              </w:rPr>
              <w:t xml:space="preserve"> </w:t>
            </w:r>
            <w:r w:rsidRPr="007B298D">
              <w:rPr>
                <w:rFonts w:ascii="Calibri" w:hAnsi="Calibri" w:cs="Calibri"/>
                <w:sz w:val="20"/>
                <w:szCs w:val="20"/>
              </w:rPr>
              <w:t>578</w:t>
            </w:r>
          </w:p>
        </w:tc>
        <w:tc>
          <w:tcPr>
            <w:tcW w:w="964" w:type="pct"/>
            <w:tcBorders>
              <w:top w:val="nil"/>
              <w:left w:val="nil"/>
              <w:bottom w:val="single" w:sz="4" w:space="0" w:color="9C9D9F"/>
              <w:right w:val="nil"/>
            </w:tcBorders>
            <w:shd w:val="clear" w:color="auto" w:fill="auto"/>
            <w:noWrap/>
            <w:vAlign w:val="bottom"/>
            <w:hideMark/>
          </w:tcPr>
          <w:p w14:paraId="21A46887" w14:textId="56EA9797"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0</w:t>
            </w:r>
          </w:p>
        </w:tc>
      </w:tr>
      <w:tr w:rsidR="007B298D" w:rsidRPr="007B298D" w14:paraId="524E43AF"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4122A61F"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Distribuce dividendy</w:t>
            </w:r>
          </w:p>
        </w:tc>
        <w:tc>
          <w:tcPr>
            <w:tcW w:w="762" w:type="pct"/>
            <w:tcBorders>
              <w:top w:val="nil"/>
              <w:left w:val="nil"/>
              <w:bottom w:val="single" w:sz="4" w:space="0" w:color="9C9D9F"/>
              <w:right w:val="nil"/>
            </w:tcBorders>
            <w:shd w:val="clear" w:color="auto" w:fill="auto"/>
            <w:noWrap/>
            <w:vAlign w:val="bottom"/>
            <w:hideMark/>
          </w:tcPr>
          <w:p w14:paraId="694BBD10" w14:textId="7777777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0</w:t>
            </w:r>
          </w:p>
        </w:tc>
        <w:tc>
          <w:tcPr>
            <w:tcW w:w="964" w:type="pct"/>
            <w:tcBorders>
              <w:top w:val="nil"/>
              <w:left w:val="nil"/>
              <w:bottom w:val="single" w:sz="4" w:space="0" w:color="9C9D9F"/>
              <w:right w:val="nil"/>
            </w:tcBorders>
            <w:shd w:val="clear" w:color="auto" w:fill="auto"/>
            <w:noWrap/>
            <w:vAlign w:val="bottom"/>
            <w:hideMark/>
          </w:tcPr>
          <w:p w14:paraId="19A10BCC" w14:textId="228B80B6" w:rsidR="007B298D" w:rsidRPr="007B298D" w:rsidRDefault="00803DB8" w:rsidP="007B298D">
            <w:pPr>
              <w:spacing w:before="0" w:beforeAutospacing="0" w:after="0" w:afterAutospacing="0"/>
              <w:ind w:firstLineChars="100" w:firstLine="200"/>
              <w:jc w:val="right"/>
              <w:rPr>
                <w:rFonts w:ascii="Calibri" w:hAnsi="Calibri" w:cs="Calibri"/>
                <w:sz w:val="20"/>
                <w:szCs w:val="20"/>
              </w:rPr>
            </w:pPr>
            <w:r>
              <w:rPr>
                <w:rFonts w:ascii="Calibri" w:hAnsi="Calibri" w:cs="Calibri"/>
                <w:sz w:val="20"/>
                <w:szCs w:val="20"/>
              </w:rPr>
              <w:t>0</w:t>
            </w:r>
          </w:p>
        </w:tc>
      </w:tr>
      <w:tr w:rsidR="007B298D" w:rsidRPr="007B298D" w14:paraId="6E088EBA"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1F8781B8"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Zaplacené úroky</w:t>
            </w:r>
          </w:p>
        </w:tc>
        <w:tc>
          <w:tcPr>
            <w:tcW w:w="762" w:type="pct"/>
            <w:tcBorders>
              <w:top w:val="nil"/>
              <w:left w:val="nil"/>
              <w:bottom w:val="single" w:sz="4" w:space="0" w:color="9C9D9F"/>
              <w:right w:val="nil"/>
            </w:tcBorders>
            <w:shd w:val="clear" w:color="auto" w:fill="auto"/>
            <w:noWrap/>
            <w:vAlign w:val="bottom"/>
            <w:hideMark/>
          </w:tcPr>
          <w:p w14:paraId="2C882DF6" w14:textId="7777777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0</w:t>
            </w:r>
          </w:p>
        </w:tc>
        <w:tc>
          <w:tcPr>
            <w:tcW w:w="964" w:type="pct"/>
            <w:tcBorders>
              <w:top w:val="nil"/>
              <w:left w:val="nil"/>
              <w:bottom w:val="single" w:sz="4" w:space="0" w:color="9C9D9F"/>
              <w:right w:val="nil"/>
            </w:tcBorders>
            <w:shd w:val="clear" w:color="auto" w:fill="auto"/>
            <w:noWrap/>
            <w:vAlign w:val="bottom"/>
            <w:hideMark/>
          </w:tcPr>
          <w:p w14:paraId="7F580018" w14:textId="7EA6696E"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-24</w:t>
            </w:r>
            <w:r w:rsidR="00E9713C">
              <w:rPr>
                <w:rFonts w:ascii="Calibri" w:hAnsi="Calibri" w:cs="Calibri"/>
                <w:sz w:val="20"/>
                <w:szCs w:val="20"/>
              </w:rPr>
              <w:t xml:space="preserve"> </w:t>
            </w:r>
            <w:r w:rsidRPr="007B298D">
              <w:rPr>
                <w:rFonts w:ascii="Calibri" w:hAnsi="Calibri" w:cs="Calibri"/>
                <w:sz w:val="20"/>
                <w:szCs w:val="20"/>
              </w:rPr>
              <w:t>255</w:t>
            </w:r>
          </w:p>
        </w:tc>
      </w:tr>
      <w:tr w:rsidR="007B298D" w:rsidRPr="007B298D" w14:paraId="0A806B49"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59587911"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Ostatní finanční výnosy/(náklady)</w:t>
            </w:r>
          </w:p>
        </w:tc>
        <w:tc>
          <w:tcPr>
            <w:tcW w:w="762" w:type="pct"/>
            <w:tcBorders>
              <w:top w:val="nil"/>
              <w:left w:val="nil"/>
              <w:bottom w:val="single" w:sz="4" w:space="0" w:color="9C9D9F"/>
              <w:right w:val="nil"/>
            </w:tcBorders>
            <w:shd w:val="clear" w:color="auto" w:fill="auto"/>
            <w:noWrap/>
            <w:vAlign w:val="bottom"/>
            <w:hideMark/>
          </w:tcPr>
          <w:p w14:paraId="322978FD" w14:textId="1887084D"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25</w:t>
            </w:r>
            <w:r w:rsidR="00E9713C">
              <w:rPr>
                <w:rFonts w:ascii="Calibri" w:hAnsi="Calibri" w:cs="Calibri"/>
                <w:sz w:val="20"/>
                <w:szCs w:val="20"/>
              </w:rPr>
              <w:t xml:space="preserve"> </w:t>
            </w:r>
            <w:r w:rsidRPr="007B298D">
              <w:rPr>
                <w:rFonts w:ascii="Calibri" w:hAnsi="Calibri" w:cs="Calibri"/>
                <w:sz w:val="20"/>
                <w:szCs w:val="20"/>
              </w:rPr>
              <w:t>750</w:t>
            </w:r>
          </w:p>
        </w:tc>
        <w:tc>
          <w:tcPr>
            <w:tcW w:w="964" w:type="pct"/>
            <w:tcBorders>
              <w:top w:val="nil"/>
              <w:left w:val="nil"/>
              <w:bottom w:val="single" w:sz="4" w:space="0" w:color="9C9D9F"/>
              <w:right w:val="nil"/>
            </w:tcBorders>
            <w:shd w:val="clear" w:color="auto" w:fill="auto"/>
            <w:noWrap/>
            <w:vAlign w:val="bottom"/>
            <w:hideMark/>
          </w:tcPr>
          <w:p w14:paraId="7C134664" w14:textId="0D98CA2E"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-94</w:t>
            </w:r>
            <w:r w:rsidR="00E9713C">
              <w:rPr>
                <w:rFonts w:ascii="Calibri" w:hAnsi="Calibri" w:cs="Calibri"/>
                <w:sz w:val="20"/>
                <w:szCs w:val="20"/>
              </w:rPr>
              <w:t xml:space="preserve"> </w:t>
            </w:r>
            <w:r w:rsidRPr="007B298D">
              <w:rPr>
                <w:rFonts w:ascii="Calibri" w:hAnsi="Calibri" w:cs="Calibri"/>
                <w:sz w:val="20"/>
                <w:szCs w:val="20"/>
              </w:rPr>
              <w:t>926</w:t>
            </w:r>
          </w:p>
        </w:tc>
      </w:tr>
      <w:tr w:rsidR="007B298D" w:rsidRPr="007B298D" w14:paraId="789CB99E" w14:textId="77777777" w:rsidTr="009603DE">
        <w:trPr>
          <w:trHeight w:val="315"/>
        </w:trPr>
        <w:tc>
          <w:tcPr>
            <w:tcW w:w="3274" w:type="pct"/>
            <w:tcBorders>
              <w:top w:val="nil"/>
              <w:left w:val="nil"/>
              <w:bottom w:val="single" w:sz="4" w:space="0" w:color="9C9D9F"/>
              <w:right w:val="nil"/>
            </w:tcBorders>
            <w:shd w:val="clear" w:color="auto" w:fill="auto"/>
            <w:vAlign w:val="bottom"/>
            <w:hideMark/>
          </w:tcPr>
          <w:p w14:paraId="7BA073DB"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Čisté peněžní toky z finanční činnosti</w:t>
            </w:r>
          </w:p>
        </w:tc>
        <w:tc>
          <w:tcPr>
            <w:tcW w:w="762" w:type="pct"/>
            <w:tcBorders>
              <w:top w:val="nil"/>
              <w:left w:val="nil"/>
              <w:bottom w:val="single" w:sz="4" w:space="0" w:color="9C9D9F"/>
              <w:right w:val="nil"/>
            </w:tcBorders>
            <w:shd w:val="clear" w:color="auto" w:fill="auto"/>
            <w:noWrap/>
            <w:vAlign w:val="bottom"/>
            <w:hideMark/>
          </w:tcPr>
          <w:p w14:paraId="55899C6E" w14:textId="52A1DE8F"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1</w:t>
            </w:r>
            <w:r w:rsidR="00E9713C">
              <w:rPr>
                <w:rFonts w:ascii="Calibri" w:hAnsi="Calibri" w:cs="Calibri"/>
                <w:b/>
                <w:bCs/>
                <w:sz w:val="20"/>
                <w:szCs w:val="20"/>
              </w:rPr>
              <w:t xml:space="preserve"> </w:t>
            </w:r>
            <w:r w:rsidRPr="007B298D">
              <w:rPr>
                <w:rFonts w:ascii="Calibri" w:hAnsi="Calibri" w:cs="Calibri"/>
                <w:b/>
                <w:bCs/>
                <w:sz w:val="20"/>
                <w:szCs w:val="20"/>
              </w:rPr>
              <w:t>174</w:t>
            </w:r>
            <w:r w:rsidR="00E9713C">
              <w:rPr>
                <w:rFonts w:ascii="Calibri" w:hAnsi="Calibri" w:cs="Calibri"/>
                <w:b/>
                <w:bCs/>
                <w:sz w:val="20"/>
                <w:szCs w:val="20"/>
              </w:rPr>
              <w:t xml:space="preserve"> </w:t>
            </w:r>
            <w:r w:rsidRPr="007B298D">
              <w:rPr>
                <w:rFonts w:ascii="Calibri" w:hAnsi="Calibri" w:cs="Calibri"/>
                <w:b/>
                <w:bCs/>
                <w:sz w:val="20"/>
                <w:szCs w:val="20"/>
              </w:rPr>
              <w:t>927</w:t>
            </w:r>
          </w:p>
        </w:tc>
        <w:tc>
          <w:tcPr>
            <w:tcW w:w="964" w:type="pct"/>
            <w:tcBorders>
              <w:top w:val="nil"/>
              <w:left w:val="nil"/>
              <w:bottom w:val="single" w:sz="4" w:space="0" w:color="9C9D9F"/>
              <w:right w:val="nil"/>
            </w:tcBorders>
            <w:shd w:val="clear" w:color="auto" w:fill="auto"/>
            <w:noWrap/>
            <w:vAlign w:val="bottom"/>
            <w:hideMark/>
          </w:tcPr>
          <w:p w14:paraId="1B431C2D" w14:textId="432E56C2" w:rsidR="007B298D" w:rsidRPr="007B298D" w:rsidRDefault="00803DB8" w:rsidP="007B298D">
            <w:pPr>
              <w:spacing w:before="0" w:beforeAutospacing="0" w:after="0" w:afterAutospacing="0"/>
              <w:ind w:firstLineChars="100" w:firstLine="200"/>
              <w:jc w:val="right"/>
              <w:rPr>
                <w:rFonts w:ascii="Calibri" w:hAnsi="Calibri" w:cs="Calibri"/>
                <w:b/>
                <w:bCs/>
                <w:sz w:val="20"/>
                <w:szCs w:val="20"/>
              </w:rPr>
            </w:pPr>
            <w:r>
              <w:rPr>
                <w:rFonts w:ascii="Calibri" w:hAnsi="Calibri" w:cs="Calibri"/>
                <w:b/>
                <w:bCs/>
                <w:sz w:val="20"/>
                <w:szCs w:val="20"/>
              </w:rPr>
              <w:t>-393 141</w:t>
            </w:r>
          </w:p>
        </w:tc>
      </w:tr>
      <w:tr w:rsidR="007B298D" w:rsidRPr="007B298D" w14:paraId="10EF94C0" w14:textId="77777777" w:rsidTr="009603DE">
        <w:trPr>
          <w:trHeight w:val="135"/>
        </w:trPr>
        <w:tc>
          <w:tcPr>
            <w:tcW w:w="3274" w:type="pct"/>
            <w:tcBorders>
              <w:top w:val="nil"/>
              <w:left w:val="nil"/>
              <w:bottom w:val="nil"/>
              <w:right w:val="nil"/>
            </w:tcBorders>
            <w:shd w:val="clear" w:color="auto" w:fill="auto"/>
            <w:vAlign w:val="bottom"/>
            <w:hideMark/>
          </w:tcPr>
          <w:p w14:paraId="2F89E958" w14:textId="77777777"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p>
        </w:tc>
        <w:tc>
          <w:tcPr>
            <w:tcW w:w="762" w:type="pct"/>
            <w:tcBorders>
              <w:top w:val="nil"/>
              <w:left w:val="nil"/>
              <w:bottom w:val="nil"/>
              <w:right w:val="nil"/>
            </w:tcBorders>
            <w:shd w:val="clear" w:color="auto" w:fill="auto"/>
            <w:noWrap/>
            <w:vAlign w:val="bottom"/>
            <w:hideMark/>
          </w:tcPr>
          <w:p w14:paraId="58C9B40D"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4D0D43D1"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22C4D546"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522A4BD6"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Peněžní prostředky a peněžní ekvivalenty na počátku účetního období</w:t>
            </w:r>
          </w:p>
        </w:tc>
        <w:tc>
          <w:tcPr>
            <w:tcW w:w="762" w:type="pct"/>
            <w:tcBorders>
              <w:top w:val="nil"/>
              <w:left w:val="nil"/>
              <w:bottom w:val="single" w:sz="4" w:space="0" w:color="9C9D9F"/>
              <w:right w:val="nil"/>
            </w:tcBorders>
            <w:shd w:val="clear" w:color="auto" w:fill="auto"/>
            <w:noWrap/>
            <w:vAlign w:val="bottom"/>
            <w:hideMark/>
          </w:tcPr>
          <w:p w14:paraId="3BAC3286" w14:textId="2E925551"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654</w:t>
            </w:r>
            <w:r w:rsidR="00E9713C">
              <w:rPr>
                <w:rFonts w:ascii="Calibri" w:hAnsi="Calibri" w:cs="Calibri"/>
                <w:sz w:val="20"/>
                <w:szCs w:val="20"/>
              </w:rPr>
              <w:t xml:space="preserve"> </w:t>
            </w:r>
            <w:r w:rsidRPr="007B298D">
              <w:rPr>
                <w:rFonts w:ascii="Calibri" w:hAnsi="Calibri" w:cs="Calibri"/>
                <w:sz w:val="20"/>
                <w:szCs w:val="20"/>
              </w:rPr>
              <w:t>415</w:t>
            </w:r>
          </w:p>
        </w:tc>
        <w:tc>
          <w:tcPr>
            <w:tcW w:w="964" w:type="pct"/>
            <w:tcBorders>
              <w:top w:val="nil"/>
              <w:left w:val="nil"/>
              <w:bottom w:val="single" w:sz="4" w:space="0" w:color="9C9D9F"/>
              <w:right w:val="nil"/>
            </w:tcBorders>
            <w:shd w:val="clear" w:color="auto" w:fill="auto"/>
            <w:noWrap/>
            <w:vAlign w:val="bottom"/>
            <w:hideMark/>
          </w:tcPr>
          <w:p w14:paraId="581B1A17" w14:textId="7FA7E6C3"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1</w:t>
            </w:r>
            <w:r w:rsidR="00E9713C">
              <w:rPr>
                <w:rFonts w:ascii="Calibri" w:hAnsi="Calibri" w:cs="Calibri"/>
                <w:sz w:val="20"/>
                <w:szCs w:val="20"/>
              </w:rPr>
              <w:t xml:space="preserve"> </w:t>
            </w:r>
            <w:r w:rsidRPr="007B298D">
              <w:rPr>
                <w:rFonts w:ascii="Calibri" w:hAnsi="Calibri" w:cs="Calibri"/>
                <w:sz w:val="20"/>
                <w:szCs w:val="20"/>
              </w:rPr>
              <w:t>513</w:t>
            </w:r>
            <w:r w:rsidR="00E9713C">
              <w:rPr>
                <w:rFonts w:ascii="Calibri" w:hAnsi="Calibri" w:cs="Calibri"/>
                <w:sz w:val="20"/>
                <w:szCs w:val="20"/>
              </w:rPr>
              <w:t xml:space="preserve"> </w:t>
            </w:r>
            <w:r w:rsidRPr="007B298D">
              <w:rPr>
                <w:rFonts w:ascii="Calibri" w:hAnsi="Calibri" w:cs="Calibri"/>
                <w:sz w:val="20"/>
                <w:szCs w:val="20"/>
              </w:rPr>
              <w:t>977</w:t>
            </w:r>
          </w:p>
        </w:tc>
      </w:tr>
      <w:tr w:rsidR="007B298D" w:rsidRPr="007B298D" w14:paraId="343FB11E"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7436AE00" w14:textId="77777777" w:rsidR="007B298D" w:rsidRPr="007B298D" w:rsidRDefault="007B298D" w:rsidP="007B298D">
            <w:pPr>
              <w:spacing w:before="0" w:beforeAutospacing="0" w:after="0" w:afterAutospacing="0"/>
              <w:jc w:val="left"/>
              <w:rPr>
                <w:rFonts w:ascii="Calibri" w:hAnsi="Calibri" w:cs="Calibri"/>
                <w:sz w:val="20"/>
                <w:szCs w:val="20"/>
              </w:rPr>
            </w:pPr>
            <w:r w:rsidRPr="007B298D">
              <w:rPr>
                <w:rFonts w:ascii="Calibri" w:hAnsi="Calibri" w:cs="Calibri"/>
                <w:sz w:val="20"/>
                <w:szCs w:val="20"/>
              </w:rPr>
              <w:t>Čistý přírůstek (úbytek) peněžních prostředků a peněžních ekvivalentů</w:t>
            </w:r>
          </w:p>
        </w:tc>
        <w:tc>
          <w:tcPr>
            <w:tcW w:w="762" w:type="pct"/>
            <w:tcBorders>
              <w:top w:val="nil"/>
              <w:left w:val="nil"/>
              <w:bottom w:val="single" w:sz="4" w:space="0" w:color="9C9D9F"/>
              <w:right w:val="nil"/>
            </w:tcBorders>
            <w:shd w:val="clear" w:color="auto" w:fill="auto"/>
            <w:noWrap/>
            <w:vAlign w:val="bottom"/>
            <w:hideMark/>
          </w:tcPr>
          <w:p w14:paraId="70BE3274" w14:textId="0B61DB45"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1</w:t>
            </w:r>
            <w:r w:rsidR="00E9713C">
              <w:rPr>
                <w:rFonts w:ascii="Calibri" w:hAnsi="Calibri" w:cs="Calibri"/>
                <w:sz w:val="20"/>
                <w:szCs w:val="20"/>
              </w:rPr>
              <w:t xml:space="preserve"> </w:t>
            </w:r>
            <w:r w:rsidRPr="007B298D">
              <w:rPr>
                <w:rFonts w:ascii="Calibri" w:hAnsi="Calibri" w:cs="Calibri"/>
                <w:sz w:val="20"/>
                <w:szCs w:val="20"/>
              </w:rPr>
              <w:t>226</w:t>
            </w:r>
            <w:r w:rsidR="00E9713C">
              <w:rPr>
                <w:rFonts w:ascii="Calibri" w:hAnsi="Calibri" w:cs="Calibri"/>
                <w:sz w:val="20"/>
                <w:szCs w:val="20"/>
              </w:rPr>
              <w:t xml:space="preserve"> </w:t>
            </w:r>
            <w:r w:rsidRPr="007B298D">
              <w:rPr>
                <w:rFonts w:ascii="Calibri" w:hAnsi="Calibri" w:cs="Calibri"/>
                <w:sz w:val="20"/>
                <w:szCs w:val="20"/>
              </w:rPr>
              <w:t>559</w:t>
            </w:r>
          </w:p>
        </w:tc>
        <w:tc>
          <w:tcPr>
            <w:tcW w:w="964" w:type="pct"/>
            <w:tcBorders>
              <w:top w:val="nil"/>
              <w:left w:val="nil"/>
              <w:bottom w:val="single" w:sz="4" w:space="0" w:color="9C9D9F"/>
              <w:right w:val="nil"/>
            </w:tcBorders>
            <w:shd w:val="clear" w:color="auto" w:fill="auto"/>
            <w:noWrap/>
            <w:vAlign w:val="bottom"/>
            <w:hideMark/>
          </w:tcPr>
          <w:p w14:paraId="4BA2811A" w14:textId="22B937AA" w:rsidR="007B298D" w:rsidRPr="007B298D" w:rsidRDefault="007B298D" w:rsidP="007B298D">
            <w:pPr>
              <w:spacing w:before="0" w:beforeAutospacing="0" w:after="0" w:afterAutospacing="0"/>
              <w:ind w:firstLineChars="100" w:firstLine="200"/>
              <w:jc w:val="right"/>
              <w:rPr>
                <w:rFonts w:ascii="Calibri" w:hAnsi="Calibri" w:cs="Calibri"/>
                <w:sz w:val="20"/>
                <w:szCs w:val="20"/>
              </w:rPr>
            </w:pPr>
            <w:r w:rsidRPr="007B298D">
              <w:rPr>
                <w:rFonts w:ascii="Calibri" w:hAnsi="Calibri" w:cs="Calibri"/>
                <w:sz w:val="20"/>
                <w:szCs w:val="20"/>
              </w:rPr>
              <w:t>-37</w:t>
            </w:r>
            <w:r w:rsidR="00E9713C">
              <w:rPr>
                <w:rFonts w:ascii="Calibri" w:hAnsi="Calibri" w:cs="Calibri"/>
                <w:sz w:val="20"/>
                <w:szCs w:val="20"/>
              </w:rPr>
              <w:t xml:space="preserve"> </w:t>
            </w:r>
            <w:r w:rsidRPr="007B298D">
              <w:rPr>
                <w:rFonts w:ascii="Calibri" w:hAnsi="Calibri" w:cs="Calibri"/>
                <w:sz w:val="20"/>
                <w:szCs w:val="20"/>
              </w:rPr>
              <w:t>149</w:t>
            </w:r>
          </w:p>
        </w:tc>
      </w:tr>
      <w:tr w:rsidR="007B298D" w:rsidRPr="007B298D" w14:paraId="186E25E1" w14:textId="77777777" w:rsidTr="009603DE">
        <w:trPr>
          <w:trHeight w:val="135"/>
        </w:trPr>
        <w:tc>
          <w:tcPr>
            <w:tcW w:w="3274" w:type="pct"/>
            <w:tcBorders>
              <w:top w:val="nil"/>
              <w:left w:val="nil"/>
              <w:bottom w:val="nil"/>
              <w:right w:val="nil"/>
            </w:tcBorders>
            <w:shd w:val="clear" w:color="auto" w:fill="auto"/>
            <w:vAlign w:val="bottom"/>
            <w:hideMark/>
          </w:tcPr>
          <w:p w14:paraId="0A7A8A3E" w14:textId="77777777" w:rsidR="007B298D" w:rsidRPr="007B298D" w:rsidRDefault="007B298D" w:rsidP="007B298D">
            <w:pPr>
              <w:spacing w:before="0" w:beforeAutospacing="0" w:after="0" w:afterAutospacing="0"/>
              <w:ind w:firstLineChars="100" w:firstLine="200"/>
              <w:jc w:val="right"/>
              <w:rPr>
                <w:rFonts w:ascii="Calibri" w:hAnsi="Calibri" w:cs="Calibri"/>
                <w:sz w:val="20"/>
                <w:szCs w:val="20"/>
              </w:rPr>
            </w:pPr>
          </w:p>
        </w:tc>
        <w:tc>
          <w:tcPr>
            <w:tcW w:w="762" w:type="pct"/>
            <w:tcBorders>
              <w:top w:val="nil"/>
              <w:left w:val="nil"/>
              <w:bottom w:val="nil"/>
              <w:right w:val="nil"/>
            </w:tcBorders>
            <w:shd w:val="clear" w:color="auto" w:fill="auto"/>
            <w:noWrap/>
            <w:vAlign w:val="bottom"/>
            <w:hideMark/>
          </w:tcPr>
          <w:p w14:paraId="1A1624CC" w14:textId="77777777" w:rsidR="007B298D" w:rsidRPr="007B298D" w:rsidRDefault="007B298D" w:rsidP="007B298D">
            <w:pPr>
              <w:spacing w:before="0" w:beforeAutospacing="0" w:after="0" w:afterAutospacing="0"/>
              <w:jc w:val="left"/>
              <w:rPr>
                <w:rFonts w:ascii="Times New Roman" w:hAnsi="Times New Roman"/>
                <w:sz w:val="20"/>
                <w:szCs w:val="20"/>
              </w:rPr>
            </w:pPr>
          </w:p>
        </w:tc>
        <w:tc>
          <w:tcPr>
            <w:tcW w:w="964" w:type="pct"/>
            <w:tcBorders>
              <w:top w:val="nil"/>
              <w:left w:val="nil"/>
              <w:bottom w:val="nil"/>
              <w:right w:val="nil"/>
            </w:tcBorders>
            <w:shd w:val="clear" w:color="auto" w:fill="auto"/>
            <w:noWrap/>
            <w:vAlign w:val="bottom"/>
            <w:hideMark/>
          </w:tcPr>
          <w:p w14:paraId="5E8E6965" w14:textId="77777777" w:rsidR="007B298D" w:rsidRPr="007B298D" w:rsidRDefault="007B298D" w:rsidP="007B298D">
            <w:pPr>
              <w:spacing w:before="0" w:beforeAutospacing="0" w:after="0" w:afterAutospacing="0"/>
              <w:ind w:firstLineChars="100" w:firstLine="200"/>
              <w:jc w:val="right"/>
              <w:rPr>
                <w:rFonts w:ascii="Times New Roman" w:hAnsi="Times New Roman"/>
                <w:sz w:val="20"/>
                <w:szCs w:val="20"/>
              </w:rPr>
            </w:pPr>
          </w:p>
        </w:tc>
      </w:tr>
      <w:tr w:rsidR="007B298D" w:rsidRPr="007B298D" w14:paraId="172C3249" w14:textId="77777777" w:rsidTr="009603DE">
        <w:trPr>
          <w:trHeight w:val="255"/>
        </w:trPr>
        <w:tc>
          <w:tcPr>
            <w:tcW w:w="3274" w:type="pct"/>
            <w:tcBorders>
              <w:top w:val="nil"/>
              <w:left w:val="nil"/>
              <w:bottom w:val="single" w:sz="4" w:space="0" w:color="9C9D9F"/>
              <w:right w:val="nil"/>
            </w:tcBorders>
            <w:shd w:val="clear" w:color="auto" w:fill="auto"/>
            <w:vAlign w:val="bottom"/>
            <w:hideMark/>
          </w:tcPr>
          <w:p w14:paraId="54AFE894" w14:textId="77777777" w:rsidR="007B298D" w:rsidRPr="007B298D" w:rsidRDefault="007B298D" w:rsidP="007B298D">
            <w:pPr>
              <w:spacing w:before="0" w:beforeAutospacing="0" w:after="0" w:afterAutospacing="0"/>
              <w:jc w:val="left"/>
              <w:rPr>
                <w:rFonts w:ascii="Calibri" w:hAnsi="Calibri" w:cs="Calibri"/>
                <w:b/>
                <w:bCs/>
                <w:sz w:val="20"/>
                <w:szCs w:val="20"/>
              </w:rPr>
            </w:pPr>
            <w:r w:rsidRPr="007B298D">
              <w:rPr>
                <w:rFonts w:ascii="Calibri" w:hAnsi="Calibri" w:cs="Calibri"/>
                <w:b/>
                <w:bCs/>
                <w:sz w:val="20"/>
                <w:szCs w:val="20"/>
              </w:rPr>
              <w:t>Peněžní prostředky a peněžní ekvivalenty na konci účetního období</w:t>
            </w:r>
          </w:p>
        </w:tc>
        <w:tc>
          <w:tcPr>
            <w:tcW w:w="762" w:type="pct"/>
            <w:tcBorders>
              <w:top w:val="nil"/>
              <w:left w:val="nil"/>
              <w:bottom w:val="single" w:sz="4" w:space="0" w:color="9C9D9F"/>
              <w:right w:val="nil"/>
            </w:tcBorders>
            <w:shd w:val="clear" w:color="auto" w:fill="auto"/>
            <w:noWrap/>
            <w:vAlign w:val="bottom"/>
            <w:hideMark/>
          </w:tcPr>
          <w:p w14:paraId="7B7A464F" w14:textId="35D183A3"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1</w:t>
            </w:r>
            <w:r w:rsidR="00E9713C">
              <w:rPr>
                <w:rFonts w:ascii="Calibri" w:hAnsi="Calibri" w:cs="Calibri"/>
                <w:b/>
                <w:bCs/>
                <w:sz w:val="20"/>
                <w:szCs w:val="20"/>
              </w:rPr>
              <w:t xml:space="preserve"> </w:t>
            </w:r>
            <w:r w:rsidRPr="007B298D">
              <w:rPr>
                <w:rFonts w:ascii="Calibri" w:hAnsi="Calibri" w:cs="Calibri"/>
                <w:b/>
                <w:bCs/>
                <w:sz w:val="20"/>
                <w:szCs w:val="20"/>
              </w:rPr>
              <w:t>880</w:t>
            </w:r>
            <w:r w:rsidR="00E9713C">
              <w:rPr>
                <w:rFonts w:ascii="Calibri" w:hAnsi="Calibri" w:cs="Calibri"/>
                <w:b/>
                <w:bCs/>
                <w:sz w:val="20"/>
                <w:szCs w:val="20"/>
              </w:rPr>
              <w:t xml:space="preserve"> </w:t>
            </w:r>
            <w:r w:rsidRPr="007B298D">
              <w:rPr>
                <w:rFonts w:ascii="Calibri" w:hAnsi="Calibri" w:cs="Calibri"/>
                <w:b/>
                <w:bCs/>
                <w:sz w:val="20"/>
                <w:szCs w:val="20"/>
              </w:rPr>
              <w:t>975</w:t>
            </w:r>
          </w:p>
        </w:tc>
        <w:tc>
          <w:tcPr>
            <w:tcW w:w="964" w:type="pct"/>
            <w:tcBorders>
              <w:top w:val="nil"/>
              <w:left w:val="nil"/>
              <w:bottom w:val="single" w:sz="4" w:space="0" w:color="9C9D9F"/>
              <w:right w:val="nil"/>
            </w:tcBorders>
            <w:shd w:val="clear" w:color="auto" w:fill="auto"/>
            <w:noWrap/>
            <w:vAlign w:val="bottom"/>
            <w:hideMark/>
          </w:tcPr>
          <w:p w14:paraId="1CE84F05" w14:textId="19D3469D" w:rsidR="007B298D" w:rsidRPr="007B298D" w:rsidRDefault="007B298D" w:rsidP="007B298D">
            <w:pPr>
              <w:spacing w:before="0" w:beforeAutospacing="0" w:after="0" w:afterAutospacing="0"/>
              <w:ind w:firstLineChars="100" w:firstLine="200"/>
              <w:jc w:val="right"/>
              <w:rPr>
                <w:rFonts w:ascii="Calibri" w:hAnsi="Calibri" w:cs="Calibri"/>
                <w:b/>
                <w:bCs/>
                <w:sz w:val="20"/>
                <w:szCs w:val="20"/>
              </w:rPr>
            </w:pPr>
            <w:r w:rsidRPr="007B298D">
              <w:rPr>
                <w:rFonts w:ascii="Calibri" w:hAnsi="Calibri" w:cs="Calibri"/>
                <w:b/>
                <w:bCs/>
                <w:sz w:val="20"/>
                <w:szCs w:val="20"/>
              </w:rPr>
              <w:t>1</w:t>
            </w:r>
            <w:r w:rsidR="00E9713C">
              <w:rPr>
                <w:rFonts w:ascii="Calibri" w:hAnsi="Calibri" w:cs="Calibri"/>
                <w:b/>
                <w:bCs/>
                <w:sz w:val="20"/>
                <w:szCs w:val="20"/>
              </w:rPr>
              <w:t xml:space="preserve"> </w:t>
            </w:r>
            <w:r w:rsidRPr="007B298D">
              <w:rPr>
                <w:rFonts w:ascii="Calibri" w:hAnsi="Calibri" w:cs="Calibri"/>
                <w:b/>
                <w:bCs/>
                <w:sz w:val="20"/>
                <w:szCs w:val="20"/>
              </w:rPr>
              <w:t>476</w:t>
            </w:r>
            <w:r w:rsidR="00E9713C">
              <w:rPr>
                <w:rFonts w:ascii="Calibri" w:hAnsi="Calibri" w:cs="Calibri"/>
                <w:b/>
                <w:bCs/>
                <w:sz w:val="20"/>
                <w:szCs w:val="20"/>
              </w:rPr>
              <w:t xml:space="preserve"> </w:t>
            </w:r>
            <w:r w:rsidRPr="007B298D">
              <w:rPr>
                <w:rFonts w:ascii="Calibri" w:hAnsi="Calibri" w:cs="Calibri"/>
                <w:b/>
                <w:bCs/>
                <w:sz w:val="20"/>
                <w:szCs w:val="20"/>
              </w:rPr>
              <w:t>829</w:t>
            </w:r>
          </w:p>
        </w:tc>
      </w:tr>
    </w:tbl>
    <w:p w14:paraId="7FF5408C" w14:textId="77777777" w:rsidR="000C292F" w:rsidRPr="006C048C" w:rsidRDefault="000C292F" w:rsidP="000C292F"/>
    <w:p w14:paraId="7EBA26D4" w14:textId="77777777" w:rsidR="000C292F" w:rsidRPr="006C048C" w:rsidRDefault="000C292F" w:rsidP="000C292F"/>
    <w:p w14:paraId="2B5C99D4" w14:textId="77777777" w:rsidR="009603DE" w:rsidRDefault="009603DE">
      <w:pPr>
        <w:spacing w:before="0" w:beforeAutospacing="0" w:after="160" w:afterAutospacing="0" w:line="259" w:lineRule="auto"/>
        <w:jc w:val="left"/>
        <w:rPr>
          <w:b/>
          <w:bCs/>
          <w:kern w:val="32"/>
          <w:sz w:val="28"/>
          <w:szCs w:val="28"/>
        </w:rPr>
      </w:pPr>
      <w:bookmarkStart w:id="102" w:name="_Toc269295563"/>
      <w:bookmarkStart w:id="103" w:name="_Toc269907502"/>
      <w:r>
        <w:br w:type="page"/>
      </w:r>
    </w:p>
    <w:p w14:paraId="6656EDE7" w14:textId="1AF7B161" w:rsidR="000C292F" w:rsidRPr="006C048C" w:rsidRDefault="000C292F" w:rsidP="000C292F">
      <w:pPr>
        <w:pStyle w:val="Nadpis2"/>
      </w:pPr>
      <w:bookmarkStart w:id="104" w:name="_Toc522086619"/>
      <w:r w:rsidRPr="006C048C">
        <w:lastRenderedPageBreak/>
        <w:t>Konsolidovaný přehled o změnách vlastního kapitálu ve zkrácené podobě</w:t>
      </w:r>
      <w:bookmarkEnd w:id="102"/>
      <w:bookmarkEnd w:id="103"/>
      <w:bookmarkEnd w:id="104"/>
    </w:p>
    <w:p w14:paraId="2FF195EE" w14:textId="77777777" w:rsidR="000C292F" w:rsidRPr="006C048C" w:rsidRDefault="000C292F" w:rsidP="000C292F"/>
    <w:tbl>
      <w:tblPr>
        <w:tblW w:w="5373" w:type="pct"/>
        <w:tblInd w:w="-144" w:type="dxa"/>
        <w:tblLayout w:type="fixed"/>
        <w:tblCellMar>
          <w:left w:w="0" w:type="dxa"/>
          <w:right w:w="0" w:type="dxa"/>
        </w:tblCellMar>
        <w:tblLook w:val="0000" w:firstRow="0" w:lastRow="0" w:firstColumn="0" w:lastColumn="0" w:noHBand="0" w:noVBand="0"/>
      </w:tblPr>
      <w:tblGrid>
        <w:gridCol w:w="1767"/>
        <w:gridCol w:w="1174"/>
        <w:gridCol w:w="1172"/>
        <w:gridCol w:w="1082"/>
        <w:gridCol w:w="1082"/>
        <w:gridCol w:w="1082"/>
        <w:gridCol w:w="1203"/>
        <w:gridCol w:w="1187"/>
      </w:tblGrid>
      <w:tr w:rsidR="000C292F" w:rsidRPr="006C048C" w14:paraId="2B195036" w14:textId="77777777" w:rsidTr="000546B5">
        <w:trPr>
          <w:trHeight w:val="255"/>
        </w:trPr>
        <w:tc>
          <w:tcPr>
            <w:tcW w:w="906" w:type="pct"/>
            <w:shd w:val="clear" w:color="auto" w:fill="2A7FC6"/>
            <w:noWrap/>
            <w:vAlign w:val="center"/>
          </w:tcPr>
          <w:p w14:paraId="62118B39" w14:textId="77777777" w:rsidR="000C292F" w:rsidRPr="006C048C" w:rsidRDefault="000C292F" w:rsidP="00E431E6">
            <w:pPr>
              <w:jc w:val="center"/>
              <w:rPr>
                <w:rFonts w:cs="Arial"/>
                <w:b/>
                <w:color w:val="FFFFFF" w:themeColor="background1"/>
                <w:sz w:val="20"/>
                <w:szCs w:val="20"/>
              </w:rPr>
            </w:pPr>
            <w:r w:rsidRPr="006C048C">
              <w:rPr>
                <w:rFonts w:ascii="Calibri" w:hAnsi="Calibri" w:cs="Arial"/>
                <w:b/>
                <w:bCs/>
                <w:color w:val="FFFFFF"/>
                <w:sz w:val="20"/>
                <w:szCs w:val="20"/>
                <w:lang w:eastAsia="en-US"/>
              </w:rPr>
              <w:t>v tis. Kč</w:t>
            </w:r>
          </w:p>
        </w:tc>
        <w:tc>
          <w:tcPr>
            <w:tcW w:w="602" w:type="pct"/>
            <w:shd w:val="clear" w:color="auto" w:fill="2A7FC6"/>
            <w:noWrap/>
            <w:vAlign w:val="center"/>
          </w:tcPr>
          <w:p w14:paraId="5616F9A6"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Základní kapitál</w:t>
            </w:r>
          </w:p>
        </w:tc>
        <w:tc>
          <w:tcPr>
            <w:tcW w:w="601" w:type="pct"/>
            <w:shd w:val="clear" w:color="auto" w:fill="2A7FC6"/>
            <w:vAlign w:val="center"/>
          </w:tcPr>
          <w:p w14:paraId="4A743D61"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Zákonný rezervní fond a ostatní rezervy</w:t>
            </w:r>
          </w:p>
        </w:tc>
        <w:tc>
          <w:tcPr>
            <w:tcW w:w="555" w:type="pct"/>
            <w:shd w:val="clear" w:color="auto" w:fill="2A7FC6"/>
            <w:vAlign w:val="center"/>
          </w:tcPr>
          <w:p w14:paraId="6863978A"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Vlastní akcie</w:t>
            </w:r>
          </w:p>
        </w:tc>
        <w:tc>
          <w:tcPr>
            <w:tcW w:w="555" w:type="pct"/>
            <w:shd w:val="clear" w:color="auto" w:fill="2A7FC6"/>
            <w:vAlign w:val="center"/>
          </w:tcPr>
          <w:p w14:paraId="4FB97926"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Rozdíly z přepočtu</w:t>
            </w:r>
          </w:p>
        </w:tc>
        <w:tc>
          <w:tcPr>
            <w:tcW w:w="555" w:type="pct"/>
            <w:shd w:val="clear" w:color="auto" w:fill="2A7FC6"/>
            <w:vAlign w:val="center"/>
          </w:tcPr>
          <w:p w14:paraId="196995DA"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Zajištění peněžních toků</w:t>
            </w:r>
          </w:p>
        </w:tc>
        <w:tc>
          <w:tcPr>
            <w:tcW w:w="617" w:type="pct"/>
            <w:shd w:val="clear" w:color="auto" w:fill="2A7FC6"/>
            <w:noWrap/>
            <w:vAlign w:val="center"/>
          </w:tcPr>
          <w:p w14:paraId="02A68705"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Nerozdělený zisk</w:t>
            </w:r>
          </w:p>
        </w:tc>
        <w:tc>
          <w:tcPr>
            <w:tcW w:w="609" w:type="pct"/>
            <w:shd w:val="clear" w:color="auto" w:fill="2A7FC6"/>
            <w:vAlign w:val="center"/>
          </w:tcPr>
          <w:p w14:paraId="49966E7B"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Základní kapitál a rezervní fondy celkem</w:t>
            </w:r>
          </w:p>
        </w:tc>
      </w:tr>
      <w:tr w:rsidR="000C292F" w:rsidRPr="006C048C" w14:paraId="74200ED7" w14:textId="77777777" w:rsidTr="00E431E6">
        <w:trPr>
          <w:trHeight w:val="20"/>
        </w:trPr>
        <w:tc>
          <w:tcPr>
            <w:tcW w:w="906" w:type="pct"/>
            <w:shd w:val="clear" w:color="auto" w:fill="auto"/>
            <w:noWrap/>
            <w:vAlign w:val="center"/>
          </w:tcPr>
          <w:p w14:paraId="0526E4D6" w14:textId="77777777" w:rsidR="000C292F" w:rsidRPr="006C048C" w:rsidRDefault="000C292F" w:rsidP="00E431E6">
            <w:pPr>
              <w:jc w:val="right"/>
              <w:rPr>
                <w:rFonts w:cs="Arial"/>
                <w:b/>
                <w:bCs/>
                <w:color w:val="000000"/>
                <w:sz w:val="20"/>
                <w:szCs w:val="20"/>
              </w:rPr>
            </w:pPr>
          </w:p>
        </w:tc>
        <w:tc>
          <w:tcPr>
            <w:tcW w:w="602" w:type="pct"/>
            <w:shd w:val="clear" w:color="auto" w:fill="auto"/>
            <w:noWrap/>
            <w:vAlign w:val="center"/>
          </w:tcPr>
          <w:p w14:paraId="4025A894" w14:textId="77777777" w:rsidR="000C292F" w:rsidRPr="006C048C" w:rsidRDefault="000C292F" w:rsidP="00E431E6">
            <w:pPr>
              <w:ind w:right="96"/>
              <w:jc w:val="right"/>
              <w:rPr>
                <w:rFonts w:cs="Arial"/>
                <w:b/>
                <w:bCs/>
                <w:color w:val="000000"/>
                <w:sz w:val="20"/>
                <w:szCs w:val="20"/>
              </w:rPr>
            </w:pPr>
          </w:p>
        </w:tc>
        <w:tc>
          <w:tcPr>
            <w:tcW w:w="601" w:type="pct"/>
            <w:vAlign w:val="center"/>
          </w:tcPr>
          <w:p w14:paraId="7FC11080" w14:textId="77777777" w:rsidR="000C292F" w:rsidRPr="006C048C" w:rsidRDefault="000C292F" w:rsidP="00E431E6">
            <w:pPr>
              <w:ind w:right="96"/>
              <w:jc w:val="right"/>
              <w:rPr>
                <w:rFonts w:cs="Arial"/>
                <w:b/>
                <w:bCs/>
                <w:color w:val="000000"/>
                <w:sz w:val="20"/>
                <w:szCs w:val="20"/>
              </w:rPr>
            </w:pPr>
          </w:p>
        </w:tc>
        <w:tc>
          <w:tcPr>
            <w:tcW w:w="555" w:type="pct"/>
            <w:vAlign w:val="center"/>
          </w:tcPr>
          <w:p w14:paraId="2CA2FD6E" w14:textId="77777777" w:rsidR="000C292F" w:rsidRPr="006C048C" w:rsidRDefault="000C292F" w:rsidP="00E431E6">
            <w:pPr>
              <w:ind w:right="96"/>
              <w:jc w:val="right"/>
              <w:rPr>
                <w:rFonts w:cs="Arial"/>
                <w:b/>
                <w:bCs/>
                <w:color w:val="000000"/>
                <w:sz w:val="20"/>
                <w:szCs w:val="20"/>
              </w:rPr>
            </w:pPr>
          </w:p>
        </w:tc>
        <w:tc>
          <w:tcPr>
            <w:tcW w:w="555" w:type="pct"/>
            <w:vAlign w:val="center"/>
          </w:tcPr>
          <w:p w14:paraId="03E1336A" w14:textId="77777777" w:rsidR="000C292F" w:rsidRPr="006C048C" w:rsidRDefault="000C292F" w:rsidP="00E431E6">
            <w:pPr>
              <w:ind w:right="96"/>
              <w:jc w:val="right"/>
              <w:rPr>
                <w:rFonts w:cs="Arial"/>
                <w:b/>
                <w:bCs/>
                <w:color w:val="000000"/>
                <w:sz w:val="20"/>
                <w:szCs w:val="20"/>
              </w:rPr>
            </w:pPr>
          </w:p>
        </w:tc>
        <w:tc>
          <w:tcPr>
            <w:tcW w:w="555" w:type="pct"/>
            <w:vAlign w:val="center"/>
          </w:tcPr>
          <w:p w14:paraId="717E23CD" w14:textId="77777777" w:rsidR="000C292F" w:rsidRPr="006C048C" w:rsidRDefault="000C292F" w:rsidP="00E431E6">
            <w:pPr>
              <w:ind w:right="96"/>
              <w:jc w:val="right"/>
              <w:rPr>
                <w:rFonts w:cs="Arial"/>
                <w:b/>
                <w:bCs/>
                <w:color w:val="000000"/>
                <w:sz w:val="20"/>
                <w:szCs w:val="20"/>
              </w:rPr>
            </w:pPr>
          </w:p>
        </w:tc>
        <w:tc>
          <w:tcPr>
            <w:tcW w:w="617" w:type="pct"/>
            <w:shd w:val="clear" w:color="auto" w:fill="auto"/>
            <w:noWrap/>
            <w:vAlign w:val="center"/>
          </w:tcPr>
          <w:p w14:paraId="0F305574" w14:textId="77777777" w:rsidR="000C292F" w:rsidRPr="006C048C" w:rsidRDefault="000C292F" w:rsidP="00E431E6">
            <w:pPr>
              <w:ind w:right="96"/>
              <w:jc w:val="right"/>
              <w:rPr>
                <w:rFonts w:cs="Arial"/>
                <w:b/>
                <w:bCs/>
                <w:color w:val="000000"/>
                <w:sz w:val="20"/>
                <w:szCs w:val="20"/>
              </w:rPr>
            </w:pPr>
          </w:p>
        </w:tc>
        <w:tc>
          <w:tcPr>
            <w:tcW w:w="609" w:type="pct"/>
            <w:vAlign w:val="center"/>
          </w:tcPr>
          <w:p w14:paraId="4C4AFEDC" w14:textId="77777777" w:rsidR="000C292F" w:rsidRPr="006C048C" w:rsidRDefault="000C292F" w:rsidP="00E431E6">
            <w:pPr>
              <w:ind w:right="96"/>
              <w:jc w:val="right"/>
              <w:rPr>
                <w:rFonts w:cs="Arial"/>
                <w:b/>
                <w:bCs/>
                <w:color w:val="000000"/>
                <w:sz w:val="20"/>
                <w:szCs w:val="20"/>
              </w:rPr>
            </w:pPr>
          </w:p>
        </w:tc>
      </w:tr>
      <w:tr w:rsidR="000C292F" w:rsidRPr="006C048C" w14:paraId="518026D0" w14:textId="77777777" w:rsidTr="00E431E6">
        <w:trPr>
          <w:trHeight w:val="20"/>
        </w:trPr>
        <w:tc>
          <w:tcPr>
            <w:tcW w:w="906" w:type="pct"/>
            <w:shd w:val="clear" w:color="auto" w:fill="9C9D9F"/>
            <w:noWrap/>
            <w:vAlign w:val="center"/>
          </w:tcPr>
          <w:p w14:paraId="0CE654E8"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b/>
                <w:bCs/>
                <w:color w:val="000000"/>
                <w:sz w:val="20"/>
                <w:szCs w:val="20"/>
              </w:rPr>
              <w:t>k 1. lednu 2017</w:t>
            </w:r>
          </w:p>
        </w:tc>
        <w:tc>
          <w:tcPr>
            <w:tcW w:w="602" w:type="pct"/>
            <w:shd w:val="clear" w:color="auto" w:fill="9C9D9F"/>
            <w:noWrap/>
            <w:vAlign w:val="center"/>
          </w:tcPr>
          <w:p w14:paraId="7B53F310" w14:textId="77777777" w:rsidR="000C292F" w:rsidRPr="006C048C" w:rsidRDefault="000C292F" w:rsidP="00E431E6">
            <w:pPr>
              <w:spacing w:before="0" w:beforeAutospacing="0" w:after="0" w:afterAutospacing="0"/>
              <w:ind w:right="96"/>
              <w:jc w:val="right"/>
              <w:rPr>
                <w:b/>
                <w:color w:val="000000"/>
                <w:sz w:val="20"/>
                <w:szCs w:val="20"/>
              </w:rPr>
            </w:pPr>
            <w:r w:rsidRPr="006C048C">
              <w:rPr>
                <w:b/>
                <w:color w:val="000000"/>
                <w:sz w:val="20"/>
                <w:szCs w:val="20"/>
              </w:rPr>
              <w:t>309 229</w:t>
            </w:r>
          </w:p>
        </w:tc>
        <w:tc>
          <w:tcPr>
            <w:tcW w:w="601" w:type="pct"/>
            <w:shd w:val="clear" w:color="auto" w:fill="9C9D9F"/>
            <w:vAlign w:val="center"/>
          </w:tcPr>
          <w:p w14:paraId="5EA0A226" w14:textId="77777777" w:rsidR="000C292F" w:rsidRPr="006C048C" w:rsidRDefault="000C292F" w:rsidP="00E431E6">
            <w:pPr>
              <w:spacing w:before="0" w:beforeAutospacing="0" w:after="0" w:afterAutospacing="0"/>
              <w:ind w:right="96"/>
              <w:jc w:val="right"/>
              <w:rPr>
                <w:b/>
                <w:color w:val="000000"/>
                <w:sz w:val="20"/>
                <w:szCs w:val="20"/>
              </w:rPr>
            </w:pPr>
            <w:r w:rsidRPr="006C048C">
              <w:rPr>
                <w:b/>
                <w:color w:val="000000"/>
                <w:sz w:val="20"/>
                <w:szCs w:val="20"/>
              </w:rPr>
              <w:t>54 020</w:t>
            </w:r>
          </w:p>
        </w:tc>
        <w:tc>
          <w:tcPr>
            <w:tcW w:w="555" w:type="pct"/>
            <w:shd w:val="clear" w:color="auto" w:fill="9C9D9F"/>
            <w:vAlign w:val="center"/>
          </w:tcPr>
          <w:p w14:paraId="53797707" w14:textId="77777777" w:rsidR="000C292F" w:rsidRPr="006C048C" w:rsidRDefault="000C292F" w:rsidP="00E431E6">
            <w:pPr>
              <w:spacing w:before="0" w:beforeAutospacing="0" w:after="0" w:afterAutospacing="0"/>
              <w:ind w:right="96"/>
              <w:jc w:val="right"/>
              <w:rPr>
                <w:b/>
                <w:color w:val="000000"/>
                <w:sz w:val="20"/>
                <w:szCs w:val="20"/>
              </w:rPr>
            </w:pPr>
            <w:r w:rsidRPr="006C048C">
              <w:rPr>
                <w:b/>
                <w:color w:val="000000"/>
                <w:sz w:val="20"/>
                <w:szCs w:val="20"/>
              </w:rPr>
              <w:t>-369 422</w:t>
            </w:r>
          </w:p>
        </w:tc>
        <w:tc>
          <w:tcPr>
            <w:tcW w:w="555" w:type="pct"/>
            <w:shd w:val="clear" w:color="auto" w:fill="9C9D9F"/>
            <w:vAlign w:val="center"/>
          </w:tcPr>
          <w:p w14:paraId="75D81E9B" w14:textId="77777777" w:rsidR="000C292F" w:rsidRPr="006C048C" w:rsidRDefault="000C292F" w:rsidP="00E431E6">
            <w:pPr>
              <w:spacing w:before="0" w:beforeAutospacing="0" w:after="0" w:afterAutospacing="0"/>
              <w:ind w:right="96"/>
              <w:jc w:val="right"/>
              <w:rPr>
                <w:b/>
                <w:color w:val="000000"/>
                <w:sz w:val="20"/>
                <w:szCs w:val="20"/>
              </w:rPr>
            </w:pPr>
            <w:r w:rsidRPr="006C048C">
              <w:rPr>
                <w:b/>
                <w:color w:val="000000"/>
                <w:sz w:val="20"/>
                <w:szCs w:val="20"/>
              </w:rPr>
              <w:t>169 647</w:t>
            </w:r>
          </w:p>
        </w:tc>
        <w:tc>
          <w:tcPr>
            <w:tcW w:w="555" w:type="pct"/>
            <w:shd w:val="clear" w:color="auto" w:fill="9C9D9F"/>
            <w:vAlign w:val="center"/>
          </w:tcPr>
          <w:p w14:paraId="7F1B230E" w14:textId="77777777" w:rsidR="000C292F" w:rsidRPr="006C048C" w:rsidDel="002D1E65" w:rsidRDefault="000C292F" w:rsidP="00E431E6">
            <w:pPr>
              <w:spacing w:before="0" w:beforeAutospacing="0" w:after="0" w:afterAutospacing="0"/>
              <w:ind w:right="96"/>
              <w:jc w:val="right"/>
              <w:rPr>
                <w:b/>
                <w:color w:val="000000"/>
                <w:sz w:val="20"/>
                <w:szCs w:val="20"/>
              </w:rPr>
            </w:pPr>
            <w:r w:rsidRPr="006C048C">
              <w:rPr>
                <w:b/>
                <w:color w:val="000000"/>
                <w:sz w:val="20"/>
                <w:szCs w:val="20"/>
              </w:rPr>
              <w:t>16 428</w:t>
            </w:r>
          </w:p>
        </w:tc>
        <w:tc>
          <w:tcPr>
            <w:tcW w:w="617" w:type="pct"/>
            <w:shd w:val="clear" w:color="auto" w:fill="9C9D9F"/>
            <w:noWrap/>
            <w:vAlign w:val="center"/>
          </w:tcPr>
          <w:p w14:paraId="4F1CCEF0" w14:textId="77777777" w:rsidR="000C292F" w:rsidRPr="006C048C" w:rsidRDefault="000C292F" w:rsidP="00E431E6">
            <w:pPr>
              <w:spacing w:before="0" w:beforeAutospacing="0" w:after="0" w:afterAutospacing="0"/>
              <w:ind w:right="96"/>
              <w:jc w:val="right"/>
              <w:rPr>
                <w:b/>
                <w:color w:val="000000"/>
                <w:sz w:val="20"/>
                <w:szCs w:val="20"/>
              </w:rPr>
            </w:pPr>
            <w:r w:rsidRPr="006C048C">
              <w:rPr>
                <w:b/>
                <w:color w:val="000000"/>
                <w:sz w:val="20"/>
                <w:szCs w:val="20"/>
              </w:rPr>
              <w:t>4 109 127</w:t>
            </w:r>
          </w:p>
        </w:tc>
        <w:tc>
          <w:tcPr>
            <w:tcW w:w="609" w:type="pct"/>
            <w:shd w:val="clear" w:color="auto" w:fill="9C9D9F"/>
            <w:vAlign w:val="center"/>
          </w:tcPr>
          <w:p w14:paraId="1F3BBAF6" w14:textId="77777777" w:rsidR="000C292F" w:rsidRPr="006C048C" w:rsidRDefault="000C292F" w:rsidP="00E431E6">
            <w:pPr>
              <w:spacing w:before="0" w:beforeAutospacing="0" w:after="0" w:afterAutospacing="0"/>
              <w:ind w:right="94"/>
              <w:jc w:val="right"/>
              <w:rPr>
                <w:b/>
                <w:color w:val="000000"/>
                <w:sz w:val="20"/>
                <w:szCs w:val="20"/>
              </w:rPr>
            </w:pPr>
            <w:r w:rsidRPr="006C048C">
              <w:rPr>
                <w:b/>
                <w:color w:val="000000"/>
                <w:sz w:val="20"/>
                <w:szCs w:val="20"/>
              </w:rPr>
              <w:t>4 289 030</w:t>
            </w:r>
          </w:p>
        </w:tc>
      </w:tr>
      <w:tr w:rsidR="000C292F" w:rsidRPr="006C048C" w14:paraId="6AD59A23" w14:textId="77777777" w:rsidTr="00E431E6">
        <w:trPr>
          <w:trHeight w:val="20"/>
        </w:trPr>
        <w:tc>
          <w:tcPr>
            <w:tcW w:w="906" w:type="pct"/>
            <w:tcBorders>
              <w:bottom w:val="single" w:sz="4" w:space="0" w:color="9C9D9F"/>
            </w:tcBorders>
            <w:shd w:val="clear" w:color="auto" w:fill="auto"/>
            <w:noWrap/>
            <w:vAlign w:val="center"/>
          </w:tcPr>
          <w:p w14:paraId="3C5DE349"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color w:val="000000"/>
                <w:sz w:val="20"/>
                <w:szCs w:val="20"/>
              </w:rPr>
              <w:t>Distribuce</w:t>
            </w:r>
          </w:p>
        </w:tc>
        <w:tc>
          <w:tcPr>
            <w:tcW w:w="602" w:type="pct"/>
            <w:tcBorders>
              <w:bottom w:val="single" w:sz="4" w:space="0" w:color="9C9D9F"/>
            </w:tcBorders>
            <w:shd w:val="clear" w:color="auto" w:fill="auto"/>
            <w:noWrap/>
            <w:vAlign w:val="center"/>
          </w:tcPr>
          <w:p w14:paraId="78E54CAB"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601" w:type="pct"/>
            <w:tcBorders>
              <w:bottom w:val="single" w:sz="4" w:space="0" w:color="9C9D9F"/>
            </w:tcBorders>
            <w:vAlign w:val="center"/>
          </w:tcPr>
          <w:p w14:paraId="0FBB4492"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bottom w:val="single" w:sz="4" w:space="0" w:color="9C9D9F"/>
            </w:tcBorders>
            <w:vAlign w:val="center"/>
          </w:tcPr>
          <w:p w14:paraId="1E423FAD"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bottom w:val="single" w:sz="4" w:space="0" w:color="9C9D9F"/>
            </w:tcBorders>
            <w:vAlign w:val="center"/>
          </w:tcPr>
          <w:p w14:paraId="6E9190E2"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bottom w:val="single" w:sz="4" w:space="0" w:color="9C9D9F"/>
            </w:tcBorders>
            <w:vAlign w:val="center"/>
          </w:tcPr>
          <w:p w14:paraId="6170216A" w14:textId="77777777" w:rsidR="000C292F" w:rsidRPr="006C048C" w:rsidRDefault="000C292F" w:rsidP="00E431E6">
            <w:pPr>
              <w:spacing w:before="0" w:beforeAutospacing="0" w:after="0" w:afterAutospacing="0"/>
              <w:ind w:right="96"/>
              <w:jc w:val="right"/>
              <w:rPr>
                <w:rFonts w:cs="Arial"/>
                <w:b/>
                <w:iCs/>
                <w:color w:val="000000"/>
                <w:sz w:val="20"/>
                <w:szCs w:val="20"/>
              </w:rPr>
            </w:pPr>
            <w:r w:rsidRPr="006C048C">
              <w:rPr>
                <w:rFonts w:cs="Arial"/>
                <w:b/>
                <w:iCs/>
                <w:color w:val="000000"/>
                <w:sz w:val="20"/>
                <w:szCs w:val="20"/>
              </w:rPr>
              <w:t>--</w:t>
            </w:r>
          </w:p>
        </w:tc>
        <w:tc>
          <w:tcPr>
            <w:tcW w:w="617" w:type="pct"/>
            <w:tcBorders>
              <w:bottom w:val="single" w:sz="4" w:space="0" w:color="9C9D9F"/>
            </w:tcBorders>
            <w:shd w:val="clear" w:color="auto" w:fill="auto"/>
            <w:noWrap/>
            <w:vAlign w:val="center"/>
          </w:tcPr>
          <w:p w14:paraId="25BECE54" w14:textId="05975504"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-314 288</w:t>
            </w:r>
          </w:p>
        </w:tc>
        <w:tc>
          <w:tcPr>
            <w:tcW w:w="609" w:type="pct"/>
            <w:tcBorders>
              <w:bottom w:val="single" w:sz="4" w:space="0" w:color="9C9D9F"/>
            </w:tcBorders>
            <w:vAlign w:val="center"/>
          </w:tcPr>
          <w:p w14:paraId="23FE38CB" w14:textId="709BE40C" w:rsidR="000C292F" w:rsidRPr="006C048C" w:rsidRDefault="007D7000" w:rsidP="00E431E6">
            <w:pPr>
              <w:spacing w:before="0" w:beforeAutospacing="0" w:after="0" w:afterAutospacing="0"/>
              <w:ind w:right="94"/>
              <w:jc w:val="right"/>
              <w:rPr>
                <w:rFonts w:cs="Arial"/>
                <w:b/>
                <w:bCs/>
                <w:color w:val="000000"/>
                <w:sz w:val="20"/>
                <w:szCs w:val="20"/>
              </w:rPr>
            </w:pPr>
            <w:r>
              <w:rPr>
                <w:rFonts w:cs="Arial"/>
                <w:b/>
                <w:bCs/>
                <w:color w:val="000000"/>
                <w:sz w:val="20"/>
                <w:szCs w:val="20"/>
              </w:rPr>
              <w:t>-314 288</w:t>
            </w:r>
          </w:p>
        </w:tc>
      </w:tr>
      <w:tr w:rsidR="000C292F" w:rsidRPr="006C048C" w14:paraId="187658CB"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1F871B1E"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14:paraId="1D27FEAE"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601" w:type="pct"/>
            <w:tcBorders>
              <w:top w:val="single" w:sz="4" w:space="0" w:color="9C9D9F"/>
              <w:bottom w:val="single" w:sz="4" w:space="0" w:color="9C9D9F"/>
            </w:tcBorders>
            <w:vAlign w:val="center"/>
          </w:tcPr>
          <w:p w14:paraId="22621634"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27FA9D30"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546CFB2D" w14:textId="59052DAD"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88</w:t>
            </w:r>
            <w:r w:rsidR="007D7000">
              <w:rPr>
                <w:rFonts w:cs="Arial"/>
                <w:iCs/>
                <w:color w:val="000000"/>
                <w:sz w:val="20"/>
                <w:szCs w:val="20"/>
              </w:rPr>
              <w:t> </w:t>
            </w:r>
            <w:r w:rsidRPr="006C048C">
              <w:rPr>
                <w:rFonts w:cs="Arial"/>
                <w:iCs/>
                <w:color w:val="000000"/>
                <w:sz w:val="20"/>
                <w:szCs w:val="20"/>
              </w:rPr>
              <w:t>631</w:t>
            </w:r>
          </w:p>
        </w:tc>
        <w:tc>
          <w:tcPr>
            <w:tcW w:w="555" w:type="pct"/>
            <w:tcBorders>
              <w:top w:val="single" w:sz="4" w:space="0" w:color="9C9D9F"/>
              <w:bottom w:val="single" w:sz="4" w:space="0" w:color="9C9D9F"/>
            </w:tcBorders>
            <w:vAlign w:val="center"/>
          </w:tcPr>
          <w:p w14:paraId="73ECC4C9" w14:textId="3D0B156A"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cs="Arial"/>
                <w:bCs/>
                <w:color w:val="000000"/>
                <w:sz w:val="20"/>
                <w:szCs w:val="20"/>
              </w:rPr>
              <w:t>18</w:t>
            </w:r>
            <w:r w:rsidR="007D7000">
              <w:rPr>
                <w:rFonts w:cs="Arial"/>
                <w:bCs/>
                <w:color w:val="000000"/>
                <w:sz w:val="20"/>
                <w:szCs w:val="20"/>
              </w:rPr>
              <w:t> </w:t>
            </w:r>
            <w:r w:rsidRPr="006C048C">
              <w:rPr>
                <w:rFonts w:cs="Arial"/>
                <w:bCs/>
                <w:color w:val="000000"/>
                <w:sz w:val="20"/>
                <w:szCs w:val="20"/>
              </w:rPr>
              <w:t>491</w:t>
            </w:r>
          </w:p>
        </w:tc>
        <w:tc>
          <w:tcPr>
            <w:tcW w:w="617" w:type="pct"/>
            <w:tcBorders>
              <w:top w:val="single" w:sz="4" w:space="0" w:color="9C9D9F"/>
              <w:bottom w:val="single" w:sz="4" w:space="0" w:color="9C9D9F"/>
            </w:tcBorders>
            <w:shd w:val="clear" w:color="auto" w:fill="auto"/>
            <w:noWrap/>
            <w:vAlign w:val="center"/>
          </w:tcPr>
          <w:p w14:paraId="5D46523F"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609" w:type="pct"/>
            <w:tcBorders>
              <w:top w:val="single" w:sz="4" w:space="0" w:color="9C9D9F"/>
              <w:bottom w:val="single" w:sz="4" w:space="0" w:color="9C9D9F"/>
            </w:tcBorders>
            <w:vAlign w:val="center"/>
          </w:tcPr>
          <w:p w14:paraId="6DCE2535"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cs="Arial"/>
                <w:b/>
                <w:bCs/>
                <w:color w:val="000000"/>
                <w:sz w:val="20"/>
                <w:szCs w:val="20"/>
              </w:rPr>
              <w:t>107 122</w:t>
            </w:r>
          </w:p>
        </w:tc>
      </w:tr>
      <w:tr w:rsidR="000C292F" w:rsidRPr="006C048C" w14:paraId="2C6CF25A"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0F392503"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14:paraId="1E4D9F96"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601" w:type="pct"/>
            <w:tcBorders>
              <w:top w:val="single" w:sz="4" w:space="0" w:color="9C9D9F"/>
              <w:bottom w:val="single" w:sz="4" w:space="0" w:color="9C9D9F"/>
            </w:tcBorders>
            <w:vAlign w:val="center"/>
          </w:tcPr>
          <w:p w14:paraId="22EFF983"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6B43DD05"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2582FF21" w14:textId="77777777" w:rsidR="000C292F" w:rsidRPr="006C048C" w:rsidRDefault="000C292F" w:rsidP="00E431E6">
            <w:pPr>
              <w:spacing w:before="0" w:beforeAutospacing="0" w:after="0" w:afterAutospacing="0"/>
              <w:ind w:right="96"/>
              <w:jc w:val="right"/>
              <w:rPr>
                <w:rFonts w:cs="Arial"/>
                <w:b/>
                <w:iCs/>
                <w:color w:val="000000"/>
                <w:sz w:val="20"/>
                <w:szCs w:val="20"/>
              </w:rPr>
            </w:pPr>
            <w:r w:rsidRPr="006C048C">
              <w:rPr>
                <w:rFonts w:cs="Arial"/>
                <w:b/>
                <w:iCs/>
                <w:color w:val="000000"/>
                <w:sz w:val="20"/>
                <w:szCs w:val="20"/>
              </w:rPr>
              <w:t>--</w:t>
            </w:r>
          </w:p>
        </w:tc>
        <w:tc>
          <w:tcPr>
            <w:tcW w:w="555" w:type="pct"/>
            <w:tcBorders>
              <w:top w:val="single" w:sz="4" w:space="0" w:color="9C9D9F"/>
              <w:bottom w:val="single" w:sz="4" w:space="0" w:color="9C9D9F"/>
            </w:tcBorders>
            <w:vAlign w:val="center"/>
          </w:tcPr>
          <w:p w14:paraId="2D8267A3" w14:textId="77777777" w:rsidR="000C292F" w:rsidRPr="006C048C" w:rsidRDefault="000C292F" w:rsidP="00E431E6">
            <w:pPr>
              <w:spacing w:before="0" w:beforeAutospacing="0" w:after="0" w:afterAutospacing="0"/>
              <w:ind w:right="96"/>
              <w:jc w:val="right"/>
              <w:rPr>
                <w:rFonts w:cs="Arial"/>
                <w:b/>
                <w:iCs/>
                <w:color w:val="000000"/>
                <w:sz w:val="20"/>
                <w:szCs w:val="20"/>
              </w:rPr>
            </w:pPr>
            <w:r w:rsidRPr="006C048C">
              <w:rPr>
                <w:rFonts w:cs="Arial"/>
                <w:b/>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7ECE9919" w14:textId="23579C63"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119</w:t>
            </w:r>
            <w:r w:rsidR="007D7000">
              <w:rPr>
                <w:rFonts w:cs="Arial"/>
                <w:iCs/>
                <w:color w:val="000000"/>
                <w:sz w:val="20"/>
                <w:szCs w:val="20"/>
              </w:rPr>
              <w:t> </w:t>
            </w:r>
            <w:r w:rsidRPr="006C048C">
              <w:rPr>
                <w:rFonts w:cs="Arial"/>
                <w:iCs/>
                <w:color w:val="000000"/>
                <w:sz w:val="20"/>
                <w:szCs w:val="20"/>
              </w:rPr>
              <w:t>412</w:t>
            </w:r>
          </w:p>
        </w:tc>
        <w:tc>
          <w:tcPr>
            <w:tcW w:w="609" w:type="pct"/>
            <w:tcBorders>
              <w:top w:val="single" w:sz="4" w:space="0" w:color="9C9D9F"/>
              <w:bottom w:val="single" w:sz="4" w:space="0" w:color="9C9D9F"/>
            </w:tcBorders>
            <w:vAlign w:val="center"/>
          </w:tcPr>
          <w:p w14:paraId="56D45FD2"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cs="Arial"/>
                <w:b/>
                <w:bCs/>
                <w:color w:val="000000"/>
                <w:sz w:val="20"/>
                <w:szCs w:val="20"/>
              </w:rPr>
              <w:t>119 412</w:t>
            </w:r>
          </w:p>
        </w:tc>
      </w:tr>
      <w:tr w:rsidR="000C292F" w:rsidRPr="006C048C" w14:paraId="7F76366F"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6A9A3239"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color w:val="000000"/>
                <w:sz w:val="20"/>
                <w:szCs w:val="20"/>
              </w:rPr>
              <w:t xml:space="preserve">Nabytí vlastních akcií </w:t>
            </w:r>
          </w:p>
        </w:tc>
        <w:tc>
          <w:tcPr>
            <w:tcW w:w="602" w:type="pct"/>
            <w:tcBorders>
              <w:top w:val="single" w:sz="4" w:space="0" w:color="9C9D9F"/>
              <w:bottom w:val="single" w:sz="4" w:space="0" w:color="9C9D9F"/>
            </w:tcBorders>
            <w:shd w:val="clear" w:color="auto" w:fill="auto"/>
            <w:noWrap/>
            <w:vAlign w:val="center"/>
          </w:tcPr>
          <w:p w14:paraId="38859225" w14:textId="284A6B5A"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01" w:type="pct"/>
            <w:tcBorders>
              <w:top w:val="single" w:sz="4" w:space="0" w:color="9C9D9F"/>
              <w:bottom w:val="single" w:sz="4" w:space="0" w:color="9C9D9F"/>
            </w:tcBorders>
            <w:vAlign w:val="center"/>
          </w:tcPr>
          <w:p w14:paraId="77445C52" w14:textId="7EE8F519"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555" w:type="pct"/>
            <w:tcBorders>
              <w:top w:val="single" w:sz="4" w:space="0" w:color="9C9D9F"/>
              <w:bottom w:val="single" w:sz="4" w:space="0" w:color="9C9D9F"/>
            </w:tcBorders>
            <w:vAlign w:val="center"/>
          </w:tcPr>
          <w:p w14:paraId="1496AF8D" w14:textId="7C9C988F"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-3 143</w:t>
            </w:r>
          </w:p>
        </w:tc>
        <w:tc>
          <w:tcPr>
            <w:tcW w:w="555" w:type="pct"/>
            <w:tcBorders>
              <w:top w:val="single" w:sz="4" w:space="0" w:color="9C9D9F"/>
              <w:bottom w:val="single" w:sz="4" w:space="0" w:color="9C9D9F"/>
            </w:tcBorders>
            <w:vAlign w:val="center"/>
          </w:tcPr>
          <w:p w14:paraId="73D96E24" w14:textId="7CAE32EC"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555" w:type="pct"/>
            <w:tcBorders>
              <w:top w:val="single" w:sz="4" w:space="0" w:color="9C9D9F"/>
              <w:bottom w:val="single" w:sz="4" w:space="0" w:color="9C9D9F"/>
            </w:tcBorders>
            <w:vAlign w:val="center"/>
          </w:tcPr>
          <w:p w14:paraId="77634493" w14:textId="6358AEB7"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364AB204" w14:textId="0EFFDE06"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09" w:type="pct"/>
            <w:tcBorders>
              <w:top w:val="single" w:sz="4" w:space="0" w:color="9C9D9F"/>
              <w:bottom w:val="single" w:sz="4" w:space="0" w:color="9C9D9F"/>
            </w:tcBorders>
            <w:vAlign w:val="center"/>
          </w:tcPr>
          <w:p w14:paraId="6A9C0B9B" w14:textId="32A02900" w:rsidR="000C292F" w:rsidRPr="006C048C" w:rsidRDefault="007D7000" w:rsidP="00E431E6">
            <w:pPr>
              <w:spacing w:before="0" w:beforeAutospacing="0" w:after="0" w:afterAutospacing="0"/>
              <w:ind w:right="94"/>
              <w:jc w:val="right"/>
              <w:rPr>
                <w:b/>
                <w:color w:val="000000"/>
                <w:sz w:val="20"/>
                <w:szCs w:val="20"/>
              </w:rPr>
            </w:pPr>
            <w:r>
              <w:rPr>
                <w:b/>
                <w:color w:val="000000"/>
                <w:sz w:val="20"/>
                <w:szCs w:val="20"/>
              </w:rPr>
              <w:t>-3 143</w:t>
            </w:r>
          </w:p>
        </w:tc>
      </w:tr>
      <w:tr w:rsidR="000C292F" w:rsidRPr="006C048C" w14:paraId="25E72A78"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75134D90"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color w:val="000000"/>
                <w:sz w:val="20"/>
                <w:szCs w:val="20"/>
              </w:rPr>
              <w:t>Snížení kapitálu o vlastní akcie</w:t>
            </w:r>
          </w:p>
        </w:tc>
        <w:tc>
          <w:tcPr>
            <w:tcW w:w="602" w:type="pct"/>
            <w:tcBorders>
              <w:top w:val="single" w:sz="4" w:space="0" w:color="9C9D9F"/>
              <w:bottom w:val="single" w:sz="4" w:space="0" w:color="9C9D9F"/>
            </w:tcBorders>
            <w:shd w:val="clear" w:color="auto" w:fill="auto"/>
            <w:noWrap/>
            <w:vAlign w:val="center"/>
          </w:tcPr>
          <w:p w14:paraId="0093764B" w14:textId="34002ECB"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-15 115</w:t>
            </w:r>
          </w:p>
        </w:tc>
        <w:tc>
          <w:tcPr>
            <w:tcW w:w="601" w:type="pct"/>
            <w:tcBorders>
              <w:top w:val="single" w:sz="4" w:space="0" w:color="9C9D9F"/>
              <w:bottom w:val="single" w:sz="4" w:space="0" w:color="9C9D9F"/>
            </w:tcBorders>
            <w:vAlign w:val="center"/>
          </w:tcPr>
          <w:p w14:paraId="342DBACB" w14:textId="7C1EF2BB"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15 115</w:t>
            </w:r>
          </w:p>
        </w:tc>
        <w:tc>
          <w:tcPr>
            <w:tcW w:w="555" w:type="pct"/>
            <w:tcBorders>
              <w:top w:val="single" w:sz="4" w:space="0" w:color="9C9D9F"/>
              <w:bottom w:val="single" w:sz="4" w:space="0" w:color="9C9D9F"/>
            </w:tcBorders>
            <w:vAlign w:val="center"/>
          </w:tcPr>
          <w:p w14:paraId="5963C348" w14:textId="25DA515D"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361 281</w:t>
            </w:r>
          </w:p>
        </w:tc>
        <w:tc>
          <w:tcPr>
            <w:tcW w:w="555" w:type="pct"/>
            <w:tcBorders>
              <w:top w:val="single" w:sz="4" w:space="0" w:color="9C9D9F"/>
              <w:bottom w:val="single" w:sz="4" w:space="0" w:color="9C9D9F"/>
            </w:tcBorders>
            <w:vAlign w:val="center"/>
          </w:tcPr>
          <w:p w14:paraId="634775B6" w14:textId="33AA0C3A"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555" w:type="pct"/>
            <w:tcBorders>
              <w:top w:val="single" w:sz="4" w:space="0" w:color="9C9D9F"/>
              <w:bottom w:val="single" w:sz="4" w:space="0" w:color="9C9D9F"/>
            </w:tcBorders>
            <w:vAlign w:val="center"/>
          </w:tcPr>
          <w:p w14:paraId="477BB377" w14:textId="212CDEA0"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6FA0A8BB" w14:textId="7D9DB717"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-361 281</w:t>
            </w:r>
          </w:p>
        </w:tc>
        <w:tc>
          <w:tcPr>
            <w:tcW w:w="609" w:type="pct"/>
            <w:tcBorders>
              <w:top w:val="single" w:sz="4" w:space="0" w:color="9C9D9F"/>
              <w:bottom w:val="single" w:sz="4" w:space="0" w:color="9C9D9F"/>
            </w:tcBorders>
            <w:vAlign w:val="center"/>
          </w:tcPr>
          <w:p w14:paraId="0175F93C" w14:textId="0458B52C" w:rsidR="000C292F" w:rsidRPr="006C048C" w:rsidRDefault="007D7000" w:rsidP="00E431E6">
            <w:pPr>
              <w:spacing w:before="0" w:beforeAutospacing="0" w:after="0" w:afterAutospacing="0"/>
              <w:ind w:right="94"/>
              <w:jc w:val="right"/>
              <w:rPr>
                <w:b/>
                <w:color w:val="000000"/>
                <w:sz w:val="20"/>
                <w:szCs w:val="20"/>
              </w:rPr>
            </w:pPr>
            <w:r>
              <w:rPr>
                <w:b/>
                <w:color w:val="000000"/>
                <w:sz w:val="20"/>
                <w:szCs w:val="20"/>
              </w:rPr>
              <w:t>--</w:t>
            </w:r>
          </w:p>
        </w:tc>
      </w:tr>
      <w:tr w:rsidR="000C292F" w:rsidRPr="006C048C" w14:paraId="53FF5DB9"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305515DD"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color w:val="000000"/>
                <w:sz w:val="20"/>
                <w:szCs w:val="20"/>
              </w:rPr>
              <w:t>Zákonný rezervní fond tvořený ze zisku</w:t>
            </w:r>
          </w:p>
        </w:tc>
        <w:tc>
          <w:tcPr>
            <w:tcW w:w="602" w:type="pct"/>
            <w:tcBorders>
              <w:top w:val="single" w:sz="4" w:space="0" w:color="9C9D9F"/>
              <w:bottom w:val="single" w:sz="4" w:space="0" w:color="9C9D9F"/>
            </w:tcBorders>
            <w:shd w:val="clear" w:color="auto" w:fill="auto"/>
            <w:noWrap/>
            <w:vAlign w:val="center"/>
          </w:tcPr>
          <w:p w14:paraId="4B347D37" w14:textId="33B9902B"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01" w:type="pct"/>
            <w:tcBorders>
              <w:top w:val="single" w:sz="4" w:space="0" w:color="9C9D9F"/>
              <w:bottom w:val="single" w:sz="4" w:space="0" w:color="9C9D9F"/>
            </w:tcBorders>
            <w:vAlign w:val="center"/>
          </w:tcPr>
          <w:p w14:paraId="37B47279" w14:textId="24E589DF"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555" w:type="pct"/>
            <w:tcBorders>
              <w:top w:val="single" w:sz="4" w:space="0" w:color="9C9D9F"/>
              <w:bottom w:val="single" w:sz="4" w:space="0" w:color="9C9D9F"/>
            </w:tcBorders>
            <w:vAlign w:val="center"/>
          </w:tcPr>
          <w:p w14:paraId="209852B1" w14:textId="47D4FF0B"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555" w:type="pct"/>
            <w:tcBorders>
              <w:top w:val="single" w:sz="4" w:space="0" w:color="9C9D9F"/>
              <w:bottom w:val="single" w:sz="4" w:space="0" w:color="9C9D9F"/>
            </w:tcBorders>
            <w:vAlign w:val="center"/>
          </w:tcPr>
          <w:p w14:paraId="0EA915C3" w14:textId="23BA3FF8"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555" w:type="pct"/>
            <w:tcBorders>
              <w:top w:val="single" w:sz="4" w:space="0" w:color="9C9D9F"/>
              <w:bottom w:val="single" w:sz="4" w:space="0" w:color="9C9D9F"/>
            </w:tcBorders>
            <w:vAlign w:val="center"/>
          </w:tcPr>
          <w:p w14:paraId="07B49BEE" w14:textId="50A72336"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36CEB4E1" w14:textId="3E6BC21C" w:rsidR="000C292F" w:rsidRPr="006C048C" w:rsidRDefault="007D7000" w:rsidP="00E431E6">
            <w:pPr>
              <w:spacing w:before="0" w:beforeAutospacing="0" w:after="0" w:afterAutospacing="0"/>
              <w:ind w:right="96"/>
              <w:jc w:val="right"/>
              <w:rPr>
                <w:color w:val="000000"/>
                <w:sz w:val="20"/>
                <w:szCs w:val="20"/>
              </w:rPr>
            </w:pPr>
            <w:r>
              <w:rPr>
                <w:color w:val="000000"/>
                <w:sz w:val="20"/>
                <w:szCs w:val="20"/>
              </w:rPr>
              <w:t>--</w:t>
            </w:r>
          </w:p>
        </w:tc>
        <w:tc>
          <w:tcPr>
            <w:tcW w:w="609" w:type="pct"/>
            <w:tcBorders>
              <w:top w:val="single" w:sz="4" w:space="0" w:color="9C9D9F"/>
              <w:bottom w:val="single" w:sz="4" w:space="0" w:color="9C9D9F"/>
            </w:tcBorders>
            <w:vAlign w:val="center"/>
          </w:tcPr>
          <w:p w14:paraId="32FDF727" w14:textId="23332A46" w:rsidR="000C292F" w:rsidRPr="006C048C" w:rsidRDefault="007D7000" w:rsidP="00E431E6">
            <w:pPr>
              <w:spacing w:before="0" w:beforeAutospacing="0" w:after="0" w:afterAutospacing="0"/>
              <w:ind w:right="94"/>
              <w:jc w:val="right"/>
              <w:rPr>
                <w:b/>
                <w:color w:val="000000"/>
                <w:sz w:val="20"/>
                <w:szCs w:val="20"/>
              </w:rPr>
            </w:pPr>
            <w:r>
              <w:rPr>
                <w:b/>
                <w:color w:val="000000"/>
                <w:sz w:val="20"/>
                <w:szCs w:val="20"/>
              </w:rPr>
              <w:t>--</w:t>
            </w:r>
          </w:p>
        </w:tc>
      </w:tr>
      <w:tr w:rsidR="000C292F" w:rsidRPr="006C048C" w14:paraId="686FCA1A"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06BB51C9" w14:textId="55FFC566" w:rsidR="000C292F" w:rsidRPr="006C048C" w:rsidRDefault="00F369AA" w:rsidP="00E431E6">
            <w:pPr>
              <w:spacing w:before="0" w:beforeAutospacing="0" w:after="0" w:afterAutospacing="0"/>
              <w:jc w:val="right"/>
              <w:rPr>
                <w:rFonts w:cs="Arial"/>
                <w:color w:val="000000"/>
                <w:sz w:val="20"/>
                <w:szCs w:val="20"/>
              </w:rPr>
            </w:pPr>
            <w:r>
              <w:rPr>
                <w:rFonts w:cs="Arial"/>
                <w:color w:val="000000"/>
                <w:sz w:val="20"/>
                <w:szCs w:val="20"/>
              </w:rPr>
              <w:t>Kurzový vliv přechodu na novou funkční měnu</w:t>
            </w:r>
          </w:p>
        </w:tc>
        <w:tc>
          <w:tcPr>
            <w:tcW w:w="602" w:type="pct"/>
            <w:tcBorders>
              <w:top w:val="single" w:sz="4" w:space="0" w:color="9C9D9F"/>
              <w:bottom w:val="single" w:sz="4" w:space="0" w:color="9C9D9F"/>
            </w:tcBorders>
            <w:shd w:val="clear" w:color="auto" w:fill="auto"/>
            <w:noWrap/>
            <w:vAlign w:val="center"/>
          </w:tcPr>
          <w:p w14:paraId="5B3D3BBF" w14:textId="2F423CC9"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-9 449</w:t>
            </w:r>
          </w:p>
        </w:tc>
        <w:tc>
          <w:tcPr>
            <w:tcW w:w="601" w:type="pct"/>
            <w:tcBorders>
              <w:top w:val="single" w:sz="4" w:space="0" w:color="9C9D9F"/>
              <w:bottom w:val="single" w:sz="4" w:space="0" w:color="9C9D9F"/>
            </w:tcBorders>
            <w:vAlign w:val="center"/>
          </w:tcPr>
          <w:p w14:paraId="572A0346" w14:textId="64E87753"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14 218</w:t>
            </w:r>
          </w:p>
        </w:tc>
        <w:tc>
          <w:tcPr>
            <w:tcW w:w="555" w:type="pct"/>
            <w:tcBorders>
              <w:top w:val="single" w:sz="4" w:space="0" w:color="9C9D9F"/>
              <w:bottom w:val="single" w:sz="4" w:space="0" w:color="9C9D9F"/>
            </w:tcBorders>
            <w:vAlign w:val="center"/>
          </w:tcPr>
          <w:p w14:paraId="01CC7C0F" w14:textId="5E6848D0"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11 284</w:t>
            </w:r>
          </w:p>
        </w:tc>
        <w:tc>
          <w:tcPr>
            <w:tcW w:w="555" w:type="pct"/>
            <w:tcBorders>
              <w:top w:val="single" w:sz="4" w:space="0" w:color="9C9D9F"/>
              <w:bottom w:val="single" w:sz="4" w:space="0" w:color="9C9D9F"/>
            </w:tcBorders>
            <w:vAlign w:val="center"/>
          </w:tcPr>
          <w:p w14:paraId="1CC006F2" w14:textId="401E8395" w:rsidR="000C292F" w:rsidRPr="006C048C" w:rsidRDefault="007D7000" w:rsidP="00E431E6">
            <w:pPr>
              <w:spacing w:before="0" w:beforeAutospacing="0" w:after="0" w:afterAutospacing="0"/>
              <w:ind w:right="96"/>
              <w:jc w:val="right"/>
              <w:rPr>
                <w:rFonts w:cs="Arial"/>
                <w:b/>
                <w:iCs/>
                <w:color w:val="000000"/>
                <w:sz w:val="20"/>
                <w:szCs w:val="20"/>
              </w:rPr>
            </w:pPr>
            <w:r>
              <w:rPr>
                <w:rFonts w:cs="Arial"/>
                <w:b/>
                <w:iCs/>
                <w:color w:val="000000"/>
                <w:sz w:val="20"/>
                <w:szCs w:val="20"/>
              </w:rPr>
              <w:t>--</w:t>
            </w:r>
          </w:p>
        </w:tc>
        <w:tc>
          <w:tcPr>
            <w:tcW w:w="555" w:type="pct"/>
            <w:tcBorders>
              <w:top w:val="single" w:sz="4" w:space="0" w:color="9C9D9F"/>
              <w:bottom w:val="single" w:sz="4" w:space="0" w:color="9C9D9F"/>
            </w:tcBorders>
            <w:vAlign w:val="center"/>
          </w:tcPr>
          <w:p w14:paraId="0DD72DF0" w14:textId="14129B8D" w:rsidR="000C292F" w:rsidRPr="006C048C" w:rsidRDefault="007D7000" w:rsidP="00E431E6">
            <w:pPr>
              <w:spacing w:before="0" w:beforeAutospacing="0" w:after="0" w:afterAutospacing="0"/>
              <w:ind w:right="96"/>
              <w:jc w:val="right"/>
              <w:rPr>
                <w:rFonts w:cs="Arial"/>
                <w:b/>
                <w:iCs/>
                <w:color w:val="000000"/>
                <w:sz w:val="20"/>
                <w:szCs w:val="20"/>
              </w:rPr>
            </w:pPr>
            <w:r>
              <w:rPr>
                <w:rFonts w:cs="Arial"/>
                <w:b/>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130A0743" w14:textId="5DEE6BFC"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-128 324</w:t>
            </w:r>
          </w:p>
        </w:tc>
        <w:tc>
          <w:tcPr>
            <w:tcW w:w="609" w:type="pct"/>
            <w:tcBorders>
              <w:top w:val="single" w:sz="4" w:space="0" w:color="9C9D9F"/>
              <w:bottom w:val="single" w:sz="4" w:space="0" w:color="9C9D9F"/>
            </w:tcBorders>
            <w:vAlign w:val="center"/>
          </w:tcPr>
          <w:p w14:paraId="02C55C3A" w14:textId="09BBCF77" w:rsidR="000C292F" w:rsidRPr="006C048C" w:rsidRDefault="007D7000" w:rsidP="00E431E6">
            <w:pPr>
              <w:spacing w:before="0" w:beforeAutospacing="0" w:after="0" w:afterAutospacing="0"/>
              <w:ind w:right="94"/>
              <w:jc w:val="right"/>
              <w:rPr>
                <w:rFonts w:cs="Arial"/>
                <w:b/>
                <w:bCs/>
                <w:color w:val="000000"/>
                <w:sz w:val="20"/>
                <w:szCs w:val="20"/>
              </w:rPr>
            </w:pPr>
            <w:r>
              <w:rPr>
                <w:rFonts w:cs="Arial"/>
                <w:b/>
                <w:bCs/>
                <w:color w:val="000000"/>
                <w:sz w:val="20"/>
                <w:szCs w:val="20"/>
              </w:rPr>
              <w:t>-112 270</w:t>
            </w:r>
          </w:p>
        </w:tc>
      </w:tr>
      <w:tr w:rsidR="000C292F" w:rsidRPr="006C048C" w14:paraId="1383F78C" w14:textId="77777777" w:rsidTr="00E431E6">
        <w:trPr>
          <w:trHeight w:val="20"/>
        </w:trPr>
        <w:tc>
          <w:tcPr>
            <w:tcW w:w="906" w:type="pct"/>
            <w:tcBorders>
              <w:top w:val="single" w:sz="4" w:space="0" w:color="9C9D9F"/>
            </w:tcBorders>
            <w:shd w:val="clear" w:color="auto" w:fill="auto"/>
            <w:noWrap/>
            <w:vAlign w:val="center"/>
          </w:tcPr>
          <w:p w14:paraId="23A927A8" w14:textId="77777777" w:rsidR="000C292F" w:rsidRPr="006C048C" w:rsidRDefault="000C292F" w:rsidP="00E431E6">
            <w:pPr>
              <w:spacing w:before="0" w:beforeAutospacing="0" w:after="0" w:afterAutospacing="0"/>
              <w:jc w:val="right"/>
              <w:rPr>
                <w:rFonts w:cs="Arial"/>
                <w:b/>
                <w:bCs/>
                <w:color w:val="000000"/>
                <w:sz w:val="20"/>
                <w:szCs w:val="20"/>
              </w:rPr>
            </w:pPr>
          </w:p>
        </w:tc>
        <w:tc>
          <w:tcPr>
            <w:tcW w:w="602" w:type="pct"/>
            <w:tcBorders>
              <w:top w:val="single" w:sz="4" w:space="0" w:color="9C9D9F"/>
            </w:tcBorders>
            <w:shd w:val="clear" w:color="auto" w:fill="auto"/>
            <w:noWrap/>
            <w:vAlign w:val="center"/>
          </w:tcPr>
          <w:p w14:paraId="2B632B34"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01" w:type="pct"/>
            <w:tcBorders>
              <w:top w:val="single" w:sz="4" w:space="0" w:color="9C9D9F"/>
            </w:tcBorders>
            <w:vAlign w:val="center"/>
          </w:tcPr>
          <w:p w14:paraId="167D3532"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5C6E87B1"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17588AEA"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3AD5DEEB"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14:paraId="39D5A1C8"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09" w:type="pct"/>
            <w:tcBorders>
              <w:top w:val="single" w:sz="4" w:space="0" w:color="9C9D9F"/>
            </w:tcBorders>
            <w:vAlign w:val="center"/>
          </w:tcPr>
          <w:p w14:paraId="53AC4946" w14:textId="77777777" w:rsidR="000C292F" w:rsidRPr="006C048C" w:rsidRDefault="000C292F" w:rsidP="00E431E6">
            <w:pPr>
              <w:spacing w:before="0" w:beforeAutospacing="0" w:after="0" w:afterAutospacing="0"/>
              <w:ind w:right="94"/>
              <w:jc w:val="right"/>
              <w:rPr>
                <w:rFonts w:cs="Arial"/>
                <w:b/>
                <w:bCs/>
                <w:color w:val="000000"/>
                <w:sz w:val="20"/>
                <w:szCs w:val="20"/>
              </w:rPr>
            </w:pPr>
          </w:p>
        </w:tc>
      </w:tr>
      <w:tr w:rsidR="000C292F" w:rsidRPr="006C048C" w14:paraId="72CE014E" w14:textId="77777777" w:rsidTr="00E431E6">
        <w:trPr>
          <w:trHeight w:val="20"/>
        </w:trPr>
        <w:tc>
          <w:tcPr>
            <w:tcW w:w="906" w:type="pct"/>
            <w:shd w:val="clear" w:color="auto" w:fill="9C9D9F"/>
            <w:noWrap/>
            <w:vAlign w:val="center"/>
          </w:tcPr>
          <w:p w14:paraId="48BC65AA" w14:textId="77777777" w:rsidR="000C292F" w:rsidRPr="006C048C" w:rsidRDefault="000C292F" w:rsidP="00E431E6">
            <w:pPr>
              <w:spacing w:before="0" w:beforeAutospacing="0" w:after="0" w:afterAutospacing="0"/>
              <w:jc w:val="right"/>
              <w:rPr>
                <w:rFonts w:cs="Arial"/>
                <w:b/>
                <w:bCs/>
                <w:color w:val="000000"/>
                <w:sz w:val="20"/>
                <w:szCs w:val="20"/>
              </w:rPr>
            </w:pPr>
            <w:r w:rsidRPr="006C048C">
              <w:rPr>
                <w:rFonts w:cs="Arial"/>
                <w:b/>
                <w:bCs/>
                <w:color w:val="000000"/>
                <w:sz w:val="20"/>
                <w:szCs w:val="20"/>
              </w:rPr>
              <w:t>k 30. červnu 2017</w:t>
            </w:r>
          </w:p>
        </w:tc>
        <w:tc>
          <w:tcPr>
            <w:tcW w:w="602" w:type="pct"/>
            <w:shd w:val="clear" w:color="auto" w:fill="9C9D9F"/>
            <w:noWrap/>
            <w:vAlign w:val="center"/>
          </w:tcPr>
          <w:p w14:paraId="7E95003F" w14:textId="77777777" w:rsidR="000C292F" w:rsidRPr="006C048C" w:rsidRDefault="000C292F" w:rsidP="00E431E6">
            <w:pPr>
              <w:spacing w:before="0" w:beforeAutospacing="0" w:after="0" w:afterAutospacing="0"/>
              <w:ind w:right="96"/>
              <w:jc w:val="right"/>
              <w:rPr>
                <w:rFonts w:cs="Arial"/>
                <w:b/>
                <w:iCs/>
                <w:color w:val="000000"/>
                <w:sz w:val="20"/>
                <w:szCs w:val="20"/>
              </w:rPr>
            </w:pPr>
            <w:r w:rsidRPr="006C048C">
              <w:rPr>
                <w:rFonts w:cs="Arial"/>
                <w:b/>
                <w:iCs/>
                <w:color w:val="000000"/>
                <w:sz w:val="20"/>
                <w:szCs w:val="20"/>
              </w:rPr>
              <w:t>284 666</w:t>
            </w:r>
          </w:p>
        </w:tc>
        <w:tc>
          <w:tcPr>
            <w:tcW w:w="601" w:type="pct"/>
            <w:shd w:val="clear" w:color="auto" w:fill="9C9D9F"/>
            <w:vAlign w:val="center"/>
          </w:tcPr>
          <w:p w14:paraId="35377AC1" w14:textId="479A6B4A" w:rsidR="000C292F" w:rsidRPr="006C048C" w:rsidRDefault="000C292F" w:rsidP="00E431E6">
            <w:pPr>
              <w:spacing w:before="0" w:beforeAutospacing="0" w:after="0" w:afterAutospacing="0"/>
              <w:ind w:right="96"/>
              <w:jc w:val="right"/>
              <w:rPr>
                <w:rFonts w:cs="Arial"/>
                <w:b/>
                <w:iCs/>
                <w:color w:val="000000"/>
                <w:sz w:val="20"/>
                <w:szCs w:val="20"/>
              </w:rPr>
            </w:pPr>
            <w:r w:rsidRPr="006C048C">
              <w:rPr>
                <w:rFonts w:cs="Arial"/>
                <w:b/>
                <w:iCs/>
                <w:color w:val="000000"/>
                <w:sz w:val="20"/>
                <w:szCs w:val="20"/>
              </w:rPr>
              <w:t>83</w:t>
            </w:r>
            <w:r w:rsidR="007D7000">
              <w:rPr>
                <w:rFonts w:cs="Arial"/>
                <w:b/>
                <w:iCs/>
                <w:color w:val="000000"/>
                <w:sz w:val="20"/>
                <w:szCs w:val="20"/>
              </w:rPr>
              <w:t> </w:t>
            </w:r>
            <w:r w:rsidRPr="006C048C">
              <w:rPr>
                <w:rFonts w:cs="Arial"/>
                <w:b/>
                <w:iCs/>
                <w:color w:val="000000"/>
                <w:sz w:val="20"/>
                <w:szCs w:val="20"/>
              </w:rPr>
              <w:t>352</w:t>
            </w:r>
          </w:p>
        </w:tc>
        <w:tc>
          <w:tcPr>
            <w:tcW w:w="555" w:type="pct"/>
            <w:shd w:val="clear" w:color="auto" w:fill="9C9D9F"/>
            <w:vAlign w:val="center"/>
          </w:tcPr>
          <w:p w14:paraId="2C6D2059" w14:textId="77777777" w:rsidR="000C292F" w:rsidRPr="006C048C" w:rsidRDefault="000C292F" w:rsidP="00E431E6">
            <w:pPr>
              <w:spacing w:before="0" w:beforeAutospacing="0" w:after="0" w:afterAutospacing="0"/>
              <w:ind w:right="96"/>
              <w:jc w:val="right"/>
              <w:rPr>
                <w:rFonts w:cs="Arial"/>
                <w:b/>
                <w:bCs/>
                <w:color w:val="000000"/>
                <w:sz w:val="20"/>
                <w:szCs w:val="20"/>
              </w:rPr>
            </w:pPr>
            <w:r w:rsidRPr="006C048C">
              <w:rPr>
                <w:rFonts w:cs="Arial"/>
                <w:b/>
                <w:bCs/>
                <w:color w:val="000000"/>
                <w:sz w:val="20"/>
                <w:szCs w:val="20"/>
              </w:rPr>
              <w:t>0</w:t>
            </w:r>
          </w:p>
        </w:tc>
        <w:tc>
          <w:tcPr>
            <w:tcW w:w="555" w:type="pct"/>
            <w:shd w:val="clear" w:color="auto" w:fill="9C9D9F"/>
            <w:vAlign w:val="center"/>
          </w:tcPr>
          <w:p w14:paraId="717EAED3" w14:textId="48576F9A" w:rsidR="000C292F" w:rsidRPr="006C048C" w:rsidRDefault="000C292F" w:rsidP="00E431E6">
            <w:pPr>
              <w:spacing w:before="0" w:beforeAutospacing="0" w:after="0" w:afterAutospacing="0"/>
              <w:ind w:right="96"/>
              <w:jc w:val="right"/>
              <w:rPr>
                <w:rFonts w:cs="Arial"/>
                <w:b/>
                <w:bCs/>
                <w:color w:val="000000"/>
                <w:sz w:val="20"/>
                <w:szCs w:val="20"/>
              </w:rPr>
            </w:pPr>
            <w:r w:rsidRPr="006C048C">
              <w:rPr>
                <w:rFonts w:cs="Arial"/>
                <w:b/>
                <w:bCs/>
                <w:color w:val="000000"/>
                <w:sz w:val="20"/>
                <w:szCs w:val="20"/>
              </w:rPr>
              <w:t>258</w:t>
            </w:r>
            <w:r w:rsidR="007D7000">
              <w:rPr>
                <w:rFonts w:cs="Arial"/>
                <w:b/>
                <w:bCs/>
                <w:color w:val="000000"/>
                <w:sz w:val="20"/>
                <w:szCs w:val="20"/>
              </w:rPr>
              <w:t> </w:t>
            </w:r>
            <w:r w:rsidRPr="006C048C">
              <w:rPr>
                <w:rFonts w:cs="Arial"/>
                <w:b/>
                <w:bCs/>
                <w:color w:val="000000"/>
                <w:sz w:val="20"/>
                <w:szCs w:val="20"/>
              </w:rPr>
              <w:t>278</w:t>
            </w:r>
          </w:p>
        </w:tc>
        <w:tc>
          <w:tcPr>
            <w:tcW w:w="555" w:type="pct"/>
            <w:shd w:val="clear" w:color="auto" w:fill="9C9D9F"/>
            <w:vAlign w:val="center"/>
          </w:tcPr>
          <w:p w14:paraId="2405D335" w14:textId="3883D73A" w:rsidR="000C292F" w:rsidRPr="006C048C" w:rsidDel="002D1E65" w:rsidRDefault="000C292F" w:rsidP="00E431E6">
            <w:pPr>
              <w:spacing w:before="0" w:beforeAutospacing="0" w:after="0" w:afterAutospacing="0"/>
              <w:ind w:right="96"/>
              <w:jc w:val="right"/>
              <w:rPr>
                <w:rFonts w:cs="Arial"/>
                <w:b/>
                <w:bCs/>
                <w:color w:val="000000"/>
                <w:sz w:val="20"/>
                <w:szCs w:val="20"/>
              </w:rPr>
            </w:pPr>
            <w:r w:rsidRPr="006C048C">
              <w:rPr>
                <w:rFonts w:cs="Arial"/>
                <w:b/>
                <w:bCs/>
                <w:color w:val="000000"/>
                <w:sz w:val="20"/>
                <w:szCs w:val="20"/>
              </w:rPr>
              <w:t>34</w:t>
            </w:r>
            <w:r w:rsidR="007D7000">
              <w:rPr>
                <w:rFonts w:cs="Arial"/>
                <w:b/>
                <w:bCs/>
                <w:color w:val="000000"/>
                <w:sz w:val="20"/>
                <w:szCs w:val="20"/>
              </w:rPr>
              <w:t> </w:t>
            </w:r>
            <w:r w:rsidRPr="006C048C">
              <w:rPr>
                <w:rFonts w:cs="Arial"/>
                <w:b/>
                <w:bCs/>
                <w:color w:val="000000"/>
                <w:sz w:val="20"/>
                <w:szCs w:val="20"/>
              </w:rPr>
              <w:t>919</w:t>
            </w:r>
          </w:p>
        </w:tc>
        <w:tc>
          <w:tcPr>
            <w:tcW w:w="617" w:type="pct"/>
            <w:shd w:val="clear" w:color="auto" w:fill="9C9D9F"/>
            <w:noWrap/>
            <w:vAlign w:val="center"/>
          </w:tcPr>
          <w:p w14:paraId="0E846A27" w14:textId="77777777" w:rsidR="000C292F" w:rsidRPr="006C048C" w:rsidRDefault="000C292F" w:rsidP="00E431E6">
            <w:pPr>
              <w:spacing w:before="0" w:beforeAutospacing="0" w:after="0" w:afterAutospacing="0"/>
              <w:ind w:right="96"/>
              <w:jc w:val="right"/>
              <w:rPr>
                <w:rFonts w:cs="Arial"/>
                <w:b/>
                <w:bCs/>
                <w:color w:val="000000"/>
                <w:sz w:val="20"/>
                <w:szCs w:val="20"/>
              </w:rPr>
            </w:pPr>
            <w:r w:rsidRPr="006C048C">
              <w:rPr>
                <w:rFonts w:cs="Arial"/>
                <w:b/>
                <w:bCs/>
                <w:color w:val="000000"/>
                <w:sz w:val="20"/>
                <w:szCs w:val="20"/>
              </w:rPr>
              <w:t>3 424 647</w:t>
            </w:r>
          </w:p>
        </w:tc>
        <w:tc>
          <w:tcPr>
            <w:tcW w:w="609" w:type="pct"/>
            <w:shd w:val="clear" w:color="auto" w:fill="9C9D9F"/>
            <w:vAlign w:val="center"/>
          </w:tcPr>
          <w:p w14:paraId="08E9221A"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cs="Arial"/>
                <w:b/>
                <w:bCs/>
                <w:color w:val="000000"/>
                <w:sz w:val="20"/>
                <w:szCs w:val="20"/>
              </w:rPr>
              <w:t>4 085 862</w:t>
            </w:r>
          </w:p>
        </w:tc>
      </w:tr>
      <w:tr w:rsidR="000C292F" w:rsidRPr="006C048C" w14:paraId="2D06C71D" w14:textId="77777777" w:rsidTr="00E431E6">
        <w:trPr>
          <w:trHeight w:val="20"/>
        </w:trPr>
        <w:tc>
          <w:tcPr>
            <w:tcW w:w="906" w:type="pct"/>
            <w:shd w:val="clear" w:color="auto" w:fill="auto"/>
            <w:noWrap/>
            <w:vAlign w:val="center"/>
          </w:tcPr>
          <w:p w14:paraId="64150093" w14:textId="77777777" w:rsidR="000C292F" w:rsidRPr="006C048C" w:rsidRDefault="000C292F" w:rsidP="00E431E6">
            <w:pPr>
              <w:spacing w:before="0" w:beforeAutospacing="0" w:after="0" w:afterAutospacing="0"/>
              <w:jc w:val="right"/>
              <w:rPr>
                <w:rFonts w:cs="Arial"/>
                <w:b/>
                <w:bCs/>
                <w:color w:val="000000"/>
                <w:sz w:val="20"/>
                <w:szCs w:val="20"/>
              </w:rPr>
            </w:pPr>
          </w:p>
        </w:tc>
        <w:tc>
          <w:tcPr>
            <w:tcW w:w="602" w:type="pct"/>
            <w:shd w:val="clear" w:color="auto" w:fill="auto"/>
            <w:noWrap/>
            <w:vAlign w:val="center"/>
          </w:tcPr>
          <w:p w14:paraId="14C3EF55" w14:textId="77777777" w:rsidR="000C292F" w:rsidRPr="006C048C" w:rsidRDefault="000C292F" w:rsidP="00E431E6">
            <w:pPr>
              <w:spacing w:before="0" w:beforeAutospacing="0" w:after="0" w:afterAutospacing="0"/>
              <w:ind w:right="96"/>
              <w:jc w:val="right"/>
              <w:rPr>
                <w:rFonts w:cs="Arial"/>
                <w:b/>
                <w:iCs/>
                <w:color w:val="000000"/>
                <w:sz w:val="20"/>
                <w:szCs w:val="20"/>
              </w:rPr>
            </w:pPr>
          </w:p>
        </w:tc>
        <w:tc>
          <w:tcPr>
            <w:tcW w:w="601" w:type="pct"/>
            <w:shd w:val="clear" w:color="auto" w:fill="auto"/>
            <w:vAlign w:val="center"/>
          </w:tcPr>
          <w:p w14:paraId="3BC140E2" w14:textId="77777777" w:rsidR="000C292F" w:rsidRPr="006C048C" w:rsidRDefault="000C292F" w:rsidP="00E431E6">
            <w:pPr>
              <w:spacing w:before="0" w:beforeAutospacing="0" w:after="0" w:afterAutospacing="0"/>
              <w:ind w:right="96"/>
              <w:jc w:val="right"/>
              <w:rPr>
                <w:rFonts w:cs="Arial"/>
                <w:b/>
                <w:iCs/>
                <w:color w:val="000000"/>
                <w:sz w:val="20"/>
                <w:szCs w:val="20"/>
              </w:rPr>
            </w:pPr>
          </w:p>
        </w:tc>
        <w:tc>
          <w:tcPr>
            <w:tcW w:w="555" w:type="pct"/>
            <w:shd w:val="clear" w:color="auto" w:fill="auto"/>
            <w:vAlign w:val="center"/>
          </w:tcPr>
          <w:p w14:paraId="7FE2EFFF"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shd w:val="clear" w:color="auto" w:fill="auto"/>
            <w:vAlign w:val="center"/>
          </w:tcPr>
          <w:p w14:paraId="401DF7EE"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shd w:val="clear" w:color="auto" w:fill="auto"/>
            <w:vAlign w:val="center"/>
          </w:tcPr>
          <w:p w14:paraId="58BD4DAF" w14:textId="77777777" w:rsidR="000C292F" w:rsidRPr="006C048C" w:rsidDel="002D1E65" w:rsidRDefault="000C292F" w:rsidP="00E431E6">
            <w:pPr>
              <w:spacing w:before="0" w:beforeAutospacing="0" w:after="0" w:afterAutospacing="0"/>
              <w:ind w:right="96"/>
              <w:jc w:val="right"/>
              <w:rPr>
                <w:rFonts w:cs="Arial"/>
                <w:b/>
                <w:bCs/>
                <w:color w:val="000000"/>
                <w:sz w:val="20"/>
                <w:szCs w:val="20"/>
              </w:rPr>
            </w:pPr>
          </w:p>
        </w:tc>
        <w:tc>
          <w:tcPr>
            <w:tcW w:w="617" w:type="pct"/>
            <w:shd w:val="clear" w:color="auto" w:fill="auto"/>
            <w:noWrap/>
            <w:vAlign w:val="center"/>
          </w:tcPr>
          <w:p w14:paraId="715A25D0"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09" w:type="pct"/>
            <w:shd w:val="clear" w:color="auto" w:fill="auto"/>
            <w:vAlign w:val="center"/>
          </w:tcPr>
          <w:p w14:paraId="2A698457" w14:textId="77777777" w:rsidR="000C292F" w:rsidRPr="006C048C" w:rsidRDefault="000C292F" w:rsidP="00E431E6">
            <w:pPr>
              <w:spacing w:before="0" w:beforeAutospacing="0" w:after="0" w:afterAutospacing="0"/>
              <w:ind w:right="94"/>
              <w:jc w:val="right"/>
              <w:rPr>
                <w:rFonts w:cs="Arial"/>
                <w:b/>
                <w:bCs/>
                <w:color w:val="000000"/>
                <w:sz w:val="20"/>
                <w:szCs w:val="20"/>
              </w:rPr>
            </w:pPr>
          </w:p>
        </w:tc>
      </w:tr>
      <w:tr w:rsidR="000C292F" w:rsidRPr="006C048C" w14:paraId="65AFD7DA" w14:textId="77777777" w:rsidTr="00E431E6">
        <w:trPr>
          <w:trHeight w:val="20"/>
        </w:trPr>
        <w:tc>
          <w:tcPr>
            <w:tcW w:w="906" w:type="pct"/>
            <w:shd w:val="clear" w:color="auto" w:fill="9C9D9F"/>
            <w:noWrap/>
            <w:vAlign w:val="center"/>
          </w:tcPr>
          <w:p w14:paraId="78115E47" w14:textId="77777777" w:rsidR="000C292F" w:rsidRPr="006C048C" w:rsidRDefault="000C292F" w:rsidP="00E431E6">
            <w:pPr>
              <w:spacing w:before="0" w:beforeAutospacing="0" w:after="0" w:afterAutospacing="0"/>
              <w:jc w:val="right"/>
              <w:rPr>
                <w:rFonts w:cs="Arial"/>
                <w:b/>
                <w:bCs/>
                <w:color w:val="000000"/>
                <w:sz w:val="20"/>
                <w:szCs w:val="20"/>
              </w:rPr>
            </w:pPr>
            <w:r w:rsidRPr="006C048C">
              <w:rPr>
                <w:rFonts w:cs="Arial"/>
                <w:b/>
                <w:bCs/>
                <w:color w:val="000000"/>
                <w:sz w:val="20"/>
                <w:szCs w:val="20"/>
              </w:rPr>
              <w:t>k 31. prosinci 2017</w:t>
            </w:r>
          </w:p>
        </w:tc>
        <w:tc>
          <w:tcPr>
            <w:tcW w:w="602" w:type="pct"/>
            <w:shd w:val="clear" w:color="auto" w:fill="9C9D9F"/>
            <w:noWrap/>
            <w:vAlign w:val="center"/>
          </w:tcPr>
          <w:p w14:paraId="4D5AB337" w14:textId="458594FD" w:rsidR="000C292F" w:rsidRPr="006C048C" w:rsidRDefault="007D7000" w:rsidP="00E431E6">
            <w:pPr>
              <w:spacing w:before="0" w:beforeAutospacing="0" w:after="0" w:afterAutospacing="0"/>
              <w:ind w:right="96"/>
              <w:jc w:val="right"/>
              <w:rPr>
                <w:rFonts w:cs="Arial"/>
                <w:b/>
                <w:iCs/>
                <w:color w:val="000000"/>
                <w:sz w:val="20"/>
                <w:szCs w:val="20"/>
              </w:rPr>
            </w:pPr>
            <w:r>
              <w:rPr>
                <w:rFonts w:ascii="Calibri" w:hAnsi="Calibri" w:cs="Calibri"/>
                <w:b/>
                <w:bCs/>
                <w:color w:val="000000"/>
                <w:sz w:val="20"/>
                <w:szCs w:val="20"/>
              </w:rPr>
              <w:t>299 857</w:t>
            </w:r>
          </w:p>
        </w:tc>
        <w:tc>
          <w:tcPr>
            <w:tcW w:w="601" w:type="pct"/>
            <w:shd w:val="clear" w:color="auto" w:fill="9C9D9F"/>
            <w:vAlign w:val="center"/>
          </w:tcPr>
          <w:p w14:paraId="2B9A34B3" w14:textId="26A8DB40" w:rsidR="000C292F" w:rsidRPr="006C048C" w:rsidRDefault="007D7000" w:rsidP="00E431E6">
            <w:pPr>
              <w:spacing w:before="0" w:beforeAutospacing="0" w:after="0" w:afterAutospacing="0"/>
              <w:ind w:right="96"/>
              <w:jc w:val="right"/>
              <w:rPr>
                <w:rFonts w:cs="Arial"/>
                <w:b/>
                <w:iCs/>
                <w:color w:val="000000"/>
                <w:sz w:val="20"/>
                <w:szCs w:val="20"/>
              </w:rPr>
            </w:pPr>
            <w:r>
              <w:rPr>
                <w:rFonts w:ascii="Calibri" w:hAnsi="Calibri" w:cs="Calibri"/>
                <w:b/>
                <w:bCs/>
                <w:color w:val="000000"/>
                <w:sz w:val="20"/>
                <w:szCs w:val="20"/>
              </w:rPr>
              <w:t>86 701</w:t>
            </w:r>
          </w:p>
        </w:tc>
        <w:tc>
          <w:tcPr>
            <w:tcW w:w="555" w:type="pct"/>
            <w:shd w:val="clear" w:color="auto" w:fill="9C9D9F"/>
            <w:vAlign w:val="center"/>
          </w:tcPr>
          <w:p w14:paraId="55E48A32" w14:textId="77777777" w:rsidR="000C292F" w:rsidRPr="006C048C" w:rsidRDefault="000C292F" w:rsidP="00E431E6">
            <w:pPr>
              <w:spacing w:before="0" w:beforeAutospacing="0" w:after="0" w:afterAutospacing="0"/>
              <w:ind w:right="96"/>
              <w:jc w:val="right"/>
              <w:rPr>
                <w:rFonts w:cs="Arial"/>
                <w:b/>
                <w:bCs/>
                <w:color w:val="000000"/>
                <w:sz w:val="20"/>
                <w:szCs w:val="20"/>
              </w:rPr>
            </w:pPr>
            <w:r w:rsidRPr="006C048C">
              <w:rPr>
                <w:rFonts w:ascii="Calibri" w:hAnsi="Calibri" w:cs="Calibri"/>
                <w:b/>
                <w:bCs/>
                <w:color w:val="000000"/>
                <w:sz w:val="20"/>
                <w:szCs w:val="20"/>
              </w:rPr>
              <w:t>0</w:t>
            </w:r>
          </w:p>
        </w:tc>
        <w:tc>
          <w:tcPr>
            <w:tcW w:w="555" w:type="pct"/>
            <w:shd w:val="clear" w:color="auto" w:fill="9C9D9F"/>
            <w:vAlign w:val="center"/>
          </w:tcPr>
          <w:p w14:paraId="3B9691D5" w14:textId="1CE2D7CF" w:rsidR="000C292F" w:rsidRPr="006C048C" w:rsidRDefault="007D7000" w:rsidP="00E431E6">
            <w:pPr>
              <w:spacing w:before="0" w:beforeAutospacing="0" w:after="0" w:afterAutospacing="0"/>
              <w:ind w:right="96"/>
              <w:jc w:val="right"/>
              <w:rPr>
                <w:rFonts w:cs="Arial"/>
                <w:b/>
                <w:bCs/>
                <w:color w:val="000000"/>
                <w:sz w:val="20"/>
                <w:szCs w:val="20"/>
              </w:rPr>
            </w:pPr>
            <w:r>
              <w:rPr>
                <w:rFonts w:ascii="Calibri" w:hAnsi="Calibri" w:cs="Calibri"/>
                <w:b/>
                <w:bCs/>
                <w:color w:val="000000"/>
                <w:sz w:val="20"/>
                <w:szCs w:val="20"/>
              </w:rPr>
              <w:t>251 860</w:t>
            </w:r>
          </w:p>
        </w:tc>
        <w:tc>
          <w:tcPr>
            <w:tcW w:w="555" w:type="pct"/>
            <w:shd w:val="clear" w:color="auto" w:fill="9C9D9F"/>
            <w:vAlign w:val="center"/>
          </w:tcPr>
          <w:p w14:paraId="1A6560EA" w14:textId="12933A66" w:rsidR="000C292F" w:rsidRPr="006C048C" w:rsidDel="002D1E65" w:rsidRDefault="000C292F" w:rsidP="00E431E6">
            <w:pPr>
              <w:spacing w:before="0" w:beforeAutospacing="0" w:after="0" w:afterAutospacing="0"/>
              <w:ind w:right="96"/>
              <w:jc w:val="right"/>
              <w:rPr>
                <w:rFonts w:cs="Arial"/>
                <w:b/>
                <w:bCs/>
                <w:color w:val="000000"/>
                <w:sz w:val="20"/>
                <w:szCs w:val="20"/>
              </w:rPr>
            </w:pPr>
            <w:r w:rsidRPr="006C048C">
              <w:rPr>
                <w:rFonts w:ascii="Calibri" w:hAnsi="Calibri" w:cs="Calibri"/>
                <w:b/>
                <w:bCs/>
                <w:color w:val="000000"/>
                <w:sz w:val="20"/>
                <w:szCs w:val="20"/>
              </w:rPr>
              <w:t>41</w:t>
            </w:r>
            <w:r w:rsidR="007D7000">
              <w:rPr>
                <w:rFonts w:ascii="Calibri" w:hAnsi="Calibri" w:cs="Calibri"/>
                <w:b/>
                <w:bCs/>
                <w:color w:val="000000"/>
                <w:sz w:val="20"/>
                <w:szCs w:val="20"/>
              </w:rPr>
              <w:t> </w:t>
            </w:r>
            <w:r w:rsidRPr="006C048C">
              <w:rPr>
                <w:rFonts w:ascii="Calibri" w:hAnsi="Calibri" w:cs="Calibri"/>
                <w:b/>
                <w:bCs/>
                <w:color w:val="000000"/>
                <w:sz w:val="20"/>
                <w:szCs w:val="20"/>
              </w:rPr>
              <w:t>265</w:t>
            </w:r>
          </w:p>
        </w:tc>
        <w:tc>
          <w:tcPr>
            <w:tcW w:w="617" w:type="pct"/>
            <w:shd w:val="clear" w:color="auto" w:fill="9C9D9F"/>
            <w:noWrap/>
            <w:vAlign w:val="center"/>
          </w:tcPr>
          <w:p w14:paraId="3E439DE4" w14:textId="748B5D10" w:rsidR="000C292F" w:rsidRPr="006C048C" w:rsidRDefault="000C292F" w:rsidP="00E431E6">
            <w:pPr>
              <w:spacing w:before="0" w:beforeAutospacing="0" w:after="0" w:afterAutospacing="0"/>
              <w:ind w:right="96"/>
              <w:jc w:val="right"/>
              <w:rPr>
                <w:rFonts w:cs="Arial"/>
                <w:b/>
                <w:bCs/>
                <w:color w:val="000000"/>
                <w:sz w:val="20"/>
                <w:szCs w:val="20"/>
              </w:rPr>
            </w:pPr>
            <w:r w:rsidRPr="006C048C">
              <w:rPr>
                <w:rFonts w:ascii="Calibri" w:hAnsi="Calibri" w:cs="Calibri"/>
                <w:b/>
                <w:bCs/>
                <w:color w:val="000000"/>
                <w:sz w:val="20"/>
                <w:szCs w:val="20"/>
              </w:rPr>
              <w:t>3 439</w:t>
            </w:r>
            <w:r w:rsidR="007D7000">
              <w:rPr>
                <w:rFonts w:ascii="Calibri" w:hAnsi="Calibri" w:cs="Calibri"/>
                <w:b/>
                <w:bCs/>
                <w:color w:val="000000"/>
                <w:sz w:val="20"/>
                <w:szCs w:val="20"/>
              </w:rPr>
              <w:t> </w:t>
            </w:r>
            <w:r w:rsidRPr="006C048C">
              <w:rPr>
                <w:rFonts w:ascii="Calibri" w:hAnsi="Calibri" w:cs="Calibri"/>
                <w:b/>
                <w:bCs/>
                <w:color w:val="000000"/>
                <w:sz w:val="20"/>
                <w:szCs w:val="20"/>
              </w:rPr>
              <w:t>375</w:t>
            </w:r>
          </w:p>
        </w:tc>
        <w:tc>
          <w:tcPr>
            <w:tcW w:w="609" w:type="pct"/>
            <w:shd w:val="clear" w:color="auto" w:fill="9C9D9F"/>
            <w:vAlign w:val="center"/>
          </w:tcPr>
          <w:p w14:paraId="430D0619"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ascii="Calibri" w:hAnsi="Calibri" w:cs="Calibri"/>
                <w:b/>
                <w:bCs/>
                <w:color w:val="000000"/>
                <w:sz w:val="20"/>
                <w:szCs w:val="20"/>
              </w:rPr>
              <w:t>4 119 058</w:t>
            </w:r>
          </w:p>
        </w:tc>
      </w:tr>
      <w:tr w:rsidR="000C292F" w:rsidRPr="006C048C" w14:paraId="2442D92C" w14:textId="77777777" w:rsidTr="00E431E6">
        <w:trPr>
          <w:trHeight w:val="20"/>
        </w:trPr>
        <w:tc>
          <w:tcPr>
            <w:tcW w:w="906" w:type="pct"/>
            <w:tcBorders>
              <w:bottom w:val="single" w:sz="4" w:space="0" w:color="9C9D9F"/>
            </w:tcBorders>
            <w:shd w:val="clear" w:color="auto" w:fill="auto"/>
            <w:noWrap/>
            <w:vAlign w:val="center"/>
          </w:tcPr>
          <w:p w14:paraId="25F8C02E" w14:textId="77777777" w:rsidR="000C292F" w:rsidRPr="006C048C" w:rsidRDefault="000C292F" w:rsidP="00E431E6">
            <w:pPr>
              <w:spacing w:before="0" w:beforeAutospacing="0" w:after="0" w:afterAutospacing="0"/>
              <w:jc w:val="right"/>
              <w:rPr>
                <w:rFonts w:cs="Arial"/>
                <w:b/>
                <w:bCs/>
                <w:color w:val="000000"/>
                <w:sz w:val="20"/>
                <w:szCs w:val="20"/>
              </w:rPr>
            </w:pPr>
          </w:p>
        </w:tc>
        <w:tc>
          <w:tcPr>
            <w:tcW w:w="602" w:type="pct"/>
            <w:tcBorders>
              <w:bottom w:val="single" w:sz="4" w:space="0" w:color="9C9D9F"/>
            </w:tcBorders>
            <w:shd w:val="clear" w:color="auto" w:fill="auto"/>
            <w:noWrap/>
            <w:vAlign w:val="center"/>
          </w:tcPr>
          <w:p w14:paraId="52F17376"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ascii="Calibri" w:hAnsi="Calibri" w:cs="Calibri"/>
                <w:color w:val="000000"/>
                <w:sz w:val="20"/>
                <w:szCs w:val="20"/>
              </w:rPr>
              <w:t> </w:t>
            </w:r>
          </w:p>
        </w:tc>
        <w:tc>
          <w:tcPr>
            <w:tcW w:w="601" w:type="pct"/>
            <w:tcBorders>
              <w:bottom w:val="single" w:sz="4" w:space="0" w:color="9C9D9F"/>
            </w:tcBorders>
            <w:shd w:val="clear" w:color="auto" w:fill="auto"/>
            <w:vAlign w:val="center"/>
          </w:tcPr>
          <w:p w14:paraId="13E74C0A"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ascii="Calibri" w:hAnsi="Calibri" w:cs="Calibri"/>
                <w:color w:val="000000"/>
                <w:sz w:val="20"/>
                <w:szCs w:val="20"/>
              </w:rPr>
              <w:t> </w:t>
            </w:r>
          </w:p>
        </w:tc>
        <w:tc>
          <w:tcPr>
            <w:tcW w:w="555" w:type="pct"/>
            <w:tcBorders>
              <w:bottom w:val="single" w:sz="4" w:space="0" w:color="9C9D9F"/>
            </w:tcBorders>
            <w:shd w:val="clear" w:color="auto" w:fill="auto"/>
            <w:vAlign w:val="center"/>
          </w:tcPr>
          <w:p w14:paraId="2B5CCAC4"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555" w:type="pct"/>
            <w:tcBorders>
              <w:bottom w:val="single" w:sz="4" w:space="0" w:color="9C9D9F"/>
            </w:tcBorders>
            <w:shd w:val="clear" w:color="auto" w:fill="auto"/>
            <w:vAlign w:val="center"/>
          </w:tcPr>
          <w:p w14:paraId="21DB7E59"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555" w:type="pct"/>
            <w:tcBorders>
              <w:bottom w:val="single" w:sz="4" w:space="0" w:color="9C9D9F"/>
            </w:tcBorders>
            <w:shd w:val="clear" w:color="auto" w:fill="auto"/>
            <w:vAlign w:val="center"/>
          </w:tcPr>
          <w:p w14:paraId="7C8AD832" w14:textId="77777777" w:rsidR="000C292F" w:rsidRPr="006C048C" w:rsidDel="002D1E65"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617" w:type="pct"/>
            <w:tcBorders>
              <w:bottom w:val="single" w:sz="4" w:space="0" w:color="9C9D9F"/>
            </w:tcBorders>
            <w:shd w:val="clear" w:color="auto" w:fill="auto"/>
            <w:noWrap/>
            <w:vAlign w:val="center"/>
          </w:tcPr>
          <w:p w14:paraId="7594FB62"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609" w:type="pct"/>
            <w:tcBorders>
              <w:bottom w:val="single" w:sz="4" w:space="0" w:color="9C9D9F"/>
            </w:tcBorders>
            <w:shd w:val="clear" w:color="auto" w:fill="auto"/>
            <w:vAlign w:val="center"/>
          </w:tcPr>
          <w:p w14:paraId="6F7CDD4E"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ascii="Calibri" w:hAnsi="Calibri" w:cs="Calibri"/>
                <w:b/>
                <w:bCs/>
                <w:color w:val="000000"/>
                <w:sz w:val="20"/>
                <w:szCs w:val="20"/>
              </w:rPr>
              <w:t> </w:t>
            </w:r>
          </w:p>
        </w:tc>
      </w:tr>
      <w:tr w:rsidR="000C292F" w:rsidRPr="006C048C" w14:paraId="56DDF57A"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33922CC0"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bCs/>
                <w:color w:val="000000"/>
                <w:sz w:val="20"/>
                <w:szCs w:val="20"/>
              </w:rPr>
              <w:t>Aplikace nových IFRS</w:t>
            </w:r>
          </w:p>
        </w:tc>
        <w:tc>
          <w:tcPr>
            <w:tcW w:w="602" w:type="pct"/>
            <w:tcBorders>
              <w:top w:val="single" w:sz="4" w:space="0" w:color="9C9D9F"/>
              <w:bottom w:val="single" w:sz="4" w:space="0" w:color="9C9D9F"/>
            </w:tcBorders>
            <w:shd w:val="clear" w:color="auto" w:fill="auto"/>
            <w:noWrap/>
            <w:vAlign w:val="center"/>
          </w:tcPr>
          <w:p w14:paraId="09CB8B55"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ascii="Calibri" w:hAnsi="Calibri" w:cs="Calibri"/>
                <w:color w:val="000000"/>
                <w:sz w:val="20"/>
                <w:szCs w:val="20"/>
              </w:rPr>
              <w:t>--</w:t>
            </w:r>
          </w:p>
        </w:tc>
        <w:tc>
          <w:tcPr>
            <w:tcW w:w="601" w:type="pct"/>
            <w:tcBorders>
              <w:top w:val="single" w:sz="4" w:space="0" w:color="9C9D9F"/>
              <w:bottom w:val="single" w:sz="4" w:space="0" w:color="9C9D9F"/>
            </w:tcBorders>
            <w:shd w:val="clear" w:color="auto" w:fill="auto"/>
            <w:vAlign w:val="center"/>
          </w:tcPr>
          <w:p w14:paraId="60ACFD97"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ascii="Calibri" w:hAnsi="Calibri" w:cs="Calibri"/>
                <w:color w:val="000000"/>
                <w:sz w:val="20"/>
                <w:szCs w:val="20"/>
              </w:rPr>
              <w:t>--</w:t>
            </w:r>
          </w:p>
        </w:tc>
        <w:tc>
          <w:tcPr>
            <w:tcW w:w="555" w:type="pct"/>
            <w:tcBorders>
              <w:top w:val="single" w:sz="4" w:space="0" w:color="9C9D9F"/>
              <w:bottom w:val="single" w:sz="4" w:space="0" w:color="9C9D9F"/>
            </w:tcBorders>
            <w:shd w:val="clear" w:color="auto" w:fill="auto"/>
            <w:vAlign w:val="center"/>
          </w:tcPr>
          <w:p w14:paraId="67896F28"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w:t>
            </w:r>
          </w:p>
        </w:tc>
        <w:tc>
          <w:tcPr>
            <w:tcW w:w="555" w:type="pct"/>
            <w:tcBorders>
              <w:top w:val="single" w:sz="4" w:space="0" w:color="9C9D9F"/>
              <w:bottom w:val="single" w:sz="4" w:space="0" w:color="9C9D9F"/>
            </w:tcBorders>
            <w:shd w:val="clear" w:color="auto" w:fill="auto"/>
            <w:vAlign w:val="center"/>
          </w:tcPr>
          <w:p w14:paraId="1E7A418D"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w:t>
            </w:r>
          </w:p>
        </w:tc>
        <w:tc>
          <w:tcPr>
            <w:tcW w:w="555" w:type="pct"/>
            <w:tcBorders>
              <w:top w:val="single" w:sz="4" w:space="0" w:color="9C9D9F"/>
              <w:bottom w:val="single" w:sz="4" w:space="0" w:color="9C9D9F"/>
            </w:tcBorders>
            <w:shd w:val="clear" w:color="auto" w:fill="auto"/>
            <w:vAlign w:val="center"/>
          </w:tcPr>
          <w:p w14:paraId="533186E7" w14:textId="77777777" w:rsidR="000C292F" w:rsidRPr="006C048C" w:rsidDel="002D1E65" w:rsidRDefault="000C292F" w:rsidP="00E431E6">
            <w:pPr>
              <w:spacing w:before="0" w:beforeAutospacing="0" w:after="0" w:afterAutospacing="0"/>
              <w:ind w:right="96"/>
              <w:jc w:val="right"/>
              <w:rPr>
                <w:rFonts w:cs="Arial"/>
                <w:bCs/>
                <w:color w:val="000000"/>
                <w:sz w:val="20"/>
                <w:szCs w:val="20"/>
              </w:rPr>
            </w:pPr>
            <w:r w:rsidRPr="006C048C">
              <w:rPr>
                <w:rFonts w:cs="Arial"/>
                <w:bCs/>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2E112D1A" w14:textId="02227CAF"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87</w:t>
            </w:r>
            <w:r w:rsidR="007D7000">
              <w:rPr>
                <w:rFonts w:ascii="Calibri" w:hAnsi="Calibri" w:cs="Calibri"/>
                <w:color w:val="000000"/>
                <w:sz w:val="20"/>
                <w:szCs w:val="20"/>
              </w:rPr>
              <w:t> </w:t>
            </w:r>
            <w:r w:rsidRPr="006C048C">
              <w:rPr>
                <w:rFonts w:ascii="Calibri" w:hAnsi="Calibri" w:cs="Calibri"/>
                <w:color w:val="000000"/>
                <w:sz w:val="20"/>
                <w:szCs w:val="20"/>
              </w:rPr>
              <w:t>049</w:t>
            </w:r>
          </w:p>
        </w:tc>
        <w:tc>
          <w:tcPr>
            <w:tcW w:w="609" w:type="pct"/>
            <w:tcBorders>
              <w:top w:val="single" w:sz="4" w:space="0" w:color="9C9D9F"/>
              <w:bottom w:val="single" w:sz="4" w:space="0" w:color="9C9D9F"/>
            </w:tcBorders>
            <w:shd w:val="clear" w:color="auto" w:fill="auto"/>
            <w:vAlign w:val="center"/>
          </w:tcPr>
          <w:p w14:paraId="63FC0879"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ascii="Calibri" w:hAnsi="Calibri" w:cs="Calibri"/>
                <w:b/>
                <w:bCs/>
                <w:color w:val="000000"/>
                <w:sz w:val="20"/>
                <w:szCs w:val="20"/>
              </w:rPr>
              <w:t>87 049</w:t>
            </w:r>
          </w:p>
        </w:tc>
      </w:tr>
      <w:tr w:rsidR="000C292F" w:rsidRPr="006C048C" w14:paraId="7BB4CFE2" w14:textId="77777777" w:rsidTr="00E431E6">
        <w:trPr>
          <w:trHeight w:val="20"/>
        </w:trPr>
        <w:tc>
          <w:tcPr>
            <w:tcW w:w="906" w:type="pct"/>
            <w:tcBorders>
              <w:top w:val="single" w:sz="4" w:space="0" w:color="9C9D9F"/>
            </w:tcBorders>
            <w:shd w:val="clear" w:color="auto" w:fill="auto"/>
            <w:noWrap/>
            <w:vAlign w:val="center"/>
          </w:tcPr>
          <w:p w14:paraId="1C1F3C43" w14:textId="77777777" w:rsidR="000C292F" w:rsidRPr="006C048C" w:rsidRDefault="000C292F" w:rsidP="00E431E6">
            <w:pPr>
              <w:spacing w:before="0" w:beforeAutospacing="0" w:after="0" w:afterAutospacing="0"/>
              <w:jc w:val="right"/>
              <w:rPr>
                <w:rFonts w:cs="Arial"/>
                <w:b/>
                <w:bCs/>
                <w:color w:val="000000"/>
                <w:sz w:val="20"/>
                <w:szCs w:val="20"/>
              </w:rPr>
            </w:pPr>
          </w:p>
        </w:tc>
        <w:tc>
          <w:tcPr>
            <w:tcW w:w="602" w:type="pct"/>
            <w:tcBorders>
              <w:top w:val="single" w:sz="4" w:space="0" w:color="9C9D9F"/>
            </w:tcBorders>
            <w:shd w:val="clear" w:color="auto" w:fill="auto"/>
            <w:noWrap/>
            <w:vAlign w:val="center"/>
          </w:tcPr>
          <w:p w14:paraId="7557A23D"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601" w:type="pct"/>
            <w:tcBorders>
              <w:top w:val="single" w:sz="4" w:space="0" w:color="9C9D9F"/>
            </w:tcBorders>
            <w:vAlign w:val="center"/>
          </w:tcPr>
          <w:p w14:paraId="3DF7FE70"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555" w:type="pct"/>
            <w:tcBorders>
              <w:top w:val="single" w:sz="4" w:space="0" w:color="9C9D9F"/>
            </w:tcBorders>
            <w:vAlign w:val="center"/>
          </w:tcPr>
          <w:p w14:paraId="6DE8E753"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555" w:type="pct"/>
            <w:tcBorders>
              <w:top w:val="single" w:sz="4" w:space="0" w:color="9C9D9F"/>
            </w:tcBorders>
            <w:vAlign w:val="center"/>
          </w:tcPr>
          <w:p w14:paraId="1AFF56C9"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555" w:type="pct"/>
            <w:tcBorders>
              <w:top w:val="single" w:sz="4" w:space="0" w:color="9C9D9F"/>
            </w:tcBorders>
            <w:vAlign w:val="center"/>
          </w:tcPr>
          <w:p w14:paraId="50B12BC5"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617" w:type="pct"/>
            <w:tcBorders>
              <w:top w:val="single" w:sz="4" w:space="0" w:color="9C9D9F"/>
            </w:tcBorders>
            <w:shd w:val="clear" w:color="auto" w:fill="auto"/>
            <w:noWrap/>
            <w:vAlign w:val="center"/>
          </w:tcPr>
          <w:p w14:paraId="37E8FABC" w14:textId="77777777" w:rsidR="000C292F" w:rsidRPr="006C048C" w:rsidRDefault="000C292F" w:rsidP="00E431E6">
            <w:pPr>
              <w:spacing w:before="0" w:beforeAutospacing="0" w:after="0" w:afterAutospacing="0"/>
              <w:ind w:right="96"/>
              <w:jc w:val="right"/>
              <w:rPr>
                <w:rFonts w:cs="Arial"/>
                <w:bCs/>
                <w:color w:val="000000"/>
                <w:sz w:val="20"/>
                <w:szCs w:val="20"/>
              </w:rPr>
            </w:pPr>
            <w:r w:rsidRPr="006C048C">
              <w:rPr>
                <w:rFonts w:ascii="Calibri" w:hAnsi="Calibri" w:cs="Calibri"/>
                <w:color w:val="000000"/>
                <w:sz w:val="20"/>
                <w:szCs w:val="20"/>
              </w:rPr>
              <w:t> </w:t>
            </w:r>
          </w:p>
        </w:tc>
        <w:tc>
          <w:tcPr>
            <w:tcW w:w="609" w:type="pct"/>
            <w:tcBorders>
              <w:top w:val="single" w:sz="4" w:space="0" w:color="9C9D9F"/>
            </w:tcBorders>
            <w:vAlign w:val="center"/>
          </w:tcPr>
          <w:p w14:paraId="7FE7D3C9" w14:textId="77777777" w:rsidR="000C292F" w:rsidRPr="006C048C" w:rsidRDefault="000C292F" w:rsidP="00E431E6">
            <w:pPr>
              <w:spacing w:before="0" w:beforeAutospacing="0" w:after="0" w:afterAutospacing="0"/>
              <w:ind w:right="94"/>
              <w:jc w:val="right"/>
              <w:rPr>
                <w:rFonts w:cs="Arial"/>
                <w:b/>
                <w:bCs/>
                <w:color w:val="000000"/>
                <w:sz w:val="20"/>
                <w:szCs w:val="20"/>
              </w:rPr>
            </w:pPr>
            <w:r w:rsidRPr="006C048C">
              <w:rPr>
                <w:rFonts w:ascii="Calibri" w:hAnsi="Calibri" w:cs="Calibri"/>
                <w:b/>
                <w:bCs/>
                <w:color w:val="000000"/>
                <w:sz w:val="20"/>
                <w:szCs w:val="20"/>
              </w:rPr>
              <w:t> </w:t>
            </w:r>
          </w:p>
        </w:tc>
      </w:tr>
      <w:tr w:rsidR="000C292F" w:rsidRPr="006C048C" w14:paraId="20BB339C" w14:textId="77777777" w:rsidTr="00E431E6">
        <w:trPr>
          <w:trHeight w:val="20"/>
        </w:trPr>
        <w:tc>
          <w:tcPr>
            <w:tcW w:w="906" w:type="pct"/>
            <w:shd w:val="clear" w:color="auto" w:fill="9C9D9F"/>
            <w:noWrap/>
            <w:vAlign w:val="center"/>
          </w:tcPr>
          <w:p w14:paraId="629819B2"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b/>
                <w:bCs/>
                <w:color w:val="000000"/>
                <w:sz w:val="20"/>
                <w:szCs w:val="20"/>
              </w:rPr>
              <w:t>k 1. lednu 2018</w:t>
            </w:r>
          </w:p>
        </w:tc>
        <w:tc>
          <w:tcPr>
            <w:tcW w:w="602" w:type="pct"/>
            <w:shd w:val="clear" w:color="auto" w:fill="9C9D9F"/>
            <w:noWrap/>
            <w:vAlign w:val="center"/>
          </w:tcPr>
          <w:p w14:paraId="001EA09A" w14:textId="7EA5BFED" w:rsidR="000C292F" w:rsidRPr="006C048C" w:rsidRDefault="007D7000" w:rsidP="00E431E6">
            <w:pPr>
              <w:spacing w:before="0" w:beforeAutospacing="0" w:after="0" w:afterAutospacing="0"/>
              <w:ind w:right="96"/>
              <w:jc w:val="right"/>
              <w:rPr>
                <w:b/>
                <w:color w:val="000000"/>
                <w:sz w:val="20"/>
                <w:szCs w:val="20"/>
              </w:rPr>
            </w:pPr>
            <w:r>
              <w:rPr>
                <w:rFonts w:ascii="Calibri" w:hAnsi="Calibri" w:cs="Calibri"/>
                <w:b/>
                <w:bCs/>
                <w:color w:val="000000"/>
                <w:sz w:val="20"/>
                <w:szCs w:val="20"/>
              </w:rPr>
              <w:t>299 857</w:t>
            </w:r>
          </w:p>
        </w:tc>
        <w:tc>
          <w:tcPr>
            <w:tcW w:w="601" w:type="pct"/>
            <w:shd w:val="clear" w:color="auto" w:fill="9C9D9F"/>
            <w:vAlign w:val="center"/>
          </w:tcPr>
          <w:p w14:paraId="3203ECBE" w14:textId="1730353C" w:rsidR="000C292F" w:rsidRPr="006C048C" w:rsidRDefault="007D7000" w:rsidP="00E431E6">
            <w:pPr>
              <w:spacing w:before="0" w:beforeAutospacing="0" w:after="0" w:afterAutospacing="0"/>
              <w:ind w:right="96"/>
              <w:jc w:val="right"/>
              <w:rPr>
                <w:b/>
                <w:color w:val="000000"/>
                <w:sz w:val="20"/>
                <w:szCs w:val="20"/>
              </w:rPr>
            </w:pPr>
            <w:r>
              <w:rPr>
                <w:rFonts w:ascii="Calibri" w:hAnsi="Calibri" w:cs="Calibri"/>
                <w:b/>
                <w:bCs/>
                <w:color w:val="000000"/>
                <w:sz w:val="20"/>
                <w:szCs w:val="20"/>
              </w:rPr>
              <w:t>86 701</w:t>
            </w:r>
          </w:p>
        </w:tc>
        <w:tc>
          <w:tcPr>
            <w:tcW w:w="555" w:type="pct"/>
            <w:shd w:val="clear" w:color="auto" w:fill="9C9D9F"/>
            <w:vAlign w:val="center"/>
          </w:tcPr>
          <w:p w14:paraId="5B9E02B9" w14:textId="77777777" w:rsidR="000C292F" w:rsidRPr="006C048C" w:rsidRDefault="000C292F" w:rsidP="00E431E6">
            <w:pPr>
              <w:spacing w:before="0" w:beforeAutospacing="0" w:after="0" w:afterAutospacing="0"/>
              <w:ind w:right="96"/>
              <w:jc w:val="right"/>
              <w:rPr>
                <w:b/>
                <w:color w:val="000000"/>
                <w:sz w:val="20"/>
                <w:szCs w:val="20"/>
              </w:rPr>
            </w:pPr>
            <w:r w:rsidRPr="006C048C">
              <w:rPr>
                <w:rFonts w:ascii="Calibri" w:hAnsi="Calibri" w:cs="Calibri"/>
                <w:b/>
                <w:bCs/>
                <w:color w:val="000000"/>
                <w:sz w:val="20"/>
                <w:szCs w:val="20"/>
              </w:rPr>
              <w:t>0</w:t>
            </w:r>
          </w:p>
        </w:tc>
        <w:tc>
          <w:tcPr>
            <w:tcW w:w="555" w:type="pct"/>
            <w:shd w:val="clear" w:color="auto" w:fill="9C9D9F"/>
            <w:vAlign w:val="center"/>
          </w:tcPr>
          <w:p w14:paraId="57DB694B" w14:textId="23153B8C" w:rsidR="000C292F" w:rsidRPr="006C048C" w:rsidRDefault="007D7000" w:rsidP="00E431E6">
            <w:pPr>
              <w:spacing w:before="0" w:beforeAutospacing="0" w:after="0" w:afterAutospacing="0"/>
              <w:ind w:right="96"/>
              <w:jc w:val="right"/>
              <w:rPr>
                <w:b/>
                <w:color w:val="000000"/>
                <w:sz w:val="20"/>
                <w:szCs w:val="20"/>
              </w:rPr>
            </w:pPr>
            <w:r>
              <w:rPr>
                <w:rFonts w:ascii="Calibri" w:hAnsi="Calibri" w:cs="Calibri"/>
                <w:b/>
                <w:bCs/>
                <w:color w:val="000000"/>
                <w:sz w:val="20"/>
                <w:szCs w:val="20"/>
              </w:rPr>
              <w:t>251 860</w:t>
            </w:r>
          </w:p>
        </w:tc>
        <w:tc>
          <w:tcPr>
            <w:tcW w:w="555" w:type="pct"/>
            <w:shd w:val="clear" w:color="auto" w:fill="9C9D9F"/>
            <w:vAlign w:val="center"/>
          </w:tcPr>
          <w:p w14:paraId="17634647" w14:textId="5B938223" w:rsidR="000C292F" w:rsidRPr="006C048C" w:rsidDel="002D1E65" w:rsidRDefault="000C292F" w:rsidP="00E431E6">
            <w:pPr>
              <w:spacing w:before="0" w:beforeAutospacing="0" w:after="0" w:afterAutospacing="0"/>
              <w:ind w:right="96"/>
              <w:jc w:val="right"/>
              <w:rPr>
                <w:b/>
                <w:color w:val="000000"/>
                <w:sz w:val="20"/>
                <w:szCs w:val="20"/>
              </w:rPr>
            </w:pPr>
            <w:r w:rsidRPr="006C048C">
              <w:rPr>
                <w:rFonts w:ascii="Calibri" w:hAnsi="Calibri" w:cs="Calibri"/>
                <w:b/>
                <w:bCs/>
                <w:color w:val="000000"/>
                <w:sz w:val="20"/>
                <w:szCs w:val="20"/>
              </w:rPr>
              <w:t>41</w:t>
            </w:r>
            <w:r w:rsidR="007D7000">
              <w:rPr>
                <w:rFonts w:ascii="Calibri" w:hAnsi="Calibri" w:cs="Calibri"/>
                <w:b/>
                <w:bCs/>
                <w:color w:val="000000"/>
                <w:sz w:val="20"/>
                <w:szCs w:val="20"/>
              </w:rPr>
              <w:t> </w:t>
            </w:r>
            <w:r w:rsidRPr="006C048C">
              <w:rPr>
                <w:rFonts w:ascii="Calibri" w:hAnsi="Calibri" w:cs="Calibri"/>
                <w:b/>
                <w:bCs/>
                <w:color w:val="000000"/>
                <w:sz w:val="20"/>
                <w:szCs w:val="20"/>
              </w:rPr>
              <w:t>265</w:t>
            </w:r>
          </w:p>
        </w:tc>
        <w:tc>
          <w:tcPr>
            <w:tcW w:w="617" w:type="pct"/>
            <w:shd w:val="clear" w:color="auto" w:fill="9C9D9F"/>
            <w:noWrap/>
            <w:vAlign w:val="center"/>
          </w:tcPr>
          <w:p w14:paraId="568BD813" w14:textId="449C2C58" w:rsidR="000C292F" w:rsidRPr="006C048C" w:rsidRDefault="000C292F" w:rsidP="00E431E6">
            <w:pPr>
              <w:spacing w:before="0" w:beforeAutospacing="0" w:after="0" w:afterAutospacing="0"/>
              <w:ind w:right="96"/>
              <w:jc w:val="right"/>
              <w:rPr>
                <w:b/>
                <w:color w:val="000000"/>
                <w:sz w:val="20"/>
                <w:szCs w:val="20"/>
              </w:rPr>
            </w:pPr>
            <w:r w:rsidRPr="006C048C">
              <w:rPr>
                <w:rFonts w:ascii="Calibri" w:hAnsi="Calibri" w:cs="Calibri"/>
                <w:b/>
                <w:bCs/>
                <w:color w:val="000000"/>
                <w:sz w:val="20"/>
                <w:szCs w:val="20"/>
              </w:rPr>
              <w:t>3 526</w:t>
            </w:r>
            <w:r w:rsidR="007D7000">
              <w:rPr>
                <w:rFonts w:ascii="Calibri" w:hAnsi="Calibri" w:cs="Calibri"/>
                <w:b/>
                <w:bCs/>
                <w:color w:val="000000"/>
                <w:sz w:val="20"/>
                <w:szCs w:val="20"/>
              </w:rPr>
              <w:t> </w:t>
            </w:r>
            <w:r w:rsidRPr="006C048C">
              <w:rPr>
                <w:rFonts w:ascii="Calibri" w:hAnsi="Calibri" w:cs="Calibri"/>
                <w:b/>
                <w:bCs/>
                <w:color w:val="000000"/>
                <w:sz w:val="20"/>
                <w:szCs w:val="20"/>
              </w:rPr>
              <w:t>424</w:t>
            </w:r>
          </w:p>
        </w:tc>
        <w:tc>
          <w:tcPr>
            <w:tcW w:w="609" w:type="pct"/>
            <w:shd w:val="clear" w:color="auto" w:fill="9C9D9F"/>
            <w:vAlign w:val="center"/>
          </w:tcPr>
          <w:p w14:paraId="4DED3947" w14:textId="77777777" w:rsidR="000C292F" w:rsidRPr="006C048C" w:rsidRDefault="000C292F" w:rsidP="00E431E6">
            <w:pPr>
              <w:spacing w:before="0" w:beforeAutospacing="0" w:after="0" w:afterAutospacing="0"/>
              <w:ind w:right="94"/>
              <w:jc w:val="right"/>
              <w:rPr>
                <w:b/>
                <w:color w:val="000000"/>
                <w:sz w:val="20"/>
                <w:szCs w:val="20"/>
              </w:rPr>
            </w:pPr>
            <w:r w:rsidRPr="006C048C">
              <w:rPr>
                <w:rFonts w:ascii="Calibri" w:hAnsi="Calibri" w:cs="Calibri"/>
                <w:b/>
                <w:bCs/>
                <w:color w:val="000000"/>
                <w:sz w:val="20"/>
                <w:szCs w:val="20"/>
              </w:rPr>
              <w:t>4 206 107</w:t>
            </w:r>
          </w:p>
        </w:tc>
      </w:tr>
      <w:tr w:rsidR="000C292F" w:rsidRPr="006C048C" w14:paraId="5A359FF5" w14:textId="77777777" w:rsidTr="00E431E6">
        <w:trPr>
          <w:trHeight w:val="20"/>
        </w:trPr>
        <w:tc>
          <w:tcPr>
            <w:tcW w:w="906" w:type="pct"/>
            <w:tcBorders>
              <w:bottom w:val="single" w:sz="4" w:space="0" w:color="9C9D9F"/>
            </w:tcBorders>
            <w:shd w:val="clear" w:color="auto" w:fill="auto"/>
            <w:noWrap/>
            <w:vAlign w:val="center"/>
          </w:tcPr>
          <w:p w14:paraId="48B7A0D8"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color w:val="000000"/>
                <w:sz w:val="20"/>
                <w:szCs w:val="20"/>
              </w:rPr>
              <w:t>Distribuce</w:t>
            </w:r>
          </w:p>
        </w:tc>
        <w:tc>
          <w:tcPr>
            <w:tcW w:w="602" w:type="pct"/>
            <w:tcBorders>
              <w:bottom w:val="single" w:sz="4" w:space="0" w:color="9C9D9F"/>
            </w:tcBorders>
            <w:shd w:val="clear" w:color="auto" w:fill="auto"/>
            <w:noWrap/>
            <w:vAlign w:val="center"/>
          </w:tcPr>
          <w:p w14:paraId="47A248A6"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601" w:type="pct"/>
            <w:tcBorders>
              <w:bottom w:val="single" w:sz="4" w:space="0" w:color="9C9D9F"/>
            </w:tcBorders>
            <w:shd w:val="clear" w:color="auto" w:fill="auto"/>
            <w:vAlign w:val="center"/>
          </w:tcPr>
          <w:p w14:paraId="37C9DB67"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bottom w:val="single" w:sz="4" w:space="0" w:color="9C9D9F"/>
            </w:tcBorders>
            <w:vAlign w:val="center"/>
          </w:tcPr>
          <w:p w14:paraId="55F2C2C0"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bottom w:val="single" w:sz="4" w:space="0" w:color="9C9D9F"/>
            </w:tcBorders>
            <w:vAlign w:val="center"/>
          </w:tcPr>
          <w:p w14:paraId="5D2632C3"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bottom w:val="single" w:sz="4" w:space="0" w:color="9C9D9F"/>
            </w:tcBorders>
            <w:shd w:val="clear" w:color="auto" w:fill="auto"/>
            <w:vAlign w:val="center"/>
          </w:tcPr>
          <w:p w14:paraId="1D765C14" w14:textId="77777777" w:rsidR="000C292F" w:rsidRPr="006C048C" w:rsidRDefault="000C292F" w:rsidP="00E431E6">
            <w:pPr>
              <w:spacing w:before="0" w:beforeAutospacing="0" w:after="0" w:afterAutospacing="0"/>
              <w:ind w:right="96"/>
              <w:jc w:val="right"/>
              <w:rPr>
                <w:rFonts w:cs="Arial"/>
                <w:b/>
                <w:iCs/>
                <w:color w:val="000000"/>
                <w:sz w:val="20"/>
                <w:szCs w:val="20"/>
              </w:rPr>
            </w:pPr>
            <w:r w:rsidRPr="006C048C">
              <w:rPr>
                <w:rFonts w:cs="Arial"/>
                <w:b/>
                <w:iCs/>
                <w:color w:val="000000"/>
                <w:sz w:val="20"/>
                <w:szCs w:val="20"/>
              </w:rPr>
              <w:t>--</w:t>
            </w:r>
          </w:p>
        </w:tc>
        <w:tc>
          <w:tcPr>
            <w:tcW w:w="617" w:type="pct"/>
            <w:tcBorders>
              <w:bottom w:val="single" w:sz="4" w:space="0" w:color="9C9D9F"/>
            </w:tcBorders>
            <w:shd w:val="clear" w:color="auto" w:fill="auto"/>
            <w:noWrap/>
            <w:vAlign w:val="center"/>
          </w:tcPr>
          <w:p w14:paraId="60B71AB2"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609" w:type="pct"/>
            <w:tcBorders>
              <w:bottom w:val="single" w:sz="4" w:space="0" w:color="9C9D9F"/>
            </w:tcBorders>
            <w:shd w:val="clear" w:color="auto" w:fill="auto"/>
            <w:vAlign w:val="center"/>
          </w:tcPr>
          <w:p w14:paraId="6B87F7AD" w14:textId="70457AEB" w:rsidR="000C292F" w:rsidRPr="006C048C" w:rsidRDefault="007D7000" w:rsidP="00E431E6">
            <w:pPr>
              <w:spacing w:before="0" w:beforeAutospacing="0" w:after="0" w:afterAutospacing="0"/>
              <w:ind w:right="94"/>
              <w:jc w:val="right"/>
              <w:rPr>
                <w:rFonts w:cs="Arial"/>
                <w:b/>
                <w:bCs/>
                <w:color w:val="000000"/>
                <w:sz w:val="20"/>
                <w:szCs w:val="20"/>
              </w:rPr>
            </w:pPr>
            <w:r>
              <w:rPr>
                <w:rFonts w:cs="Arial"/>
                <w:b/>
                <w:bCs/>
                <w:color w:val="000000"/>
                <w:sz w:val="20"/>
                <w:szCs w:val="20"/>
              </w:rPr>
              <w:t>--</w:t>
            </w:r>
          </w:p>
        </w:tc>
      </w:tr>
      <w:tr w:rsidR="000C292F" w:rsidRPr="006C048C" w14:paraId="350ABD7A"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56465A70"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14:paraId="64084BC2" w14:textId="77777777" w:rsidR="000C292F" w:rsidRPr="006C048C" w:rsidRDefault="000C292F" w:rsidP="00E431E6">
            <w:pPr>
              <w:spacing w:before="0" w:beforeAutospacing="0" w:after="0" w:afterAutospacing="0"/>
              <w:ind w:right="96"/>
              <w:jc w:val="right"/>
              <w:rPr>
                <w:rFonts w:cs="Arial"/>
                <w:iCs/>
                <w:color w:val="000000"/>
                <w:sz w:val="20"/>
                <w:szCs w:val="20"/>
              </w:rPr>
            </w:pPr>
          </w:p>
        </w:tc>
        <w:tc>
          <w:tcPr>
            <w:tcW w:w="601" w:type="pct"/>
            <w:tcBorders>
              <w:top w:val="single" w:sz="4" w:space="0" w:color="9C9D9F"/>
              <w:bottom w:val="single" w:sz="4" w:space="0" w:color="9C9D9F"/>
            </w:tcBorders>
            <w:shd w:val="clear" w:color="auto" w:fill="auto"/>
            <w:vAlign w:val="center"/>
          </w:tcPr>
          <w:p w14:paraId="2D4F3FD9" w14:textId="77777777" w:rsidR="000C292F" w:rsidRPr="006C048C" w:rsidRDefault="000C292F" w:rsidP="00E431E6">
            <w:pPr>
              <w:spacing w:before="0" w:beforeAutospacing="0" w:after="0" w:afterAutospacing="0"/>
              <w:ind w:right="96"/>
              <w:jc w:val="right"/>
              <w:rPr>
                <w:rFonts w:cs="Arial"/>
                <w:iCs/>
                <w:color w:val="000000"/>
                <w:sz w:val="20"/>
                <w:szCs w:val="20"/>
              </w:rPr>
            </w:pPr>
          </w:p>
        </w:tc>
        <w:tc>
          <w:tcPr>
            <w:tcW w:w="555" w:type="pct"/>
            <w:tcBorders>
              <w:top w:val="single" w:sz="4" w:space="0" w:color="9C9D9F"/>
              <w:bottom w:val="single" w:sz="4" w:space="0" w:color="9C9D9F"/>
            </w:tcBorders>
            <w:vAlign w:val="center"/>
          </w:tcPr>
          <w:p w14:paraId="545130A9"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49C4B283" w14:textId="63C32CA3" w:rsidR="000C292F" w:rsidRPr="006C048C" w:rsidRDefault="00803DB8" w:rsidP="00E431E6">
            <w:pPr>
              <w:spacing w:before="0" w:beforeAutospacing="0" w:after="0" w:afterAutospacing="0"/>
              <w:ind w:right="96"/>
              <w:jc w:val="right"/>
              <w:rPr>
                <w:rFonts w:cs="Arial"/>
                <w:iCs/>
                <w:color w:val="000000"/>
                <w:sz w:val="20"/>
                <w:szCs w:val="20"/>
              </w:rPr>
            </w:pPr>
            <w:r>
              <w:rPr>
                <w:rFonts w:cs="Arial"/>
                <w:iCs/>
                <w:color w:val="000000"/>
                <w:sz w:val="20"/>
                <w:szCs w:val="20"/>
              </w:rPr>
              <w:t>30 515</w:t>
            </w:r>
          </w:p>
        </w:tc>
        <w:tc>
          <w:tcPr>
            <w:tcW w:w="555" w:type="pct"/>
            <w:tcBorders>
              <w:top w:val="single" w:sz="4" w:space="0" w:color="9C9D9F"/>
              <w:bottom w:val="single" w:sz="4" w:space="0" w:color="9C9D9F"/>
            </w:tcBorders>
            <w:shd w:val="clear" w:color="auto" w:fill="auto"/>
            <w:vAlign w:val="center"/>
          </w:tcPr>
          <w:p w14:paraId="1A0133BE" w14:textId="51945316" w:rsidR="000C292F" w:rsidRPr="006C048C" w:rsidRDefault="007D7000" w:rsidP="00E431E6">
            <w:pPr>
              <w:spacing w:before="0" w:beforeAutospacing="0" w:after="0" w:afterAutospacing="0"/>
              <w:ind w:right="96"/>
              <w:jc w:val="right"/>
              <w:rPr>
                <w:rFonts w:cs="Arial"/>
                <w:bCs/>
                <w:color w:val="000000"/>
                <w:sz w:val="20"/>
                <w:szCs w:val="20"/>
              </w:rPr>
            </w:pPr>
            <w:r>
              <w:rPr>
                <w:rFonts w:cs="Arial"/>
                <w:bCs/>
                <w:color w:val="000000"/>
                <w:sz w:val="20"/>
                <w:szCs w:val="20"/>
              </w:rPr>
              <w:t>-47</w:t>
            </w:r>
            <w:r w:rsidR="00803DB8">
              <w:rPr>
                <w:rFonts w:cs="Arial"/>
                <w:bCs/>
                <w:color w:val="000000"/>
                <w:sz w:val="20"/>
                <w:szCs w:val="20"/>
              </w:rPr>
              <w:t> </w:t>
            </w:r>
            <w:r>
              <w:rPr>
                <w:rFonts w:cs="Arial"/>
                <w:bCs/>
                <w:color w:val="000000"/>
                <w:sz w:val="20"/>
                <w:szCs w:val="20"/>
              </w:rPr>
              <w:t>447</w:t>
            </w:r>
          </w:p>
        </w:tc>
        <w:tc>
          <w:tcPr>
            <w:tcW w:w="617" w:type="pct"/>
            <w:tcBorders>
              <w:top w:val="single" w:sz="4" w:space="0" w:color="9C9D9F"/>
              <w:bottom w:val="single" w:sz="4" w:space="0" w:color="9C9D9F"/>
            </w:tcBorders>
            <w:shd w:val="clear" w:color="auto" w:fill="auto"/>
            <w:noWrap/>
            <w:vAlign w:val="center"/>
          </w:tcPr>
          <w:p w14:paraId="3B2AC5EF" w14:textId="1A7E3141"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14:paraId="72F8275B" w14:textId="42446615" w:rsidR="000C292F" w:rsidRPr="006C048C" w:rsidRDefault="00803DB8" w:rsidP="00E431E6">
            <w:pPr>
              <w:spacing w:before="0" w:beforeAutospacing="0" w:after="0" w:afterAutospacing="0"/>
              <w:ind w:right="94"/>
              <w:jc w:val="right"/>
              <w:rPr>
                <w:rFonts w:cs="Arial"/>
                <w:b/>
                <w:bCs/>
                <w:color w:val="000000"/>
                <w:sz w:val="20"/>
                <w:szCs w:val="20"/>
              </w:rPr>
            </w:pPr>
            <w:r>
              <w:rPr>
                <w:rFonts w:cs="Arial"/>
                <w:b/>
                <w:bCs/>
                <w:color w:val="000000"/>
                <w:sz w:val="20"/>
                <w:szCs w:val="20"/>
              </w:rPr>
              <w:t>-16 932</w:t>
            </w:r>
          </w:p>
        </w:tc>
      </w:tr>
      <w:tr w:rsidR="000C292F" w:rsidRPr="006C048C" w14:paraId="6174D610"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7813CF0D" w14:textId="77777777" w:rsidR="000C292F" w:rsidRPr="006C048C" w:rsidRDefault="000C292F" w:rsidP="00E431E6">
            <w:pPr>
              <w:spacing w:before="0" w:beforeAutospacing="0" w:after="0" w:afterAutospacing="0"/>
              <w:jc w:val="right"/>
              <w:rPr>
                <w:rFonts w:cs="Arial"/>
                <w:bCs/>
                <w:color w:val="000000"/>
                <w:sz w:val="20"/>
                <w:szCs w:val="20"/>
              </w:rPr>
            </w:pPr>
            <w:r w:rsidRPr="006C048C">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14:paraId="2AFB2ED8" w14:textId="59ECFF94"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14:paraId="0140D789" w14:textId="7A002929"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14:paraId="2F9945B0"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26133D25" w14:textId="47AAC766" w:rsidR="000C292F" w:rsidRPr="006C048C" w:rsidRDefault="007D7000" w:rsidP="00E431E6">
            <w:pPr>
              <w:spacing w:before="0" w:beforeAutospacing="0" w:after="0" w:afterAutospacing="0"/>
              <w:ind w:right="96"/>
              <w:jc w:val="right"/>
              <w:rPr>
                <w:rFonts w:cs="Arial"/>
                <w:b/>
                <w:iCs/>
                <w:color w:val="000000"/>
                <w:sz w:val="20"/>
                <w:szCs w:val="20"/>
              </w:rPr>
            </w:pPr>
            <w:r>
              <w:rPr>
                <w:rFonts w:cs="Arial"/>
                <w:b/>
                <w:iCs/>
                <w:color w:val="000000"/>
                <w:sz w:val="20"/>
                <w:szCs w:val="20"/>
              </w:rPr>
              <w:t>--</w:t>
            </w:r>
          </w:p>
        </w:tc>
        <w:tc>
          <w:tcPr>
            <w:tcW w:w="555" w:type="pct"/>
            <w:tcBorders>
              <w:top w:val="single" w:sz="4" w:space="0" w:color="9C9D9F"/>
              <w:bottom w:val="single" w:sz="4" w:space="0" w:color="9C9D9F"/>
            </w:tcBorders>
            <w:shd w:val="clear" w:color="auto" w:fill="auto"/>
            <w:vAlign w:val="center"/>
          </w:tcPr>
          <w:p w14:paraId="4B1D6901" w14:textId="252F9284" w:rsidR="000C292F" w:rsidRPr="006C048C" w:rsidRDefault="007D7000" w:rsidP="00E431E6">
            <w:pPr>
              <w:spacing w:before="0" w:beforeAutospacing="0" w:after="0" w:afterAutospacing="0"/>
              <w:ind w:right="96"/>
              <w:jc w:val="right"/>
              <w:rPr>
                <w:rFonts w:cs="Arial"/>
                <w:b/>
                <w:iCs/>
                <w:color w:val="000000"/>
                <w:sz w:val="20"/>
                <w:szCs w:val="20"/>
              </w:rPr>
            </w:pPr>
            <w:r>
              <w:rPr>
                <w:rFonts w:cs="Arial"/>
                <w:b/>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4252222B" w14:textId="550D0D78" w:rsidR="000C292F" w:rsidRPr="006C048C" w:rsidRDefault="00803DB8" w:rsidP="00E431E6">
            <w:pPr>
              <w:spacing w:before="0" w:beforeAutospacing="0" w:after="0" w:afterAutospacing="0"/>
              <w:ind w:right="96"/>
              <w:jc w:val="right"/>
              <w:rPr>
                <w:rFonts w:cs="Arial"/>
                <w:iCs/>
                <w:color w:val="000000"/>
                <w:sz w:val="20"/>
                <w:szCs w:val="20"/>
              </w:rPr>
            </w:pPr>
            <w:r>
              <w:rPr>
                <w:rFonts w:cs="Arial"/>
                <w:iCs/>
                <w:color w:val="000000"/>
                <w:sz w:val="20"/>
                <w:szCs w:val="20"/>
              </w:rPr>
              <w:t>279 924</w:t>
            </w:r>
          </w:p>
        </w:tc>
        <w:tc>
          <w:tcPr>
            <w:tcW w:w="609" w:type="pct"/>
            <w:tcBorders>
              <w:top w:val="single" w:sz="4" w:space="0" w:color="9C9D9F"/>
              <w:bottom w:val="single" w:sz="4" w:space="0" w:color="9C9D9F"/>
            </w:tcBorders>
            <w:shd w:val="clear" w:color="auto" w:fill="auto"/>
            <w:vAlign w:val="center"/>
          </w:tcPr>
          <w:p w14:paraId="63F5A2D6" w14:textId="70CA8643" w:rsidR="000C292F" w:rsidRPr="006C048C" w:rsidRDefault="00803DB8" w:rsidP="00E431E6">
            <w:pPr>
              <w:spacing w:before="0" w:beforeAutospacing="0" w:after="0" w:afterAutospacing="0"/>
              <w:ind w:right="94"/>
              <w:jc w:val="right"/>
              <w:rPr>
                <w:rFonts w:cs="Arial"/>
                <w:b/>
                <w:bCs/>
                <w:color w:val="000000"/>
                <w:sz w:val="20"/>
                <w:szCs w:val="20"/>
              </w:rPr>
            </w:pPr>
            <w:r>
              <w:rPr>
                <w:rFonts w:cs="Arial"/>
                <w:b/>
                <w:bCs/>
                <w:color w:val="000000"/>
                <w:sz w:val="20"/>
                <w:szCs w:val="20"/>
              </w:rPr>
              <w:t>279 924</w:t>
            </w:r>
          </w:p>
        </w:tc>
      </w:tr>
      <w:tr w:rsidR="000C292F" w:rsidRPr="006C048C" w14:paraId="447DFF05"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5A451A59"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color w:val="000000"/>
                <w:sz w:val="20"/>
                <w:szCs w:val="20"/>
              </w:rPr>
              <w:t>Nabytí vlastních akcií</w:t>
            </w:r>
          </w:p>
        </w:tc>
        <w:tc>
          <w:tcPr>
            <w:tcW w:w="602" w:type="pct"/>
            <w:tcBorders>
              <w:top w:val="single" w:sz="4" w:space="0" w:color="9C9D9F"/>
              <w:bottom w:val="single" w:sz="4" w:space="0" w:color="9C9D9F"/>
            </w:tcBorders>
            <w:shd w:val="clear" w:color="auto" w:fill="auto"/>
            <w:noWrap/>
            <w:vAlign w:val="center"/>
          </w:tcPr>
          <w:p w14:paraId="2810AFCF" w14:textId="77777777" w:rsidR="000C292F" w:rsidRPr="006C048C" w:rsidRDefault="000C292F" w:rsidP="00E431E6">
            <w:pPr>
              <w:spacing w:before="0" w:beforeAutospacing="0" w:after="0" w:afterAutospacing="0"/>
              <w:ind w:right="96"/>
              <w:jc w:val="right"/>
              <w:rPr>
                <w:color w:val="000000"/>
                <w:sz w:val="20"/>
                <w:szCs w:val="20"/>
              </w:rPr>
            </w:pPr>
            <w:r w:rsidRPr="006C048C">
              <w:rPr>
                <w:color w:val="000000"/>
                <w:sz w:val="20"/>
                <w:szCs w:val="20"/>
              </w:rPr>
              <w:t>--</w:t>
            </w:r>
          </w:p>
        </w:tc>
        <w:tc>
          <w:tcPr>
            <w:tcW w:w="601" w:type="pct"/>
            <w:tcBorders>
              <w:top w:val="single" w:sz="4" w:space="0" w:color="9C9D9F"/>
              <w:bottom w:val="single" w:sz="4" w:space="0" w:color="9C9D9F"/>
            </w:tcBorders>
            <w:vAlign w:val="center"/>
          </w:tcPr>
          <w:p w14:paraId="23356C1F" w14:textId="77777777" w:rsidR="000C292F" w:rsidRPr="006C048C" w:rsidRDefault="000C292F" w:rsidP="00E431E6">
            <w:pPr>
              <w:spacing w:before="0" w:beforeAutospacing="0" w:after="0" w:afterAutospacing="0"/>
              <w:ind w:right="96"/>
              <w:jc w:val="right"/>
              <w:rPr>
                <w:color w:val="000000"/>
                <w:sz w:val="20"/>
                <w:szCs w:val="20"/>
              </w:rPr>
            </w:pPr>
            <w:r w:rsidRPr="006C048C">
              <w:rPr>
                <w:color w:val="000000"/>
                <w:sz w:val="20"/>
                <w:szCs w:val="20"/>
              </w:rPr>
              <w:t>--</w:t>
            </w:r>
          </w:p>
        </w:tc>
        <w:tc>
          <w:tcPr>
            <w:tcW w:w="555" w:type="pct"/>
            <w:tcBorders>
              <w:top w:val="single" w:sz="4" w:space="0" w:color="9C9D9F"/>
              <w:bottom w:val="single" w:sz="4" w:space="0" w:color="9C9D9F"/>
            </w:tcBorders>
            <w:vAlign w:val="center"/>
          </w:tcPr>
          <w:p w14:paraId="5381A585" w14:textId="77777777" w:rsidR="000C292F" w:rsidRPr="006C048C" w:rsidRDefault="000C292F" w:rsidP="00E431E6">
            <w:pPr>
              <w:spacing w:before="0" w:beforeAutospacing="0" w:after="0" w:afterAutospacing="0"/>
              <w:ind w:right="96"/>
              <w:jc w:val="right"/>
              <w:rPr>
                <w:color w:val="000000"/>
                <w:sz w:val="20"/>
                <w:szCs w:val="20"/>
              </w:rPr>
            </w:pPr>
            <w:r w:rsidRPr="006C048C">
              <w:rPr>
                <w:color w:val="000000"/>
                <w:sz w:val="20"/>
                <w:szCs w:val="20"/>
              </w:rPr>
              <w:t>--</w:t>
            </w:r>
          </w:p>
        </w:tc>
        <w:tc>
          <w:tcPr>
            <w:tcW w:w="555" w:type="pct"/>
            <w:tcBorders>
              <w:top w:val="single" w:sz="4" w:space="0" w:color="9C9D9F"/>
              <w:bottom w:val="single" w:sz="4" w:space="0" w:color="9C9D9F"/>
            </w:tcBorders>
            <w:vAlign w:val="center"/>
          </w:tcPr>
          <w:p w14:paraId="2FB7CB5D" w14:textId="77777777" w:rsidR="000C292F" w:rsidRPr="006C048C" w:rsidRDefault="000C292F" w:rsidP="00E431E6">
            <w:pPr>
              <w:spacing w:before="0" w:beforeAutospacing="0" w:after="0" w:afterAutospacing="0"/>
              <w:ind w:right="96"/>
              <w:jc w:val="right"/>
              <w:rPr>
                <w:color w:val="000000"/>
                <w:sz w:val="20"/>
                <w:szCs w:val="20"/>
              </w:rPr>
            </w:pPr>
            <w:r w:rsidRPr="006C048C">
              <w:rPr>
                <w:color w:val="000000"/>
                <w:sz w:val="20"/>
                <w:szCs w:val="20"/>
              </w:rPr>
              <w:t>--</w:t>
            </w:r>
          </w:p>
        </w:tc>
        <w:tc>
          <w:tcPr>
            <w:tcW w:w="555" w:type="pct"/>
            <w:tcBorders>
              <w:top w:val="single" w:sz="4" w:space="0" w:color="9C9D9F"/>
              <w:bottom w:val="single" w:sz="4" w:space="0" w:color="9C9D9F"/>
            </w:tcBorders>
            <w:vAlign w:val="center"/>
          </w:tcPr>
          <w:p w14:paraId="390185C7" w14:textId="77777777" w:rsidR="000C292F" w:rsidRPr="006C048C" w:rsidRDefault="000C292F" w:rsidP="00E431E6">
            <w:pPr>
              <w:spacing w:before="0" w:beforeAutospacing="0" w:after="0" w:afterAutospacing="0"/>
              <w:ind w:right="96"/>
              <w:jc w:val="right"/>
              <w:rPr>
                <w:color w:val="000000"/>
                <w:sz w:val="20"/>
                <w:szCs w:val="20"/>
              </w:rPr>
            </w:pPr>
            <w:r w:rsidRPr="006C048C">
              <w:rPr>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0A75F8B7" w14:textId="77777777" w:rsidR="000C292F" w:rsidRPr="006C048C" w:rsidRDefault="000C292F" w:rsidP="00E431E6">
            <w:pPr>
              <w:spacing w:before="0" w:beforeAutospacing="0" w:after="0" w:afterAutospacing="0"/>
              <w:ind w:right="96"/>
              <w:jc w:val="right"/>
              <w:rPr>
                <w:color w:val="000000"/>
                <w:sz w:val="20"/>
                <w:szCs w:val="20"/>
              </w:rPr>
            </w:pPr>
            <w:r w:rsidRPr="006C048C">
              <w:rPr>
                <w:color w:val="000000"/>
                <w:sz w:val="20"/>
                <w:szCs w:val="20"/>
              </w:rPr>
              <w:t>--</w:t>
            </w:r>
          </w:p>
        </w:tc>
        <w:tc>
          <w:tcPr>
            <w:tcW w:w="609" w:type="pct"/>
            <w:tcBorders>
              <w:top w:val="single" w:sz="4" w:space="0" w:color="9C9D9F"/>
              <w:bottom w:val="single" w:sz="4" w:space="0" w:color="9C9D9F"/>
            </w:tcBorders>
            <w:vAlign w:val="center"/>
          </w:tcPr>
          <w:p w14:paraId="6AD33AA7" w14:textId="62D267BD" w:rsidR="000C292F" w:rsidRPr="006C048C" w:rsidRDefault="007D7000" w:rsidP="00E431E6">
            <w:pPr>
              <w:spacing w:before="0" w:beforeAutospacing="0" w:after="0" w:afterAutospacing="0"/>
              <w:ind w:right="94"/>
              <w:jc w:val="right"/>
              <w:rPr>
                <w:b/>
                <w:color w:val="000000"/>
                <w:sz w:val="20"/>
                <w:szCs w:val="20"/>
              </w:rPr>
            </w:pPr>
            <w:r>
              <w:rPr>
                <w:b/>
                <w:color w:val="000000"/>
                <w:sz w:val="20"/>
                <w:szCs w:val="20"/>
              </w:rPr>
              <w:t>--</w:t>
            </w:r>
          </w:p>
        </w:tc>
      </w:tr>
      <w:tr w:rsidR="000C292F" w:rsidRPr="006C048C" w14:paraId="2EAF636D"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30AD4174" w14:textId="77777777" w:rsidR="000C292F" w:rsidRPr="006C048C" w:rsidRDefault="000C292F" w:rsidP="00E431E6">
            <w:pPr>
              <w:spacing w:before="0" w:beforeAutospacing="0" w:after="0" w:afterAutospacing="0"/>
              <w:jc w:val="right"/>
              <w:rPr>
                <w:rFonts w:cs="Arial"/>
                <w:color w:val="000000"/>
                <w:sz w:val="20"/>
                <w:szCs w:val="20"/>
              </w:rPr>
            </w:pPr>
            <w:r w:rsidRPr="006C048C">
              <w:rPr>
                <w:rFonts w:cs="Arial"/>
                <w:color w:val="000000"/>
                <w:sz w:val="20"/>
                <w:szCs w:val="20"/>
              </w:rPr>
              <w:t>Zákonný rezervní fond tvořený ze zisku</w:t>
            </w:r>
          </w:p>
        </w:tc>
        <w:tc>
          <w:tcPr>
            <w:tcW w:w="602" w:type="pct"/>
            <w:tcBorders>
              <w:top w:val="single" w:sz="4" w:space="0" w:color="9C9D9F"/>
              <w:bottom w:val="single" w:sz="4" w:space="0" w:color="9C9D9F"/>
            </w:tcBorders>
            <w:shd w:val="clear" w:color="auto" w:fill="auto"/>
            <w:noWrap/>
            <w:vAlign w:val="center"/>
          </w:tcPr>
          <w:p w14:paraId="01B4C26E" w14:textId="547DE7D7"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14:paraId="0E93ADC9" w14:textId="7ED70EC2"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w:t>
            </w:r>
          </w:p>
        </w:tc>
        <w:tc>
          <w:tcPr>
            <w:tcW w:w="555" w:type="pct"/>
            <w:tcBorders>
              <w:top w:val="single" w:sz="4" w:space="0" w:color="9C9D9F"/>
              <w:bottom w:val="single" w:sz="4" w:space="0" w:color="9C9D9F"/>
            </w:tcBorders>
            <w:vAlign w:val="center"/>
          </w:tcPr>
          <w:p w14:paraId="527EB7DC" w14:textId="77777777" w:rsidR="000C292F" w:rsidRPr="006C048C" w:rsidRDefault="000C292F" w:rsidP="00E431E6">
            <w:pPr>
              <w:spacing w:before="0" w:beforeAutospacing="0" w:after="0" w:afterAutospacing="0"/>
              <w:ind w:right="96"/>
              <w:jc w:val="right"/>
              <w:rPr>
                <w:rFonts w:cs="Arial"/>
                <w:iCs/>
                <w:color w:val="000000"/>
                <w:sz w:val="20"/>
                <w:szCs w:val="20"/>
              </w:rPr>
            </w:pPr>
            <w:r w:rsidRPr="006C048C">
              <w:rPr>
                <w:rFonts w:cs="Arial"/>
                <w:iCs/>
                <w:color w:val="000000"/>
                <w:sz w:val="20"/>
                <w:szCs w:val="20"/>
              </w:rPr>
              <w:t>--</w:t>
            </w:r>
          </w:p>
        </w:tc>
        <w:tc>
          <w:tcPr>
            <w:tcW w:w="555" w:type="pct"/>
            <w:tcBorders>
              <w:top w:val="single" w:sz="4" w:space="0" w:color="9C9D9F"/>
              <w:bottom w:val="single" w:sz="4" w:space="0" w:color="9C9D9F"/>
            </w:tcBorders>
            <w:vAlign w:val="center"/>
          </w:tcPr>
          <w:p w14:paraId="62605A79" w14:textId="5D34C500" w:rsidR="000C292F" w:rsidRPr="006C048C" w:rsidRDefault="007D7000" w:rsidP="00E431E6">
            <w:pPr>
              <w:spacing w:before="0" w:beforeAutospacing="0" w:after="0" w:afterAutospacing="0"/>
              <w:ind w:right="96"/>
              <w:jc w:val="right"/>
              <w:rPr>
                <w:rFonts w:cs="Arial"/>
                <w:b/>
                <w:iCs/>
                <w:color w:val="000000"/>
                <w:sz w:val="20"/>
                <w:szCs w:val="20"/>
              </w:rPr>
            </w:pPr>
            <w:r>
              <w:rPr>
                <w:rFonts w:cs="Arial"/>
                <w:b/>
                <w:iCs/>
                <w:color w:val="000000"/>
                <w:sz w:val="20"/>
                <w:szCs w:val="20"/>
              </w:rPr>
              <w:t>--</w:t>
            </w:r>
          </w:p>
        </w:tc>
        <w:tc>
          <w:tcPr>
            <w:tcW w:w="555" w:type="pct"/>
            <w:tcBorders>
              <w:top w:val="single" w:sz="4" w:space="0" w:color="9C9D9F"/>
              <w:bottom w:val="single" w:sz="4" w:space="0" w:color="9C9D9F"/>
            </w:tcBorders>
            <w:shd w:val="clear" w:color="auto" w:fill="auto"/>
            <w:vAlign w:val="center"/>
          </w:tcPr>
          <w:p w14:paraId="257BAED9" w14:textId="2E5C4192" w:rsidR="000C292F" w:rsidRPr="006C048C" w:rsidRDefault="007D7000" w:rsidP="00E431E6">
            <w:pPr>
              <w:spacing w:before="0" w:beforeAutospacing="0" w:after="0" w:afterAutospacing="0"/>
              <w:ind w:right="96"/>
              <w:jc w:val="right"/>
              <w:rPr>
                <w:rFonts w:cs="Arial"/>
                <w:b/>
                <w:iCs/>
                <w:color w:val="000000"/>
                <w:sz w:val="20"/>
                <w:szCs w:val="20"/>
              </w:rPr>
            </w:pPr>
            <w:r>
              <w:rPr>
                <w:rFonts w:cs="Arial"/>
                <w:b/>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14EF7AF9" w14:textId="70DF89E8" w:rsidR="000C292F" w:rsidRPr="006C048C" w:rsidRDefault="007D7000" w:rsidP="00E431E6">
            <w:pPr>
              <w:spacing w:before="0" w:beforeAutospacing="0" w:after="0" w:afterAutospacing="0"/>
              <w:ind w:right="96"/>
              <w:jc w:val="right"/>
              <w:rPr>
                <w:rFonts w:cs="Arial"/>
                <w:iCs/>
                <w:color w:val="000000"/>
                <w:sz w:val="20"/>
                <w:szCs w:val="20"/>
              </w:rPr>
            </w:pPr>
            <w:r>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14:paraId="424D6884" w14:textId="24033876" w:rsidR="000C292F" w:rsidRPr="006C048C" w:rsidRDefault="007D7000" w:rsidP="00E431E6">
            <w:pPr>
              <w:spacing w:before="0" w:beforeAutospacing="0" w:after="0" w:afterAutospacing="0"/>
              <w:ind w:right="94"/>
              <w:jc w:val="right"/>
              <w:rPr>
                <w:rFonts w:cs="Arial"/>
                <w:b/>
                <w:bCs/>
                <w:color w:val="000000"/>
                <w:sz w:val="20"/>
                <w:szCs w:val="20"/>
              </w:rPr>
            </w:pPr>
            <w:r>
              <w:rPr>
                <w:rFonts w:cs="Arial"/>
                <w:b/>
                <w:bCs/>
                <w:color w:val="000000"/>
                <w:sz w:val="20"/>
                <w:szCs w:val="20"/>
              </w:rPr>
              <w:t>--</w:t>
            </w:r>
          </w:p>
        </w:tc>
      </w:tr>
      <w:tr w:rsidR="000C292F" w:rsidRPr="006C048C" w14:paraId="4F93A063" w14:textId="77777777" w:rsidTr="00E431E6">
        <w:trPr>
          <w:trHeight w:val="20"/>
        </w:trPr>
        <w:tc>
          <w:tcPr>
            <w:tcW w:w="906" w:type="pct"/>
            <w:tcBorders>
              <w:top w:val="single" w:sz="4" w:space="0" w:color="9C9D9F"/>
            </w:tcBorders>
            <w:shd w:val="clear" w:color="auto" w:fill="auto"/>
            <w:noWrap/>
            <w:vAlign w:val="center"/>
          </w:tcPr>
          <w:p w14:paraId="19860D6A" w14:textId="77777777" w:rsidR="000C292F" w:rsidRPr="006C048C" w:rsidRDefault="000C292F" w:rsidP="00E431E6">
            <w:pPr>
              <w:spacing w:before="0" w:beforeAutospacing="0" w:after="0" w:afterAutospacing="0"/>
              <w:jc w:val="right"/>
              <w:rPr>
                <w:rFonts w:cs="Arial"/>
                <w:b/>
                <w:bCs/>
                <w:color w:val="000000"/>
                <w:sz w:val="20"/>
                <w:szCs w:val="20"/>
              </w:rPr>
            </w:pPr>
          </w:p>
        </w:tc>
        <w:tc>
          <w:tcPr>
            <w:tcW w:w="602" w:type="pct"/>
            <w:tcBorders>
              <w:top w:val="single" w:sz="4" w:space="0" w:color="9C9D9F"/>
            </w:tcBorders>
            <w:shd w:val="clear" w:color="auto" w:fill="auto"/>
            <w:noWrap/>
            <w:vAlign w:val="center"/>
          </w:tcPr>
          <w:p w14:paraId="46BD538E"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01" w:type="pct"/>
            <w:tcBorders>
              <w:top w:val="single" w:sz="4" w:space="0" w:color="9C9D9F"/>
            </w:tcBorders>
            <w:shd w:val="clear" w:color="auto" w:fill="auto"/>
            <w:vAlign w:val="center"/>
          </w:tcPr>
          <w:p w14:paraId="683B4354"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4492D810" w14:textId="400497D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5077C2E4"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shd w:val="clear" w:color="auto" w:fill="auto"/>
            <w:vAlign w:val="center"/>
          </w:tcPr>
          <w:p w14:paraId="1D7C7FF2"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14:paraId="4C451598" w14:textId="77777777" w:rsidR="000C292F" w:rsidRPr="006C048C" w:rsidRDefault="000C292F" w:rsidP="00E431E6">
            <w:pPr>
              <w:spacing w:before="0" w:beforeAutospacing="0" w:after="0" w:afterAutospacing="0"/>
              <w:ind w:right="96"/>
              <w:jc w:val="right"/>
              <w:rPr>
                <w:rFonts w:cs="Arial"/>
                <w:b/>
                <w:bCs/>
                <w:color w:val="000000"/>
                <w:sz w:val="20"/>
                <w:szCs w:val="20"/>
              </w:rPr>
            </w:pPr>
          </w:p>
        </w:tc>
        <w:tc>
          <w:tcPr>
            <w:tcW w:w="609" w:type="pct"/>
            <w:tcBorders>
              <w:top w:val="single" w:sz="4" w:space="0" w:color="9C9D9F"/>
            </w:tcBorders>
            <w:shd w:val="clear" w:color="auto" w:fill="auto"/>
            <w:vAlign w:val="center"/>
          </w:tcPr>
          <w:p w14:paraId="115A4848" w14:textId="77777777" w:rsidR="000C292F" w:rsidRPr="006C048C" w:rsidRDefault="000C292F" w:rsidP="00E431E6">
            <w:pPr>
              <w:spacing w:before="0" w:beforeAutospacing="0" w:after="0" w:afterAutospacing="0"/>
              <w:ind w:right="94"/>
              <w:jc w:val="right"/>
              <w:rPr>
                <w:rFonts w:cs="Arial"/>
                <w:b/>
                <w:bCs/>
                <w:color w:val="000000"/>
                <w:sz w:val="20"/>
                <w:szCs w:val="20"/>
              </w:rPr>
            </w:pPr>
          </w:p>
        </w:tc>
      </w:tr>
      <w:tr w:rsidR="000C292F" w:rsidRPr="006C048C" w14:paraId="5740EA64" w14:textId="77777777" w:rsidTr="00E431E6">
        <w:trPr>
          <w:trHeight w:val="20"/>
        </w:trPr>
        <w:tc>
          <w:tcPr>
            <w:tcW w:w="906" w:type="pct"/>
            <w:shd w:val="clear" w:color="auto" w:fill="9C9D9F"/>
            <w:noWrap/>
            <w:vAlign w:val="center"/>
          </w:tcPr>
          <w:p w14:paraId="6D7CD293" w14:textId="77777777" w:rsidR="000C292F" w:rsidRPr="006C048C" w:rsidRDefault="000C292F" w:rsidP="00E431E6">
            <w:pPr>
              <w:spacing w:before="0" w:beforeAutospacing="0" w:after="0" w:afterAutospacing="0"/>
              <w:jc w:val="right"/>
              <w:rPr>
                <w:rFonts w:cs="Arial"/>
                <w:b/>
                <w:bCs/>
                <w:color w:val="000000"/>
                <w:sz w:val="20"/>
                <w:szCs w:val="20"/>
              </w:rPr>
            </w:pPr>
            <w:r w:rsidRPr="006C048C">
              <w:rPr>
                <w:rFonts w:cs="Arial"/>
                <w:b/>
                <w:bCs/>
                <w:color w:val="000000"/>
                <w:sz w:val="20"/>
                <w:szCs w:val="20"/>
              </w:rPr>
              <w:t>k 30. červnu 2018</w:t>
            </w:r>
          </w:p>
        </w:tc>
        <w:tc>
          <w:tcPr>
            <w:tcW w:w="602" w:type="pct"/>
            <w:shd w:val="clear" w:color="auto" w:fill="9C9D9F"/>
            <w:noWrap/>
            <w:vAlign w:val="center"/>
          </w:tcPr>
          <w:p w14:paraId="68A73EB8" w14:textId="248DB818" w:rsidR="000C292F" w:rsidRPr="006C048C" w:rsidRDefault="00C84F6F" w:rsidP="00E431E6">
            <w:pPr>
              <w:spacing w:before="0" w:beforeAutospacing="0" w:after="0" w:afterAutospacing="0"/>
              <w:ind w:right="96"/>
              <w:jc w:val="right"/>
              <w:rPr>
                <w:rFonts w:cs="Arial"/>
                <w:b/>
                <w:iCs/>
                <w:color w:val="000000"/>
                <w:sz w:val="20"/>
                <w:szCs w:val="20"/>
              </w:rPr>
            </w:pPr>
            <w:r>
              <w:rPr>
                <w:rFonts w:cs="Arial"/>
                <w:b/>
                <w:iCs/>
                <w:color w:val="000000"/>
                <w:sz w:val="20"/>
                <w:szCs w:val="20"/>
              </w:rPr>
              <w:t>299</w:t>
            </w:r>
            <w:r w:rsidR="00803DB8">
              <w:rPr>
                <w:rFonts w:cs="Arial"/>
                <w:b/>
                <w:iCs/>
                <w:color w:val="000000"/>
                <w:sz w:val="20"/>
                <w:szCs w:val="20"/>
              </w:rPr>
              <w:t> </w:t>
            </w:r>
            <w:r>
              <w:rPr>
                <w:rFonts w:cs="Arial"/>
                <w:b/>
                <w:iCs/>
                <w:color w:val="000000"/>
                <w:sz w:val="20"/>
                <w:szCs w:val="20"/>
              </w:rPr>
              <w:t>857</w:t>
            </w:r>
          </w:p>
        </w:tc>
        <w:tc>
          <w:tcPr>
            <w:tcW w:w="601" w:type="pct"/>
            <w:shd w:val="clear" w:color="auto" w:fill="9C9D9F"/>
            <w:vAlign w:val="center"/>
          </w:tcPr>
          <w:p w14:paraId="731E19A5" w14:textId="6BDC3F04" w:rsidR="000C292F" w:rsidRPr="006C048C" w:rsidRDefault="00C84F6F" w:rsidP="00E431E6">
            <w:pPr>
              <w:spacing w:before="0" w:beforeAutospacing="0" w:after="0" w:afterAutospacing="0"/>
              <w:ind w:right="96"/>
              <w:jc w:val="right"/>
              <w:rPr>
                <w:rFonts w:cs="Arial"/>
                <w:b/>
                <w:iCs/>
                <w:color w:val="000000"/>
                <w:sz w:val="20"/>
                <w:szCs w:val="20"/>
              </w:rPr>
            </w:pPr>
            <w:r>
              <w:rPr>
                <w:rFonts w:cs="Arial"/>
                <w:b/>
                <w:iCs/>
                <w:color w:val="000000"/>
                <w:sz w:val="20"/>
                <w:szCs w:val="20"/>
              </w:rPr>
              <w:t>86</w:t>
            </w:r>
            <w:r w:rsidR="00803DB8">
              <w:rPr>
                <w:rFonts w:cs="Arial"/>
                <w:b/>
                <w:iCs/>
                <w:color w:val="000000"/>
                <w:sz w:val="20"/>
                <w:szCs w:val="20"/>
              </w:rPr>
              <w:t> </w:t>
            </w:r>
            <w:r>
              <w:rPr>
                <w:rFonts w:cs="Arial"/>
                <w:b/>
                <w:iCs/>
                <w:color w:val="000000"/>
                <w:sz w:val="20"/>
                <w:szCs w:val="20"/>
              </w:rPr>
              <w:t>701</w:t>
            </w:r>
          </w:p>
        </w:tc>
        <w:tc>
          <w:tcPr>
            <w:tcW w:w="555" w:type="pct"/>
            <w:shd w:val="clear" w:color="auto" w:fill="9C9D9F"/>
            <w:vAlign w:val="center"/>
          </w:tcPr>
          <w:p w14:paraId="64CAB1FF" w14:textId="77777777" w:rsidR="000C292F" w:rsidRPr="006C048C" w:rsidRDefault="000C292F" w:rsidP="00E431E6">
            <w:pPr>
              <w:spacing w:before="0" w:beforeAutospacing="0" w:after="0" w:afterAutospacing="0"/>
              <w:ind w:right="96"/>
              <w:jc w:val="right"/>
              <w:rPr>
                <w:rFonts w:cs="Arial"/>
                <w:b/>
                <w:bCs/>
                <w:color w:val="000000"/>
                <w:sz w:val="20"/>
                <w:szCs w:val="20"/>
              </w:rPr>
            </w:pPr>
            <w:r w:rsidRPr="006C048C">
              <w:rPr>
                <w:rFonts w:cs="Arial"/>
                <w:b/>
                <w:bCs/>
                <w:color w:val="000000"/>
                <w:sz w:val="20"/>
                <w:szCs w:val="20"/>
              </w:rPr>
              <w:t>0</w:t>
            </w:r>
          </w:p>
        </w:tc>
        <w:tc>
          <w:tcPr>
            <w:tcW w:w="555" w:type="pct"/>
            <w:shd w:val="clear" w:color="auto" w:fill="9C9D9F"/>
            <w:vAlign w:val="center"/>
          </w:tcPr>
          <w:p w14:paraId="4F1B6292" w14:textId="7B6A7589" w:rsidR="000C292F" w:rsidRPr="006C048C" w:rsidRDefault="00803DB8" w:rsidP="00E431E6">
            <w:pPr>
              <w:spacing w:before="0" w:beforeAutospacing="0" w:after="0" w:afterAutospacing="0"/>
              <w:ind w:right="96"/>
              <w:jc w:val="right"/>
              <w:rPr>
                <w:rFonts w:cs="Arial"/>
                <w:b/>
                <w:bCs/>
                <w:color w:val="000000"/>
                <w:sz w:val="20"/>
                <w:szCs w:val="20"/>
              </w:rPr>
            </w:pPr>
            <w:r>
              <w:rPr>
                <w:rFonts w:cs="Arial"/>
                <w:b/>
                <w:bCs/>
                <w:color w:val="000000"/>
                <w:sz w:val="20"/>
                <w:szCs w:val="20"/>
              </w:rPr>
              <w:t>282 375</w:t>
            </w:r>
          </w:p>
        </w:tc>
        <w:tc>
          <w:tcPr>
            <w:tcW w:w="555" w:type="pct"/>
            <w:shd w:val="clear" w:color="auto" w:fill="9C9D9F"/>
            <w:vAlign w:val="center"/>
          </w:tcPr>
          <w:p w14:paraId="68A15A32" w14:textId="034C0EF7" w:rsidR="000C292F" w:rsidRPr="006C048C" w:rsidDel="002D1E65" w:rsidRDefault="00C84F6F" w:rsidP="00E431E6">
            <w:pPr>
              <w:spacing w:before="0" w:beforeAutospacing="0" w:after="0" w:afterAutospacing="0"/>
              <w:ind w:right="96"/>
              <w:jc w:val="right"/>
              <w:rPr>
                <w:rFonts w:cs="Arial"/>
                <w:b/>
                <w:bCs/>
                <w:color w:val="000000"/>
                <w:sz w:val="20"/>
                <w:szCs w:val="20"/>
              </w:rPr>
            </w:pPr>
            <w:r>
              <w:rPr>
                <w:rFonts w:cs="Arial"/>
                <w:b/>
                <w:bCs/>
                <w:color w:val="000000"/>
                <w:sz w:val="20"/>
                <w:szCs w:val="20"/>
              </w:rPr>
              <w:t>-6</w:t>
            </w:r>
            <w:r w:rsidR="00FA48FD">
              <w:rPr>
                <w:rFonts w:cs="Arial"/>
                <w:b/>
                <w:bCs/>
                <w:color w:val="000000"/>
                <w:sz w:val="20"/>
                <w:szCs w:val="20"/>
              </w:rPr>
              <w:t> </w:t>
            </w:r>
            <w:r>
              <w:rPr>
                <w:rFonts w:cs="Arial"/>
                <w:b/>
                <w:bCs/>
                <w:color w:val="000000"/>
                <w:sz w:val="20"/>
                <w:szCs w:val="20"/>
              </w:rPr>
              <w:t>183</w:t>
            </w:r>
          </w:p>
        </w:tc>
        <w:tc>
          <w:tcPr>
            <w:tcW w:w="617" w:type="pct"/>
            <w:shd w:val="clear" w:color="auto" w:fill="9C9D9F"/>
            <w:noWrap/>
            <w:vAlign w:val="center"/>
          </w:tcPr>
          <w:p w14:paraId="110E243B" w14:textId="3E2BF6FD" w:rsidR="000C292F" w:rsidRPr="006C048C" w:rsidRDefault="00803DB8" w:rsidP="00E431E6">
            <w:pPr>
              <w:spacing w:before="0" w:beforeAutospacing="0" w:after="0" w:afterAutospacing="0"/>
              <w:ind w:right="96"/>
              <w:jc w:val="right"/>
              <w:rPr>
                <w:rFonts w:cs="Arial"/>
                <w:b/>
                <w:bCs/>
                <w:color w:val="000000"/>
                <w:sz w:val="20"/>
                <w:szCs w:val="20"/>
              </w:rPr>
            </w:pPr>
            <w:r>
              <w:rPr>
                <w:rFonts w:cs="Arial"/>
                <w:b/>
                <w:bCs/>
                <w:color w:val="000000"/>
                <w:sz w:val="20"/>
                <w:szCs w:val="20"/>
              </w:rPr>
              <w:t>3 806 349</w:t>
            </w:r>
          </w:p>
        </w:tc>
        <w:tc>
          <w:tcPr>
            <w:tcW w:w="609" w:type="pct"/>
            <w:shd w:val="clear" w:color="auto" w:fill="9C9D9F"/>
            <w:vAlign w:val="center"/>
          </w:tcPr>
          <w:p w14:paraId="6690ACC5" w14:textId="37AF293E" w:rsidR="000C292F" w:rsidRPr="006C048C" w:rsidRDefault="00803DB8" w:rsidP="00E431E6">
            <w:pPr>
              <w:spacing w:before="0" w:beforeAutospacing="0" w:after="0" w:afterAutospacing="0"/>
              <w:ind w:right="94"/>
              <w:jc w:val="right"/>
              <w:rPr>
                <w:rFonts w:cs="Arial"/>
                <w:b/>
                <w:bCs/>
                <w:color w:val="000000"/>
                <w:sz w:val="20"/>
                <w:szCs w:val="20"/>
              </w:rPr>
            </w:pPr>
            <w:r>
              <w:rPr>
                <w:rFonts w:cs="Arial"/>
                <w:b/>
                <w:bCs/>
                <w:color w:val="000000"/>
                <w:sz w:val="20"/>
                <w:szCs w:val="20"/>
              </w:rPr>
              <w:t>4 469 099</w:t>
            </w:r>
          </w:p>
        </w:tc>
      </w:tr>
    </w:tbl>
    <w:p w14:paraId="706CDC96" w14:textId="77777777" w:rsidR="000C292F" w:rsidRPr="006C048C" w:rsidRDefault="000C292F" w:rsidP="000C292F">
      <w:pPr>
        <w:spacing w:before="0" w:beforeAutospacing="0" w:after="0" w:afterAutospacing="0"/>
        <w:jc w:val="left"/>
      </w:pPr>
    </w:p>
    <w:p w14:paraId="1B5753AA" w14:textId="77777777" w:rsidR="000C292F" w:rsidRPr="006C048C" w:rsidRDefault="000C292F" w:rsidP="000C292F">
      <w:pPr>
        <w:spacing w:before="0" w:beforeAutospacing="0" w:after="0" w:afterAutospacing="0"/>
        <w:jc w:val="left"/>
      </w:pPr>
      <w:r w:rsidRPr="006C048C">
        <w:br w:type="page"/>
      </w:r>
    </w:p>
    <w:p w14:paraId="00316D44" w14:textId="77777777" w:rsidR="000C292F" w:rsidRPr="006C048C" w:rsidRDefault="000C292F" w:rsidP="000C292F">
      <w:pPr>
        <w:pStyle w:val="Nadpis2"/>
      </w:pPr>
      <w:bookmarkStart w:id="105" w:name="_Toc522086620"/>
      <w:r w:rsidRPr="006C048C">
        <w:lastRenderedPageBreak/>
        <w:t>Vybrané vysvětlující poznámky k mezitímní konsolidované účetní závěrce</w:t>
      </w:r>
      <w:bookmarkEnd w:id="105"/>
      <w:r w:rsidRPr="006C048C">
        <w:t xml:space="preserve"> </w:t>
      </w:r>
    </w:p>
    <w:p w14:paraId="03396847" w14:textId="77777777" w:rsidR="000C292F" w:rsidRPr="006C048C" w:rsidRDefault="000C292F" w:rsidP="000546B5">
      <w:pPr>
        <w:pStyle w:val="Nadpis4"/>
      </w:pPr>
      <w:r w:rsidRPr="006C048C">
        <w:t>Zaokrouhlování a prezentace</w:t>
      </w:r>
    </w:p>
    <w:p w14:paraId="4C622377" w14:textId="77777777" w:rsidR="000C292F" w:rsidRPr="006C048C" w:rsidRDefault="000C292F" w:rsidP="000C292F">
      <w:pPr>
        <w:rPr>
          <w:rFonts w:cs="Arial"/>
          <w:color w:val="000000"/>
        </w:rPr>
      </w:pPr>
      <w:r w:rsidRPr="006C048C">
        <w:rPr>
          <w:rFonts w:cs="Arial"/>
          <w:color w:val="000000"/>
        </w:rPr>
        <w:t>Částky objevující se v této mezitímní účetní závěrce byly zaokrouhleny na jedno desetinné místo v souladu s běžnými principy zaokrouhlování. V důsledku toho se součet jednotlivých položek může lišit od částky uvedené na součtovém řádku.</w:t>
      </w:r>
    </w:p>
    <w:p w14:paraId="6BF772DE" w14:textId="77777777" w:rsidR="000C292F" w:rsidRPr="006C048C" w:rsidRDefault="000C292F" w:rsidP="000C292F">
      <w:pPr>
        <w:pStyle w:val="Nadpis4"/>
      </w:pPr>
      <w:r w:rsidRPr="006C048C">
        <w:t>Základní předpoklady přípravy účetních výkazů</w:t>
      </w:r>
    </w:p>
    <w:p w14:paraId="0EFEA916" w14:textId="77777777" w:rsidR="000C292F" w:rsidRPr="006C048C" w:rsidRDefault="000C292F" w:rsidP="000C292F">
      <w:r w:rsidRPr="006C048C">
        <w:t xml:space="preserve">Tyto účetní výkazy byly připraveny v souladu s Mezinárodními standardy účetního výkaznictví (IFRS) a Mezinárodními účetními standardy IAS 34 pro Mezitímní účetní výkaznictví ve znění přijatém Evropskou unií. Mezitímní účetní výkazy ve zkrácené podobě neobsahují veškeré informace a sdělení požadované v celoročních účetních výkazech. Tato mezitímní zpráva nebyla auditována externími auditory Společnosti. </w:t>
      </w:r>
    </w:p>
    <w:p w14:paraId="5AA95CF9" w14:textId="77777777" w:rsidR="000C292F" w:rsidRPr="006C048C" w:rsidRDefault="000C292F" w:rsidP="000C292F">
      <w:r w:rsidRPr="006C048C">
        <w:rPr>
          <w:rFonts w:cs="Arial"/>
          <w:color w:val="000000"/>
        </w:rPr>
        <w:t>Vzhledem k přesunu sídla Společnosti do České Republiky a změně státní příslušnosti Společnosti z lucemburské státní příslušnosti na českou státní příslušnost, Společnost změnila svou funkční a prezentační měnu z EUR na Kč s účinností od 1. ledna 2018.</w:t>
      </w:r>
    </w:p>
    <w:p w14:paraId="2E60AE33" w14:textId="77777777" w:rsidR="000C292F" w:rsidRPr="006C048C" w:rsidRDefault="000C292F" w:rsidP="000C292F">
      <w:pPr>
        <w:pStyle w:val="Nadpis4"/>
      </w:pPr>
      <w:r w:rsidRPr="006C048C">
        <w:t xml:space="preserve">Zásadní účetní postupy používané Společností </w:t>
      </w:r>
    </w:p>
    <w:p w14:paraId="4E07AA07" w14:textId="77777777" w:rsidR="000C292F" w:rsidRPr="006C048C" w:rsidRDefault="000C292F" w:rsidP="000C292F">
      <w:r w:rsidRPr="006C048C">
        <w:t xml:space="preserve">Základní předpoklady přípravy účetních výkazů, zásadní účetní postupy, prezentace a metody výpočtu byly v těchto finančních výkazech ve zkrácené podobě aplikovány shodně s finančními výkazy společností skupiny za účetní rok končící 31. prosincem 2017. </w:t>
      </w:r>
    </w:p>
    <w:p w14:paraId="17129DAC" w14:textId="77777777" w:rsidR="000C292F" w:rsidRPr="006C048C" w:rsidRDefault="000C292F" w:rsidP="000546B5">
      <w:pPr>
        <w:pStyle w:val="Nadpis4"/>
      </w:pPr>
      <w:bookmarkStart w:id="106" w:name="_Toc519774602"/>
      <w:r w:rsidRPr="006C048C">
        <w:t>Zavedení nových a revidovaných standardů</w:t>
      </w:r>
      <w:bookmarkEnd w:id="106"/>
    </w:p>
    <w:p w14:paraId="40377BC4" w14:textId="77777777" w:rsidR="000C292F" w:rsidRPr="006C048C" w:rsidRDefault="000C292F" w:rsidP="000C292F">
      <w:pPr>
        <w:spacing w:after="240"/>
        <w:rPr>
          <w:rFonts w:cs="Arial"/>
          <w:color w:val="000000"/>
        </w:rPr>
      </w:pPr>
      <w:r w:rsidRPr="006C048C">
        <w:rPr>
          <w:rFonts w:cs="Arial"/>
          <w:color w:val="000000"/>
        </w:rPr>
        <w:t>Očekávaný dopad nových standardů, jejich změn a interpretací na budoucí konsolidované účetní závěrky Skupiny byl popsán v konsolidované účetní závěrce Společnosti za rok končící 31. prosince 2017.</w:t>
      </w:r>
    </w:p>
    <w:p w14:paraId="2B93F575" w14:textId="15487D6A" w:rsidR="000C292F" w:rsidRPr="006C048C" w:rsidRDefault="00B05CBE" w:rsidP="000C292F">
      <w:pPr>
        <w:spacing w:after="120"/>
        <w:rPr>
          <w:rFonts w:cs="Arial"/>
          <w:color w:val="000000"/>
        </w:rPr>
      </w:pPr>
      <w:r>
        <w:rPr>
          <w:rFonts w:cs="Arial"/>
          <w:color w:val="000000"/>
        </w:rPr>
        <w:t>K 1.1.</w:t>
      </w:r>
      <w:r w:rsidR="000C292F" w:rsidRPr="006C048C">
        <w:rPr>
          <w:rFonts w:cs="Arial"/>
          <w:color w:val="000000"/>
        </w:rPr>
        <w:t>2018 Společnost poprvé aplikovala standard IFRS 15 a IFRS 9. Dopad aplikace těchto nových IFRS standardů na nerozdělený zisk je uveden v Konsolidovaném přehledu o</w:t>
      </w:r>
      <w:r w:rsidR="00CE23ED">
        <w:rPr>
          <w:rFonts w:cs="Arial"/>
          <w:color w:val="000000"/>
        </w:rPr>
        <w:t> </w:t>
      </w:r>
      <w:r w:rsidR="000C292F" w:rsidRPr="006C048C">
        <w:rPr>
          <w:rFonts w:cs="Arial"/>
          <w:color w:val="000000"/>
        </w:rPr>
        <w:t>změnách vlastního kapitálu a v tabulce níže.</w:t>
      </w:r>
    </w:p>
    <w:tbl>
      <w:tblPr>
        <w:tblW w:w="5000" w:type="pct"/>
        <w:tblBorders>
          <w:top w:val="single" w:sz="4" w:space="0" w:color="9C9D9F"/>
          <w:bottom w:val="single" w:sz="4" w:space="0" w:color="9C9D9F"/>
          <w:insideH w:val="single" w:sz="4" w:space="0" w:color="9C9D9F"/>
        </w:tblBorders>
        <w:tblCellMar>
          <w:left w:w="0" w:type="dxa"/>
          <w:right w:w="0" w:type="dxa"/>
        </w:tblCellMar>
        <w:tblLook w:val="04A0" w:firstRow="1" w:lastRow="0" w:firstColumn="1" w:lastColumn="0" w:noHBand="0" w:noVBand="1"/>
      </w:tblPr>
      <w:tblGrid>
        <w:gridCol w:w="6227"/>
        <w:gridCol w:w="2845"/>
      </w:tblGrid>
      <w:tr w:rsidR="000C292F" w:rsidRPr="006C048C" w14:paraId="50C6701C" w14:textId="77777777" w:rsidTr="000546B5">
        <w:trPr>
          <w:trHeight w:val="510"/>
        </w:trPr>
        <w:tc>
          <w:tcPr>
            <w:tcW w:w="3432" w:type="pct"/>
            <w:shd w:val="clear" w:color="auto" w:fill="2A7FC6"/>
            <w:noWrap/>
            <w:tcMar>
              <w:top w:w="15" w:type="dxa"/>
              <w:left w:w="15" w:type="dxa"/>
              <w:bottom w:w="0" w:type="dxa"/>
              <w:right w:w="15" w:type="dxa"/>
            </w:tcMar>
            <w:vAlign w:val="bottom"/>
            <w:hideMark/>
          </w:tcPr>
          <w:p w14:paraId="663C4884" w14:textId="77777777" w:rsidR="000C292F" w:rsidRPr="006C048C" w:rsidRDefault="000C292F" w:rsidP="00E431E6">
            <w:pPr>
              <w:rPr>
                <w:rFonts w:ascii="Calibri" w:hAnsi="Calibri" w:cs="Calibri"/>
                <w:b/>
                <w:bCs/>
                <w:color w:val="FFFFFF"/>
                <w:sz w:val="20"/>
                <w:szCs w:val="20"/>
              </w:rPr>
            </w:pPr>
            <w:r w:rsidRPr="006C048C">
              <w:rPr>
                <w:rFonts w:ascii="Calibri" w:hAnsi="Calibri" w:cs="Calibri"/>
                <w:b/>
                <w:bCs/>
                <w:color w:val="FFFFFF"/>
                <w:sz w:val="20"/>
                <w:szCs w:val="20"/>
              </w:rPr>
              <w:t> </w:t>
            </w:r>
          </w:p>
        </w:tc>
        <w:tc>
          <w:tcPr>
            <w:tcW w:w="1568" w:type="pct"/>
            <w:shd w:val="clear" w:color="auto" w:fill="2A7FC6"/>
            <w:tcMar>
              <w:top w:w="15" w:type="dxa"/>
              <w:left w:w="15" w:type="dxa"/>
              <w:bottom w:w="0" w:type="dxa"/>
              <w:right w:w="15" w:type="dxa"/>
            </w:tcMar>
            <w:vAlign w:val="bottom"/>
            <w:hideMark/>
          </w:tcPr>
          <w:p w14:paraId="31B6E6F1" w14:textId="77777777" w:rsidR="000C292F" w:rsidRPr="006C048C" w:rsidRDefault="000C292F" w:rsidP="00E431E6">
            <w:pPr>
              <w:jc w:val="right"/>
              <w:rPr>
                <w:rFonts w:ascii="Calibri" w:hAnsi="Calibri" w:cs="Calibri"/>
                <w:b/>
                <w:bCs/>
                <w:color w:val="FFFFFF"/>
                <w:sz w:val="20"/>
                <w:szCs w:val="20"/>
              </w:rPr>
            </w:pPr>
            <w:r w:rsidRPr="006C048C">
              <w:rPr>
                <w:rFonts w:ascii="Calibri" w:hAnsi="Calibri" w:cs="Calibri"/>
                <w:b/>
                <w:bCs/>
                <w:color w:val="FFFFFF"/>
                <w:sz w:val="20"/>
                <w:szCs w:val="20"/>
              </w:rPr>
              <w:t>Dopad aplikace nových IFRS standardů</w:t>
            </w:r>
          </w:p>
        </w:tc>
      </w:tr>
      <w:tr w:rsidR="000C292F" w:rsidRPr="006C048C" w14:paraId="7B06FCF7" w14:textId="77777777" w:rsidTr="00E431E6">
        <w:trPr>
          <w:trHeight w:val="255"/>
        </w:trPr>
        <w:tc>
          <w:tcPr>
            <w:tcW w:w="3432" w:type="pct"/>
            <w:shd w:val="clear" w:color="auto" w:fill="auto"/>
            <w:noWrap/>
            <w:tcMar>
              <w:top w:w="15" w:type="dxa"/>
              <w:left w:w="15" w:type="dxa"/>
              <w:bottom w:w="0" w:type="dxa"/>
              <w:right w:w="15" w:type="dxa"/>
            </w:tcMar>
            <w:vAlign w:val="bottom"/>
            <w:hideMark/>
          </w:tcPr>
          <w:p w14:paraId="67C7C3BA" w14:textId="77777777" w:rsidR="000C292F" w:rsidRPr="006C048C" w:rsidRDefault="000C292F" w:rsidP="00E431E6">
            <w:pPr>
              <w:rPr>
                <w:rFonts w:ascii="Calibri" w:hAnsi="Calibri" w:cs="Calibri"/>
                <w:color w:val="000000"/>
                <w:sz w:val="20"/>
                <w:szCs w:val="20"/>
              </w:rPr>
            </w:pPr>
            <w:r w:rsidRPr="006C048C">
              <w:rPr>
                <w:rFonts w:ascii="Calibri" w:hAnsi="Calibri" w:cs="Calibri"/>
                <w:color w:val="000000"/>
                <w:sz w:val="20"/>
                <w:szCs w:val="20"/>
              </w:rPr>
              <w:t>Pohledávky z obchodních vztahů a jiné pohledávky</w:t>
            </w:r>
          </w:p>
        </w:tc>
        <w:tc>
          <w:tcPr>
            <w:tcW w:w="1568" w:type="pct"/>
            <w:shd w:val="clear" w:color="auto" w:fill="auto"/>
            <w:noWrap/>
            <w:tcMar>
              <w:top w:w="15" w:type="dxa"/>
              <w:left w:w="15" w:type="dxa"/>
              <w:bottom w:w="0" w:type="dxa"/>
              <w:right w:w="15" w:type="dxa"/>
            </w:tcMar>
            <w:vAlign w:val="bottom"/>
          </w:tcPr>
          <w:p w14:paraId="75ACA370" w14:textId="605C3EDA" w:rsidR="000C292F" w:rsidRPr="006C048C" w:rsidRDefault="00B05CBE" w:rsidP="00E431E6">
            <w:pPr>
              <w:jc w:val="right"/>
              <w:rPr>
                <w:rFonts w:ascii="Calibri" w:hAnsi="Calibri" w:cs="Calibri"/>
                <w:color w:val="000000"/>
                <w:sz w:val="20"/>
                <w:szCs w:val="20"/>
              </w:rPr>
            </w:pPr>
            <w:r>
              <w:rPr>
                <w:rFonts w:ascii="Calibri" w:hAnsi="Calibri" w:cs="Calibri"/>
                <w:color w:val="000000"/>
                <w:sz w:val="20"/>
                <w:szCs w:val="20"/>
              </w:rPr>
              <w:t>429 907</w:t>
            </w:r>
          </w:p>
        </w:tc>
      </w:tr>
      <w:tr w:rsidR="000C292F" w:rsidRPr="006C048C" w14:paraId="4D890304" w14:textId="77777777" w:rsidTr="00E431E6">
        <w:trPr>
          <w:trHeight w:val="255"/>
        </w:trPr>
        <w:tc>
          <w:tcPr>
            <w:tcW w:w="3432" w:type="pct"/>
            <w:shd w:val="clear" w:color="auto" w:fill="auto"/>
            <w:noWrap/>
            <w:tcMar>
              <w:top w:w="15" w:type="dxa"/>
              <w:left w:w="15" w:type="dxa"/>
              <w:bottom w:w="0" w:type="dxa"/>
              <w:right w:w="15" w:type="dxa"/>
            </w:tcMar>
            <w:vAlign w:val="bottom"/>
            <w:hideMark/>
          </w:tcPr>
          <w:p w14:paraId="5623848B" w14:textId="77777777" w:rsidR="000C292F" w:rsidRPr="006C048C" w:rsidRDefault="000C292F" w:rsidP="00E431E6">
            <w:pPr>
              <w:rPr>
                <w:rFonts w:ascii="Calibri" w:hAnsi="Calibri" w:cs="Calibri"/>
                <w:color w:val="000000"/>
                <w:sz w:val="20"/>
                <w:szCs w:val="20"/>
              </w:rPr>
            </w:pPr>
            <w:r w:rsidRPr="006C048C">
              <w:rPr>
                <w:rFonts w:ascii="Calibri" w:hAnsi="Calibri" w:cs="Calibri"/>
                <w:color w:val="000000"/>
                <w:sz w:val="20"/>
                <w:szCs w:val="20"/>
              </w:rPr>
              <w:t>Zásoby</w:t>
            </w:r>
          </w:p>
        </w:tc>
        <w:tc>
          <w:tcPr>
            <w:tcW w:w="1568" w:type="pct"/>
            <w:shd w:val="clear" w:color="auto" w:fill="auto"/>
            <w:noWrap/>
            <w:tcMar>
              <w:top w:w="15" w:type="dxa"/>
              <w:left w:w="15" w:type="dxa"/>
              <w:bottom w:w="0" w:type="dxa"/>
              <w:right w:w="15" w:type="dxa"/>
            </w:tcMar>
            <w:vAlign w:val="bottom"/>
          </w:tcPr>
          <w:p w14:paraId="2BA0A93B" w14:textId="2ACB9EFB" w:rsidR="000C292F" w:rsidRPr="006C048C" w:rsidRDefault="00B05CBE" w:rsidP="00E431E6">
            <w:pPr>
              <w:jc w:val="right"/>
              <w:rPr>
                <w:rFonts w:ascii="Calibri" w:hAnsi="Calibri" w:cs="Calibri"/>
                <w:color w:val="000000"/>
                <w:sz w:val="20"/>
                <w:szCs w:val="20"/>
              </w:rPr>
            </w:pPr>
            <w:r>
              <w:rPr>
                <w:rFonts w:ascii="Calibri" w:hAnsi="Calibri" w:cs="Calibri"/>
                <w:color w:val="000000"/>
                <w:sz w:val="20"/>
                <w:szCs w:val="20"/>
              </w:rPr>
              <w:t>-342 858</w:t>
            </w:r>
          </w:p>
        </w:tc>
      </w:tr>
      <w:tr w:rsidR="000C292F" w:rsidRPr="006C048C" w14:paraId="4756D6DB" w14:textId="77777777" w:rsidTr="00E431E6">
        <w:trPr>
          <w:trHeight w:val="255"/>
        </w:trPr>
        <w:tc>
          <w:tcPr>
            <w:tcW w:w="3432" w:type="pct"/>
            <w:shd w:val="clear" w:color="auto" w:fill="auto"/>
            <w:noWrap/>
            <w:tcMar>
              <w:top w:w="15" w:type="dxa"/>
              <w:left w:w="15" w:type="dxa"/>
              <w:bottom w:w="0" w:type="dxa"/>
              <w:right w:w="15" w:type="dxa"/>
            </w:tcMar>
            <w:vAlign w:val="bottom"/>
            <w:hideMark/>
          </w:tcPr>
          <w:p w14:paraId="1C458E57" w14:textId="77777777" w:rsidR="000C292F" w:rsidRPr="006C048C" w:rsidRDefault="000C292F" w:rsidP="00E431E6">
            <w:pPr>
              <w:rPr>
                <w:rFonts w:ascii="Calibri" w:hAnsi="Calibri" w:cs="Calibri"/>
                <w:b/>
                <w:bCs/>
                <w:color w:val="000000"/>
                <w:sz w:val="20"/>
                <w:szCs w:val="20"/>
              </w:rPr>
            </w:pPr>
            <w:r w:rsidRPr="006C048C">
              <w:rPr>
                <w:rFonts w:ascii="Calibri" w:hAnsi="Calibri" w:cs="Calibri"/>
                <w:b/>
                <w:bCs/>
                <w:color w:val="000000"/>
                <w:sz w:val="20"/>
                <w:szCs w:val="20"/>
              </w:rPr>
              <w:t>Aktiva celkem</w:t>
            </w:r>
          </w:p>
        </w:tc>
        <w:tc>
          <w:tcPr>
            <w:tcW w:w="1568" w:type="pct"/>
            <w:shd w:val="clear" w:color="auto" w:fill="auto"/>
            <w:noWrap/>
            <w:tcMar>
              <w:top w:w="15" w:type="dxa"/>
              <w:left w:w="15" w:type="dxa"/>
              <w:bottom w:w="0" w:type="dxa"/>
              <w:right w:w="15" w:type="dxa"/>
            </w:tcMar>
            <w:vAlign w:val="bottom"/>
          </w:tcPr>
          <w:p w14:paraId="337269EF" w14:textId="07FE34CA" w:rsidR="000C292F" w:rsidRPr="006C048C" w:rsidRDefault="00B05CBE" w:rsidP="00E431E6">
            <w:pPr>
              <w:jc w:val="right"/>
              <w:rPr>
                <w:rFonts w:ascii="Calibri" w:hAnsi="Calibri" w:cs="Calibri"/>
                <w:b/>
                <w:bCs/>
                <w:color w:val="000000"/>
                <w:sz w:val="20"/>
                <w:szCs w:val="20"/>
              </w:rPr>
            </w:pPr>
            <w:r>
              <w:rPr>
                <w:rFonts w:ascii="Calibri" w:hAnsi="Calibri" w:cs="Calibri"/>
                <w:b/>
                <w:bCs/>
                <w:color w:val="000000"/>
                <w:sz w:val="20"/>
                <w:szCs w:val="20"/>
              </w:rPr>
              <w:t>87 049</w:t>
            </w:r>
          </w:p>
        </w:tc>
      </w:tr>
      <w:tr w:rsidR="000C292F" w:rsidRPr="006C048C" w14:paraId="6AD82D62" w14:textId="77777777" w:rsidTr="00E431E6">
        <w:trPr>
          <w:trHeight w:val="255"/>
        </w:trPr>
        <w:tc>
          <w:tcPr>
            <w:tcW w:w="3432" w:type="pct"/>
            <w:shd w:val="clear" w:color="auto" w:fill="auto"/>
            <w:noWrap/>
            <w:tcMar>
              <w:top w:w="15" w:type="dxa"/>
              <w:left w:w="15" w:type="dxa"/>
              <w:bottom w:w="0" w:type="dxa"/>
              <w:right w:w="15" w:type="dxa"/>
            </w:tcMar>
            <w:vAlign w:val="bottom"/>
            <w:hideMark/>
          </w:tcPr>
          <w:p w14:paraId="697D7203" w14:textId="77777777" w:rsidR="000C292F" w:rsidRPr="006C048C" w:rsidRDefault="000C292F" w:rsidP="00E431E6">
            <w:pPr>
              <w:rPr>
                <w:rFonts w:ascii="Calibri" w:hAnsi="Calibri" w:cs="Calibri"/>
                <w:color w:val="000000"/>
                <w:sz w:val="20"/>
                <w:szCs w:val="20"/>
              </w:rPr>
            </w:pPr>
            <w:r w:rsidRPr="006C048C">
              <w:rPr>
                <w:rFonts w:ascii="Calibri" w:hAnsi="Calibri" w:cs="Calibri"/>
                <w:color w:val="000000"/>
                <w:sz w:val="20"/>
                <w:szCs w:val="20"/>
              </w:rPr>
              <w:t> </w:t>
            </w:r>
          </w:p>
        </w:tc>
        <w:tc>
          <w:tcPr>
            <w:tcW w:w="1568" w:type="pct"/>
            <w:shd w:val="clear" w:color="auto" w:fill="auto"/>
            <w:noWrap/>
            <w:tcMar>
              <w:top w:w="15" w:type="dxa"/>
              <w:left w:w="15" w:type="dxa"/>
              <w:bottom w:w="0" w:type="dxa"/>
              <w:right w:w="15" w:type="dxa"/>
            </w:tcMar>
            <w:vAlign w:val="bottom"/>
          </w:tcPr>
          <w:p w14:paraId="0C8BD0DC" w14:textId="77777777" w:rsidR="000C292F" w:rsidRPr="006C048C" w:rsidRDefault="000C292F" w:rsidP="00E431E6">
            <w:pPr>
              <w:jc w:val="right"/>
              <w:rPr>
                <w:rFonts w:ascii="Calibri" w:hAnsi="Calibri" w:cs="Calibri"/>
                <w:color w:val="000000"/>
                <w:sz w:val="20"/>
                <w:szCs w:val="20"/>
              </w:rPr>
            </w:pPr>
          </w:p>
        </w:tc>
      </w:tr>
      <w:tr w:rsidR="000C292F" w:rsidRPr="006C048C" w14:paraId="2F245E8D" w14:textId="77777777" w:rsidTr="00E431E6">
        <w:trPr>
          <w:trHeight w:val="255"/>
        </w:trPr>
        <w:tc>
          <w:tcPr>
            <w:tcW w:w="3432" w:type="pct"/>
            <w:shd w:val="clear" w:color="auto" w:fill="auto"/>
            <w:noWrap/>
            <w:tcMar>
              <w:top w:w="15" w:type="dxa"/>
              <w:left w:w="15" w:type="dxa"/>
              <w:bottom w:w="0" w:type="dxa"/>
              <w:right w:w="15" w:type="dxa"/>
            </w:tcMar>
            <w:vAlign w:val="bottom"/>
            <w:hideMark/>
          </w:tcPr>
          <w:p w14:paraId="025201EA" w14:textId="77777777" w:rsidR="000C292F" w:rsidRPr="006C048C" w:rsidRDefault="000C292F" w:rsidP="00E431E6">
            <w:pPr>
              <w:rPr>
                <w:rFonts w:ascii="Calibri" w:hAnsi="Calibri" w:cs="Calibri"/>
                <w:color w:val="000000"/>
                <w:sz w:val="20"/>
                <w:szCs w:val="20"/>
              </w:rPr>
            </w:pPr>
            <w:r w:rsidRPr="006C048C">
              <w:rPr>
                <w:rFonts w:ascii="Calibri" w:hAnsi="Calibri" w:cs="Calibri"/>
                <w:color w:val="000000"/>
                <w:sz w:val="20"/>
                <w:szCs w:val="20"/>
              </w:rPr>
              <w:t>Nerozdělený zisk</w:t>
            </w:r>
          </w:p>
        </w:tc>
        <w:tc>
          <w:tcPr>
            <w:tcW w:w="1568" w:type="pct"/>
            <w:shd w:val="clear" w:color="auto" w:fill="auto"/>
            <w:noWrap/>
            <w:tcMar>
              <w:top w:w="15" w:type="dxa"/>
              <w:left w:w="15" w:type="dxa"/>
              <w:bottom w:w="0" w:type="dxa"/>
              <w:right w:w="15" w:type="dxa"/>
            </w:tcMar>
            <w:vAlign w:val="bottom"/>
          </w:tcPr>
          <w:p w14:paraId="1F20247C" w14:textId="5E6D55BE" w:rsidR="000C292F" w:rsidRPr="006C048C" w:rsidRDefault="00B05CBE" w:rsidP="00E431E6">
            <w:pPr>
              <w:jc w:val="right"/>
              <w:rPr>
                <w:rFonts w:ascii="Calibri" w:hAnsi="Calibri" w:cs="Calibri"/>
                <w:color w:val="000000"/>
                <w:sz w:val="20"/>
                <w:szCs w:val="20"/>
              </w:rPr>
            </w:pPr>
            <w:r>
              <w:rPr>
                <w:rFonts w:ascii="Calibri" w:hAnsi="Calibri" w:cs="Calibri"/>
                <w:color w:val="000000"/>
                <w:sz w:val="20"/>
                <w:szCs w:val="20"/>
              </w:rPr>
              <w:t>87 049</w:t>
            </w:r>
          </w:p>
        </w:tc>
      </w:tr>
      <w:tr w:rsidR="000C292F" w:rsidRPr="006C048C" w14:paraId="4C1B2C20" w14:textId="77777777" w:rsidTr="00E431E6">
        <w:trPr>
          <w:trHeight w:val="255"/>
        </w:trPr>
        <w:tc>
          <w:tcPr>
            <w:tcW w:w="3432" w:type="pct"/>
            <w:shd w:val="clear" w:color="auto" w:fill="auto"/>
            <w:noWrap/>
            <w:tcMar>
              <w:top w:w="15" w:type="dxa"/>
              <w:left w:w="15" w:type="dxa"/>
              <w:bottom w:w="0" w:type="dxa"/>
              <w:right w:w="15" w:type="dxa"/>
            </w:tcMar>
            <w:vAlign w:val="bottom"/>
            <w:hideMark/>
          </w:tcPr>
          <w:p w14:paraId="214C05DD" w14:textId="77777777" w:rsidR="000C292F" w:rsidRPr="006C048C" w:rsidRDefault="000C292F" w:rsidP="00E431E6">
            <w:pPr>
              <w:rPr>
                <w:rFonts w:ascii="Calibri" w:hAnsi="Calibri" w:cs="Calibri"/>
                <w:b/>
                <w:bCs/>
                <w:color w:val="000000"/>
                <w:sz w:val="20"/>
                <w:szCs w:val="20"/>
              </w:rPr>
            </w:pPr>
            <w:r w:rsidRPr="006C048C">
              <w:rPr>
                <w:rFonts w:ascii="Calibri" w:hAnsi="Calibri" w:cs="Calibri"/>
                <w:b/>
                <w:bCs/>
                <w:color w:val="000000"/>
                <w:sz w:val="20"/>
                <w:szCs w:val="20"/>
              </w:rPr>
              <w:t>Vlastní kapitál a cizí zdroje celkem</w:t>
            </w:r>
          </w:p>
        </w:tc>
        <w:tc>
          <w:tcPr>
            <w:tcW w:w="1568" w:type="pct"/>
            <w:shd w:val="clear" w:color="auto" w:fill="auto"/>
            <w:noWrap/>
            <w:tcMar>
              <w:top w:w="15" w:type="dxa"/>
              <w:left w:w="15" w:type="dxa"/>
              <w:bottom w:w="0" w:type="dxa"/>
              <w:right w:w="15" w:type="dxa"/>
            </w:tcMar>
            <w:vAlign w:val="bottom"/>
          </w:tcPr>
          <w:p w14:paraId="7C89C36D" w14:textId="28A636AC" w:rsidR="000C292F" w:rsidRPr="006C048C" w:rsidRDefault="00B05CBE" w:rsidP="00E431E6">
            <w:pPr>
              <w:jc w:val="right"/>
              <w:rPr>
                <w:rFonts w:ascii="Calibri" w:hAnsi="Calibri" w:cs="Calibri"/>
                <w:b/>
                <w:bCs/>
                <w:color w:val="000000"/>
                <w:sz w:val="20"/>
                <w:szCs w:val="20"/>
              </w:rPr>
            </w:pPr>
            <w:r>
              <w:rPr>
                <w:rFonts w:ascii="Calibri" w:hAnsi="Calibri" w:cs="Calibri"/>
                <w:b/>
                <w:bCs/>
                <w:color w:val="000000"/>
                <w:sz w:val="20"/>
                <w:szCs w:val="20"/>
              </w:rPr>
              <w:t>87 049</w:t>
            </w:r>
          </w:p>
        </w:tc>
      </w:tr>
    </w:tbl>
    <w:p w14:paraId="4978A775" w14:textId="77777777" w:rsidR="000C292F" w:rsidRPr="006C048C" w:rsidRDefault="000C292F" w:rsidP="000546B5">
      <w:pPr>
        <w:pStyle w:val="Odstavecseseznamem1"/>
        <w:spacing w:before="0" w:beforeAutospacing="0"/>
        <w:ind w:left="0"/>
        <w:rPr>
          <w:rFonts w:asciiTheme="minorHAnsi" w:hAnsiTheme="minorHAnsi" w:cs="Arial"/>
          <w:color w:val="000000"/>
          <w:sz w:val="20"/>
          <w:szCs w:val="20"/>
        </w:rPr>
      </w:pPr>
      <w:r w:rsidRPr="006C048C" w:rsidDel="001D64AF">
        <w:rPr>
          <w:rFonts w:asciiTheme="minorHAnsi" w:hAnsiTheme="minorHAnsi" w:cs="Arial"/>
          <w:color w:val="000000"/>
          <w:sz w:val="20"/>
          <w:szCs w:val="20"/>
        </w:rPr>
        <w:t xml:space="preserve"> </w:t>
      </w:r>
      <w:r w:rsidRPr="006C048C">
        <w:rPr>
          <w:rFonts w:asciiTheme="minorHAnsi" w:hAnsiTheme="minorHAnsi" w:cs="Arial"/>
          <w:color w:val="000000"/>
          <w:sz w:val="20"/>
          <w:szCs w:val="20"/>
        </w:rPr>
        <w:t>V tis. Kč</w:t>
      </w:r>
    </w:p>
    <w:p w14:paraId="0EC2542C" w14:textId="77777777" w:rsidR="00B05CBE" w:rsidRDefault="00B05CBE">
      <w:pPr>
        <w:spacing w:before="0" w:beforeAutospacing="0" w:after="160" w:afterAutospacing="0" w:line="259" w:lineRule="auto"/>
        <w:jc w:val="left"/>
        <w:rPr>
          <w:b/>
          <w:color w:val="2A7FC6"/>
        </w:rPr>
      </w:pPr>
      <w:r>
        <w:br w:type="page"/>
      </w:r>
    </w:p>
    <w:p w14:paraId="558A458F" w14:textId="510D855E" w:rsidR="000C292F" w:rsidRPr="006C048C" w:rsidRDefault="000C292F" w:rsidP="000C292F">
      <w:pPr>
        <w:pStyle w:val="Nadpis4"/>
      </w:pPr>
      <w:r w:rsidRPr="006C048C">
        <w:lastRenderedPageBreak/>
        <w:t>Sezónní a ekonomické vlivy</w:t>
      </w:r>
    </w:p>
    <w:p w14:paraId="349B6B26" w14:textId="77777777" w:rsidR="000C292F" w:rsidRPr="006C048C" w:rsidRDefault="000C292F" w:rsidP="000C292F">
      <w:r w:rsidRPr="006C048C">
        <w:t xml:space="preserve">Podnikání Společnosti není v podstatě ovlivňováno sezónními a ekonomickými faktory mimo běžného ekonomického cyklu, ačkoliv trh s hygienickými potřebami je do značné míry necyklický.  </w:t>
      </w:r>
    </w:p>
    <w:p w14:paraId="496A4F5F" w14:textId="77777777" w:rsidR="000C292F" w:rsidRPr="006C048C" w:rsidRDefault="000C292F" w:rsidP="000C292F">
      <w:pPr>
        <w:pStyle w:val="Nadpis4"/>
      </w:pPr>
      <w:r w:rsidRPr="006C048C">
        <w:t>Použití odhadů a úsudků</w:t>
      </w:r>
    </w:p>
    <w:p w14:paraId="0E73BCB1" w14:textId="77777777" w:rsidR="000C292F" w:rsidRPr="006C048C" w:rsidRDefault="000C292F" w:rsidP="000C292F">
      <w:r w:rsidRPr="006C048C">
        <w:t xml:space="preserve">Pro přípravu mezitímních účetních výkazů v souladu s IFRS je nutné, aby vedení Společnosti učinilo některé úsudky, odhady a předpoklady, které ovlivňují aplikaci účetních postupů a výši vykazovaných aktiv a pasiv, výnosů a nákladů. Odhady a jejich předpoklady jsou aplikovány na základě historických zkušeností a jiných relevantních faktorů. Stanovení odhadů má za cíl poskytnout věrný a poctivý obraz o finanční situaci Společnosti, zejména při určení hodnoty aktiv a pasiv, u kterých tato hodnota nemůže být spolehlivě zjištěna z jiných zdrojů. Skutečné výsledky se mohou od těchto odhadů lišit. </w:t>
      </w:r>
    </w:p>
    <w:p w14:paraId="091A893A" w14:textId="77777777" w:rsidR="000C292F" w:rsidRPr="006C048C" w:rsidRDefault="000C292F" w:rsidP="000C292F">
      <w:r w:rsidRPr="006C048C">
        <w:t xml:space="preserve">Od vydání předchozích účetních výkazů nedošlo k žádným změnám v povaze nebo výši použitých odhadů. </w:t>
      </w:r>
    </w:p>
    <w:p w14:paraId="5A0F2F04" w14:textId="77777777" w:rsidR="000C292F" w:rsidRPr="006C048C" w:rsidRDefault="000C292F" w:rsidP="000C292F">
      <w:pPr>
        <w:pStyle w:val="Nadpis4"/>
      </w:pPr>
      <w:r w:rsidRPr="006C048C">
        <w:t>Vykazování dle segmentů</w:t>
      </w:r>
    </w:p>
    <w:p w14:paraId="138B8818" w14:textId="77777777" w:rsidR="000C292F" w:rsidRPr="006C048C" w:rsidRDefault="000C292F" w:rsidP="000C292F">
      <w:r w:rsidRPr="006C048C">
        <w:t>Standard IFRS 8 vyžaduje identifikaci provozních segmentů na základě rozdělení interních výkazů, které jsou pravidelně vyhodnocovány subjektem s rozhodovací pravomocí za účelem alokace zdrojů a posouzení jejich výkonu.</w:t>
      </w:r>
      <w:r w:rsidRPr="006C048C" w:rsidDel="00A842D8">
        <w:t xml:space="preserve"> </w:t>
      </w:r>
      <w:r w:rsidRPr="006C048C">
        <w:t xml:space="preserve">V souladu s IFRS 8 Skupina identifikovala jediný provozní segment, a to výrobu netkaných textilií. </w:t>
      </w:r>
    </w:p>
    <w:p w14:paraId="6AF0B9D0" w14:textId="77777777" w:rsidR="000C292F" w:rsidRPr="006C048C" w:rsidRDefault="000C292F" w:rsidP="000546B5">
      <w:pPr>
        <w:pStyle w:val="Nadpis4"/>
      </w:pPr>
      <w:r w:rsidRPr="006C048C">
        <w:t xml:space="preserve">Změny ve složení entity a konsolidačním celku </w:t>
      </w:r>
    </w:p>
    <w:p w14:paraId="30154A23" w14:textId="729CC6AB" w:rsidR="000C292F" w:rsidRPr="006C048C" w:rsidRDefault="000C292F" w:rsidP="000C292F">
      <w:r w:rsidRPr="006C048C">
        <w:t xml:space="preserve">V průběhu vykazovaného období došlo ke změnám v konsolidačním celku oproti stavu k 31. prosinci 2017. Mimořádná valná hromada Společnosti rozhodla dne 18. prosince 2017 o přemístění sídla do České republiky a změnila příslušnost (statut) Společnosti z lucemburské na českou. Zároveň mimořádná valná hromada přijala nové znění stanov Společnosti a změnila </w:t>
      </w:r>
      <w:r w:rsidR="000C10BD">
        <w:t>název</w:t>
      </w:r>
      <w:r w:rsidRPr="006C048C">
        <w:t xml:space="preserve"> Společnosti na PEGAS NONWOVENS a.s. s účinností k 1. lednu 2018. Následně řádná valná hromada dne 15. června 2018 schválila nové znění stanov Společnosti a změnila obchodní firmu Společnosti na PFNonwovens a.s. s účinností k 19. červnu 2018.</w:t>
      </w:r>
    </w:p>
    <w:p w14:paraId="3BC9F802" w14:textId="77777777" w:rsidR="000C292F" w:rsidRPr="006C048C" w:rsidRDefault="000C292F" w:rsidP="000C292F">
      <w:pPr>
        <w:pStyle w:val="Nadpis4"/>
      </w:pPr>
      <w:r w:rsidRPr="006C048C">
        <w:t xml:space="preserve">Vydání, odkupy a splátky dluhu a majetkových cenných papírů </w:t>
      </w:r>
    </w:p>
    <w:p w14:paraId="4E3C2FA8" w14:textId="77777777" w:rsidR="000C292F" w:rsidRPr="006C048C" w:rsidRDefault="000C292F" w:rsidP="000C292F">
      <w:r w:rsidRPr="006C048C">
        <w:t>V průběhu prvního pololetí 2018 Společnost čerpala kontokorentní bankovní úvěr. Společnost neuzavřela v prvním pololetí roku 2018 žádné nové smlouvy na bankovní úvěry.</w:t>
      </w:r>
    </w:p>
    <w:p w14:paraId="75FD0C15" w14:textId="77777777" w:rsidR="000C292F" w:rsidRPr="006C048C" w:rsidRDefault="000C292F" w:rsidP="000C292F">
      <w:r w:rsidRPr="006C048C">
        <w:t xml:space="preserve">V prvním pololetí roku 2018 došlo k částečným odkupům dluhových cenných papírů na žádost věřitelů. Dne 29. března 2018 byla provedena předčasná splátka nominálu dluhopisu CZ0003512808 ve výši 6 370 000 Kč plus naběhlé úroky ve výši 37 448,53 Kč. Dne 30. dubna 2018 byla provedena předčasná splátka nominálu dluhopisu CZ0003512816 ve výši 100 000 EUR plus naběhlé úroky ve výši 269,32 EUR. </w:t>
      </w:r>
    </w:p>
    <w:p w14:paraId="07C5697C" w14:textId="77777777" w:rsidR="000C292F" w:rsidRPr="006C048C" w:rsidRDefault="000C292F" w:rsidP="000C292F">
      <w:pPr>
        <w:pStyle w:val="Nadpis4"/>
      </w:pPr>
      <w:r w:rsidRPr="006C048C">
        <w:lastRenderedPageBreak/>
        <w:t>Významné události a transakce</w:t>
      </w:r>
    </w:p>
    <w:p w14:paraId="3B6C643B" w14:textId="58A2F40E" w:rsidR="000C292F" w:rsidRPr="006C048C" w:rsidRDefault="000C292F" w:rsidP="000C292F">
      <w:r w:rsidRPr="006C048C">
        <w:t>Dne 14. března 2018 Společnost obdržela rozhodnutí o příslibu investiční pobídky od Ministerstva průmyslu a obchodu pro dceřinou společnost PEGAS – GIC a.s. v souvislosti s rozšířením výroby netkaných textilií ve výrobním závodě Znojmo-Přímětice. Příslib investiční pobídky se poskytuje ve formě slevy na dani z příjmů a hmotné podpory vytváření nových pracovních míst ve výši max. 21,54 % celkové hodnoty způsobilých nákladů a současně v</w:t>
      </w:r>
      <w:r w:rsidR="00CE23ED">
        <w:t> </w:t>
      </w:r>
      <w:r w:rsidRPr="006C048C">
        <w:t>maximální výši 212,635 mil. Kč, přičemž slevu na dani lze uplatnit po dobu deseti po sobě bezprostředně následujících zdaňovacích období.</w:t>
      </w:r>
    </w:p>
    <w:p w14:paraId="75B12EA4" w14:textId="77777777" w:rsidR="000C292F" w:rsidRPr="006C048C" w:rsidRDefault="000C292F" w:rsidP="000C292F">
      <w:pPr>
        <w:rPr>
          <w:b/>
        </w:rPr>
      </w:pPr>
      <w:r w:rsidRPr="006C048C">
        <w:rPr>
          <w:b/>
        </w:rPr>
        <w:t>Významné události po skončení mezitímního období</w:t>
      </w:r>
    </w:p>
    <w:p w14:paraId="29573613" w14:textId="6A00D4AC" w:rsidR="000C292F" w:rsidRPr="006C048C" w:rsidRDefault="000C292F" w:rsidP="000C292F">
      <w:pPr>
        <w:rPr>
          <w:b/>
          <w:color w:val="E2001C"/>
        </w:rPr>
      </w:pPr>
      <w:r w:rsidRPr="006C048C">
        <w:t>Vedení Společnosti si není vědomo jakýchkoli dalších skutečností, které se staly po datu účetní závěrky a které by měly významný vliv na konsolidované účetní výkazy k 30. červnu 2018.</w:t>
      </w:r>
    </w:p>
    <w:p w14:paraId="11C25158" w14:textId="77777777" w:rsidR="000C292F" w:rsidRPr="006C048C" w:rsidRDefault="000C292F" w:rsidP="000C292F">
      <w:pPr>
        <w:pStyle w:val="Nadpis4"/>
      </w:pPr>
      <w:r w:rsidRPr="006C048C">
        <w:t>Informace o reálné hodnotě finančních instrumentů</w:t>
      </w:r>
    </w:p>
    <w:p w14:paraId="66B759A9" w14:textId="77777777" w:rsidR="000C292F" w:rsidRPr="006C048C" w:rsidRDefault="000C292F" w:rsidP="000C292F">
      <w:r w:rsidRPr="006C048C">
        <w:t>Za období prvních šesti měsíců tohoto roku nedošlo k žádné změně ve způsobu ocenění finančních instrumentů.</w:t>
      </w:r>
    </w:p>
    <w:p w14:paraId="22F7872E" w14:textId="77777777" w:rsidR="000C292F" w:rsidRPr="006C048C" w:rsidRDefault="000C292F" w:rsidP="000C292F">
      <w:pPr>
        <w:rPr>
          <w:b/>
        </w:rPr>
      </w:pPr>
      <w:r w:rsidRPr="006C048C">
        <w:rPr>
          <w:b/>
        </w:rPr>
        <w:t xml:space="preserve">Úrokové swapy </w:t>
      </w:r>
    </w:p>
    <w:p w14:paraId="0D09C0F0" w14:textId="77777777" w:rsidR="000C292F" w:rsidRPr="006C048C" w:rsidRDefault="000C292F" w:rsidP="000C292F">
      <w:r w:rsidRPr="006C048C">
        <w:t>Společnost neměla k 30. červnu 2018 otevřeny žádné úrokové swapy.</w:t>
      </w:r>
    </w:p>
    <w:p w14:paraId="4A3B66C4" w14:textId="77777777" w:rsidR="000C292F" w:rsidRPr="006C048C" w:rsidRDefault="000C292F" w:rsidP="000C292F">
      <w:pPr>
        <w:rPr>
          <w:b/>
        </w:rPr>
      </w:pPr>
      <w:r w:rsidRPr="006C048C">
        <w:rPr>
          <w:b/>
        </w:rPr>
        <w:t>Měnové forwardy</w:t>
      </w:r>
    </w:p>
    <w:p w14:paraId="63E25427" w14:textId="77777777" w:rsidR="000C292F" w:rsidRPr="006C048C" w:rsidRDefault="000C292F" w:rsidP="000C292F">
      <w:r w:rsidRPr="006C048C">
        <w:t>Společnost neměla k 30. červnu 2018 otevřeny žádné měnové forwardy.</w:t>
      </w:r>
    </w:p>
    <w:p w14:paraId="7CC34C08" w14:textId="77777777" w:rsidR="000C292F" w:rsidRPr="006C048C" w:rsidRDefault="000C292F" w:rsidP="000C292F">
      <w:pPr>
        <w:rPr>
          <w:b/>
        </w:rPr>
      </w:pPr>
      <w:r w:rsidRPr="006C048C">
        <w:rPr>
          <w:b/>
        </w:rPr>
        <w:t>Křížové měnové swapy</w:t>
      </w:r>
    </w:p>
    <w:p w14:paraId="6B48D660" w14:textId="77777777" w:rsidR="000C292F" w:rsidRPr="006C048C" w:rsidRDefault="000C292F" w:rsidP="000C292F">
      <w:pPr>
        <w:rPr>
          <w:rFonts w:cs="Arial"/>
          <w:color w:val="000000"/>
        </w:rPr>
      </w:pPr>
      <w:r w:rsidRPr="006C048C">
        <w:rPr>
          <w:rFonts w:cs="Arial"/>
          <w:color w:val="000000"/>
        </w:rPr>
        <w:t xml:space="preserve">Společnost měla k 30. červnu 2018 otevřeny tři křížové měnové swapy. </w:t>
      </w:r>
    </w:p>
    <w:p w14:paraId="64550A4C" w14:textId="0272EED8" w:rsidR="000C292F" w:rsidRPr="006C048C" w:rsidRDefault="000C292F" w:rsidP="000C292F">
      <w:pPr>
        <w:rPr>
          <w:rFonts w:cs="Arial"/>
          <w:color w:val="000000"/>
        </w:rPr>
      </w:pPr>
      <w:r w:rsidRPr="006C048C">
        <w:rPr>
          <w:rFonts w:cs="Arial"/>
          <w:color w:val="000000"/>
        </w:rPr>
        <w:t>První swap byl uzavřen v listopadu 2014 v celkové nominální hodnotě 2 489 575 tis. Kč (příjmová strana) proti 90 201 tis. EUR (platební strana) s cílem zajistit měnové riziko u</w:t>
      </w:r>
      <w:r w:rsidR="00190491">
        <w:rPr>
          <w:rFonts w:cs="Arial"/>
          <w:color w:val="000000"/>
        </w:rPr>
        <w:t> </w:t>
      </w:r>
      <w:r w:rsidRPr="006C048C">
        <w:rPr>
          <w:rFonts w:cs="Arial"/>
          <w:color w:val="000000"/>
        </w:rPr>
        <w:t xml:space="preserve">korunové emise veřejných dluhopisů PEGAS 2,85/2018, které vydala Společnost. Swap nese pevnou úrokovou sazbu 3,1 % p.a. </w:t>
      </w:r>
    </w:p>
    <w:p w14:paraId="2D78F554" w14:textId="2CCF493A" w:rsidR="000C292F" w:rsidRPr="006C048C" w:rsidRDefault="000C292F" w:rsidP="000C292F">
      <w:pPr>
        <w:rPr>
          <w:rFonts w:cs="Arial"/>
          <w:color w:val="000000"/>
        </w:rPr>
      </w:pPr>
      <w:r w:rsidRPr="006C048C">
        <w:rPr>
          <w:rFonts w:cs="Arial"/>
          <w:color w:val="000000"/>
        </w:rPr>
        <w:t>Druhý swap byl uzavřen v červenci 2015 v celkové nominální hodnotě 678 000 tis. Kč (příjmová strana) proti 25 000 tis. EUR (platební strana) za účelem zajištění cizoměnového rizika v</w:t>
      </w:r>
      <w:r w:rsidR="00190491">
        <w:rPr>
          <w:rFonts w:cs="Arial"/>
          <w:color w:val="000000"/>
        </w:rPr>
        <w:t> </w:t>
      </w:r>
      <w:r w:rsidRPr="006C048C">
        <w:rPr>
          <w:rFonts w:cs="Arial"/>
          <w:color w:val="000000"/>
        </w:rPr>
        <w:t>souvislosti s emisí privátních dluhopisů, které vydala dceřiná společnost PEGAS NONWOVENS Czech s.r.o., denominovaných v Kč se splatností 14. července 2025, které nesou plovoucí úrokovou sazbu 6M PRIBOR + 2 % p.a. Swap nese pevnou úrokovou sazbu 3,39 % p.a.</w:t>
      </w:r>
    </w:p>
    <w:p w14:paraId="14686AB0" w14:textId="188AC9CA" w:rsidR="000C292F" w:rsidRPr="006C048C" w:rsidRDefault="000C292F" w:rsidP="000C292F">
      <w:pPr>
        <w:rPr>
          <w:rFonts w:cs="Arial"/>
          <w:color w:val="000000"/>
        </w:rPr>
      </w:pPr>
      <w:r w:rsidRPr="006C048C">
        <w:rPr>
          <w:rFonts w:cs="Arial"/>
          <w:color w:val="000000"/>
        </w:rPr>
        <w:t>Třetí swap byl uzavřen v červenci 2015 v celkové nominální hodnotě 1 080 000 tis. Kč (příjmová strana) proti 39 852 tis. EUR (platební strana) za účelem zajištění cizoměnového rizika v</w:t>
      </w:r>
      <w:r w:rsidR="00190491">
        <w:rPr>
          <w:rFonts w:cs="Arial"/>
          <w:color w:val="000000"/>
        </w:rPr>
        <w:t> </w:t>
      </w:r>
      <w:r w:rsidRPr="006C048C">
        <w:rPr>
          <w:rFonts w:cs="Arial"/>
          <w:color w:val="000000"/>
        </w:rPr>
        <w:t xml:space="preserve">souvislosti s emisí privátních dluhopisů, které vydala Společnost, denominovaných v Kč se </w:t>
      </w:r>
      <w:r w:rsidRPr="006C048C">
        <w:rPr>
          <w:rFonts w:cs="Arial"/>
          <w:color w:val="000000"/>
        </w:rPr>
        <w:lastRenderedPageBreak/>
        <w:t>splatností 14. července 2022, které nesou pevnou úrokovou sazbu 2,646 % p.a. Swap nese pevnou úrokovou sazbu 3,15 % p.a.</w:t>
      </w:r>
    </w:p>
    <w:p w14:paraId="04D1AD3F" w14:textId="68F00EF6" w:rsidR="000C292F" w:rsidRPr="006C048C" w:rsidRDefault="000C292F" w:rsidP="000C292F">
      <w:pPr>
        <w:rPr>
          <w:rFonts w:cs="Arial"/>
          <w:color w:val="000000"/>
        </w:rPr>
      </w:pPr>
      <w:r w:rsidRPr="006C048C">
        <w:rPr>
          <w:rFonts w:cs="Arial"/>
          <w:color w:val="000000"/>
        </w:rPr>
        <w:t>Skupina k těmto křížovým měnovým swapům vedla zajišťovací účetnictví. Změny v reálné hodnotě těchto swapů byly účtovány do kapitálu. K 31. prosinci 2017 se Skupina rozhodla ukončit zajišťovací účetnictví ve vztahu k prvnímu a třetímu swapu, které zajišťovaly dluhopisy denominované v Kč vydané Společností. Důvodem pro zrušení zajišťovacího účetnictví byl přesun sídla Společnosti do České Republiky a změna funkční měny z EUR na Kč s účinností od 1. ledna 2018. Vzhledem k této skutečnosti pominuly prospektivně důvody pro zajištění. Veškerý zisk nebo ztráta kumulované ve vlastním kapitálu byly k 31. prosinci 2017 vykázány v</w:t>
      </w:r>
      <w:r w:rsidR="00190491">
        <w:rPr>
          <w:rFonts w:cs="Arial"/>
          <w:color w:val="000000"/>
        </w:rPr>
        <w:t> </w:t>
      </w:r>
      <w:r w:rsidRPr="006C048C">
        <w:rPr>
          <w:rFonts w:cs="Arial"/>
          <w:color w:val="000000"/>
        </w:rPr>
        <w:t xml:space="preserve">hospodářském výsledku za rok 2017. </w:t>
      </w:r>
    </w:p>
    <w:p w14:paraId="7AEFEC0D" w14:textId="77777777" w:rsidR="000C292F" w:rsidRPr="006C048C" w:rsidRDefault="000C292F" w:rsidP="000C292F">
      <w:r w:rsidRPr="006C048C">
        <w:rPr>
          <w:rFonts w:cs="Arial"/>
          <w:color w:val="000000"/>
        </w:rPr>
        <w:t>Reálná hodnota těchto swapů k 30. červnu 2018 je uvedena v následující tabulce. Kladná hodnota představuje pohledávku Společnosti, záporná hodnota závazek Společnosti.</w:t>
      </w:r>
    </w:p>
    <w:tbl>
      <w:tblPr>
        <w:tblW w:w="9142" w:type="dxa"/>
        <w:tblInd w:w="70" w:type="dxa"/>
        <w:tblCellMar>
          <w:left w:w="70" w:type="dxa"/>
          <w:right w:w="70" w:type="dxa"/>
        </w:tblCellMar>
        <w:tblLook w:val="0000" w:firstRow="0" w:lastRow="0" w:firstColumn="0" w:lastColumn="0" w:noHBand="0" w:noVBand="0"/>
      </w:tblPr>
      <w:tblGrid>
        <w:gridCol w:w="3960"/>
        <w:gridCol w:w="1707"/>
        <w:gridCol w:w="1708"/>
        <w:gridCol w:w="1767"/>
      </w:tblGrid>
      <w:tr w:rsidR="000C292F" w:rsidRPr="006C048C" w14:paraId="6CD5C0FD" w14:textId="77777777" w:rsidTr="000546B5">
        <w:trPr>
          <w:trHeight w:val="20"/>
        </w:trPr>
        <w:tc>
          <w:tcPr>
            <w:tcW w:w="3960" w:type="dxa"/>
            <w:shd w:val="clear" w:color="auto" w:fill="2A7FC6"/>
            <w:noWrap/>
            <w:vAlign w:val="center"/>
          </w:tcPr>
          <w:p w14:paraId="613FA854"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Protistrana</w:t>
            </w:r>
          </w:p>
        </w:tc>
        <w:tc>
          <w:tcPr>
            <w:tcW w:w="1707" w:type="dxa"/>
            <w:shd w:val="clear" w:color="auto" w:fill="2A7FC6"/>
            <w:vAlign w:val="center"/>
          </w:tcPr>
          <w:p w14:paraId="62299739" w14:textId="77777777" w:rsidR="000C292F" w:rsidRPr="006C048C" w:rsidRDefault="000C292F" w:rsidP="00E431E6">
            <w:pPr>
              <w:jc w:val="center"/>
              <w:rPr>
                <w:rFonts w:cs="Arial"/>
                <w:b/>
                <w:bCs/>
                <w:color w:val="FFFFFF" w:themeColor="background1"/>
                <w:sz w:val="20"/>
                <w:szCs w:val="20"/>
              </w:rPr>
            </w:pPr>
            <w:r w:rsidRPr="006C048C">
              <w:rPr>
                <w:rFonts w:cs="Arial"/>
                <w:b/>
                <w:bCs/>
                <w:color w:val="FFFFFF" w:themeColor="background1"/>
                <w:sz w:val="20"/>
                <w:szCs w:val="20"/>
              </w:rPr>
              <w:t>k 30. červnu 2017</w:t>
            </w:r>
          </w:p>
        </w:tc>
        <w:tc>
          <w:tcPr>
            <w:tcW w:w="1708" w:type="dxa"/>
            <w:shd w:val="clear" w:color="auto" w:fill="2A7FC6"/>
            <w:vAlign w:val="center"/>
          </w:tcPr>
          <w:p w14:paraId="709B5772" w14:textId="77777777" w:rsidR="000C292F" w:rsidRPr="006C048C" w:rsidRDefault="000C292F" w:rsidP="00E431E6">
            <w:pPr>
              <w:jc w:val="center"/>
              <w:rPr>
                <w:rFonts w:cs="Arial"/>
                <w:b/>
                <w:bCs/>
                <w:color w:val="FFFFFF" w:themeColor="background1"/>
                <w:sz w:val="20"/>
                <w:szCs w:val="20"/>
              </w:rPr>
            </w:pPr>
            <w:r w:rsidRPr="006C048C">
              <w:rPr>
                <w:rFonts w:cs="Arial"/>
                <w:b/>
                <w:bCs/>
                <w:color w:val="FFFFFF" w:themeColor="background1"/>
                <w:sz w:val="20"/>
                <w:szCs w:val="20"/>
              </w:rPr>
              <w:t>k 30. červnu 2018</w:t>
            </w:r>
          </w:p>
        </w:tc>
        <w:tc>
          <w:tcPr>
            <w:tcW w:w="1767" w:type="dxa"/>
            <w:shd w:val="clear" w:color="auto" w:fill="2A7FC6"/>
            <w:vAlign w:val="center"/>
          </w:tcPr>
          <w:p w14:paraId="1276A648" w14:textId="77777777" w:rsidR="000C292F" w:rsidRPr="006C048C" w:rsidRDefault="000C292F" w:rsidP="00E431E6">
            <w:pPr>
              <w:jc w:val="center"/>
              <w:rPr>
                <w:rFonts w:cs="Arial"/>
                <w:b/>
                <w:bCs/>
                <w:color w:val="FFFFFF" w:themeColor="background1"/>
                <w:sz w:val="20"/>
                <w:szCs w:val="20"/>
              </w:rPr>
            </w:pPr>
            <w:r w:rsidRPr="006C048C">
              <w:rPr>
                <w:rFonts w:cs="Arial"/>
                <w:b/>
                <w:bCs/>
                <w:color w:val="FFFFFF" w:themeColor="background1"/>
                <w:sz w:val="20"/>
                <w:szCs w:val="20"/>
              </w:rPr>
              <w:t>% zajištění podkladového závazku</w:t>
            </w:r>
          </w:p>
        </w:tc>
      </w:tr>
      <w:tr w:rsidR="000C292F" w:rsidRPr="006C048C" w14:paraId="02375545" w14:textId="77777777" w:rsidTr="00E431E6">
        <w:trPr>
          <w:trHeight w:val="20"/>
        </w:trPr>
        <w:tc>
          <w:tcPr>
            <w:tcW w:w="3960" w:type="dxa"/>
            <w:tcBorders>
              <w:bottom w:val="single" w:sz="4" w:space="0" w:color="9C9D9F"/>
            </w:tcBorders>
            <w:noWrap/>
            <w:vAlign w:val="bottom"/>
          </w:tcPr>
          <w:p w14:paraId="5F59A9E3" w14:textId="77777777" w:rsidR="000C292F" w:rsidRPr="006C048C" w:rsidRDefault="000C292F" w:rsidP="00E431E6">
            <w:pPr>
              <w:rPr>
                <w:rFonts w:cs="Arial"/>
                <w:bCs/>
                <w:sz w:val="20"/>
                <w:szCs w:val="20"/>
              </w:rPr>
            </w:pPr>
            <w:r w:rsidRPr="006C048C">
              <w:rPr>
                <w:rFonts w:cs="Arial"/>
                <w:sz w:val="20"/>
                <w:szCs w:val="20"/>
              </w:rPr>
              <w:t>Česká spořitelna – 90,201 mil. EUR</w:t>
            </w:r>
          </w:p>
        </w:tc>
        <w:tc>
          <w:tcPr>
            <w:tcW w:w="1707" w:type="dxa"/>
            <w:tcBorders>
              <w:bottom w:val="single" w:sz="4" w:space="0" w:color="9C9D9F"/>
            </w:tcBorders>
            <w:vAlign w:val="bottom"/>
          </w:tcPr>
          <w:p w14:paraId="0DD74C99" w14:textId="77777777" w:rsidR="000C292F" w:rsidRPr="006C048C" w:rsidRDefault="000C292F" w:rsidP="00E431E6">
            <w:pPr>
              <w:jc w:val="right"/>
              <w:rPr>
                <w:rFonts w:cs="Arial"/>
                <w:sz w:val="20"/>
                <w:szCs w:val="20"/>
              </w:rPr>
            </w:pPr>
            <w:r w:rsidRPr="006C048C">
              <w:rPr>
                <w:rFonts w:cs="Arial"/>
                <w:sz w:val="20"/>
                <w:szCs w:val="20"/>
              </w:rPr>
              <w:t>134 224</w:t>
            </w:r>
          </w:p>
        </w:tc>
        <w:tc>
          <w:tcPr>
            <w:tcW w:w="1708" w:type="dxa"/>
            <w:tcBorders>
              <w:bottom w:val="single" w:sz="4" w:space="0" w:color="9C9D9F"/>
            </w:tcBorders>
            <w:shd w:val="clear" w:color="auto" w:fill="FFFFFF"/>
            <w:vAlign w:val="bottom"/>
          </w:tcPr>
          <w:p w14:paraId="17A248F9" w14:textId="77777777" w:rsidR="000C292F" w:rsidRPr="006C048C" w:rsidRDefault="000C292F" w:rsidP="00E431E6">
            <w:pPr>
              <w:jc w:val="right"/>
              <w:rPr>
                <w:rFonts w:cs="Arial"/>
                <w:sz w:val="20"/>
                <w:szCs w:val="20"/>
              </w:rPr>
            </w:pPr>
            <w:r w:rsidRPr="006C048C">
              <w:rPr>
                <w:rFonts w:cs="Arial"/>
                <w:sz w:val="20"/>
                <w:szCs w:val="20"/>
              </w:rPr>
              <w:t>129 665</w:t>
            </w:r>
          </w:p>
        </w:tc>
        <w:tc>
          <w:tcPr>
            <w:tcW w:w="1767" w:type="dxa"/>
            <w:tcBorders>
              <w:bottom w:val="single" w:sz="4" w:space="0" w:color="9C9D9F"/>
            </w:tcBorders>
            <w:shd w:val="clear" w:color="auto" w:fill="FFFFFF"/>
          </w:tcPr>
          <w:p w14:paraId="47D6458F" w14:textId="77777777" w:rsidR="000C292F" w:rsidRPr="006C048C" w:rsidRDefault="000C292F" w:rsidP="00E431E6">
            <w:pPr>
              <w:jc w:val="right"/>
              <w:rPr>
                <w:rFonts w:cs="Arial"/>
                <w:sz w:val="20"/>
                <w:szCs w:val="20"/>
              </w:rPr>
            </w:pPr>
            <w:r w:rsidRPr="006C048C">
              <w:rPr>
                <w:rFonts w:cs="Arial"/>
                <w:sz w:val="20"/>
                <w:szCs w:val="20"/>
              </w:rPr>
              <w:t>108 %</w:t>
            </w:r>
          </w:p>
        </w:tc>
      </w:tr>
      <w:tr w:rsidR="000C292F" w:rsidRPr="006C048C" w14:paraId="26C433D8" w14:textId="77777777" w:rsidTr="00E431E6">
        <w:trPr>
          <w:trHeight w:val="20"/>
        </w:trPr>
        <w:tc>
          <w:tcPr>
            <w:tcW w:w="3960" w:type="dxa"/>
            <w:tcBorders>
              <w:top w:val="single" w:sz="4" w:space="0" w:color="9C9D9F"/>
              <w:bottom w:val="single" w:sz="4" w:space="0" w:color="9C9D9F"/>
            </w:tcBorders>
            <w:noWrap/>
            <w:vAlign w:val="bottom"/>
          </w:tcPr>
          <w:p w14:paraId="1FCEF523" w14:textId="77777777" w:rsidR="000C292F" w:rsidRPr="006C048C" w:rsidRDefault="000C292F" w:rsidP="00E431E6">
            <w:pPr>
              <w:rPr>
                <w:rFonts w:cs="Arial"/>
                <w:sz w:val="20"/>
                <w:szCs w:val="20"/>
              </w:rPr>
            </w:pPr>
            <w:r w:rsidRPr="006C048C">
              <w:rPr>
                <w:rFonts w:cs="Arial"/>
                <w:sz w:val="20"/>
                <w:szCs w:val="20"/>
              </w:rPr>
              <w:t>ČSOB – 25 mil. EUR</w:t>
            </w:r>
          </w:p>
        </w:tc>
        <w:tc>
          <w:tcPr>
            <w:tcW w:w="1707" w:type="dxa"/>
            <w:tcBorders>
              <w:top w:val="single" w:sz="4" w:space="0" w:color="9C9D9F"/>
              <w:bottom w:val="single" w:sz="4" w:space="0" w:color="9C9D9F"/>
            </w:tcBorders>
            <w:vAlign w:val="bottom"/>
          </w:tcPr>
          <w:p w14:paraId="619EF49D" w14:textId="77777777" w:rsidR="000C292F" w:rsidRPr="006C048C" w:rsidRDefault="000C292F" w:rsidP="00E431E6">
            <w:pPr>
              <w:jc w:val="right"/>
              <w:rPr>
                <w:rFonts w:cs="Arial"/>
                <w:sz w:val="20"/>
                <w:szCs w:val="20"/>
              </w:rPr>
            </w:pPr>
            <w:r w:rsidRPr="006C048C">
              <w:rPr>
                <w:rFonts w:cs="Arial"/>
                <w:sz w:val="20"/>
                <w:szCs w:val="20"/>
              </w:rPr>
              <w:t>18 000</w:t>
            </w:r>
          </w:p>
        </w:tc>
        <w:tc>
          <w:tcPr>
            <w:tcW w:w="1708" w:type="dxa"/>
            <w:tcBorders>
              <w:top w:val="single" w:sz="4" w:space="0" w:color="9C9D9F"/>
              <w:bottom w:val="single" w:sz="4" w:space="0" w:color="9C9D9F"/>
            </w:tcBorders>
            <w:shd w:val="clear" w:color="auto" w:fill="FFFFFF"/>
            <w:vAlign w:val="bottom"/>
          </w:tcPr>
          <w:p w14:paraId="2A1B2505" w14:textId="77777777" w:rsidR="000C292F" w:rsidRPr="006C048C" w:rsidRDefault="000C292F" w:rsidP="00E431E6">
            <w:pPr>
              <w:jc w:val="right"/>
              <w:rPr>
                <w:rFonts w:cs="Arial"/>
                <w:sz w:val="20"/>
                <w:szCs w:val="20"/>
              </w:rPr>
            </w:pPr>
            <w:r w:rsidRPr="006C048C">
              <w:rPr>
                <w:rFonts w:cs="Arial"/>
                <w:sz w:val="20"/>
                <w:szCs w:val="20"/>
              </w:rPr>
              <w:t>2 158</w:t>
            </w:r>
          </w:p>
        </w:tc>
        <w:tc>
          <w:tcPr>
            <w:tcW w:w="1767" w:type="dxa"/>
            <w:tcBorders>
              <w:top w:val="single" w:sz="4" w:space="0" w:color="9C9D9F"/>
              <w:bottom w:val="single" w:sz="4" w:space="0" w:color="9C9D9F"/>
            </w:tcBorders>
            <w:shd w:val="clear" w:color="auto" w:fill="FFFFFF"/>
          </w:tcPr>
          <w:p w14:paraId="6E67FF90" w14:textId="77777777" w:rsidR="000C292F" w:rsidRPr="006C048C" w:rsidRDefault="000C292F" w:rsidP="00E431E6">
            <w:pPr>
              <w:jc w:val="right"/>
              <w:rPr>
                <w:rFonts w:cs="Arial"/>
                <w:sz w:val="20"/>
                <w:szCs w:val="20"/>
              </w:rPr>
            </w:pPr>
            <w:r w:rsidRPr="006C048C">
              <w:rPr>
                <w:rFonts w:cs="Arial"/>
                <w:sz w:val="20"/>
                <w:szCs w:val="20"/>
              </w:rPr>
              <w:t>100 %</w:t>
            </w:r>
          </w:p>
        </w:tc>
      </w:tr>
      <w:tr w:rsidR="000C292F" w:rsidRPr="006C048C" w14:paraId="4B2F2A88" w14:textId="77777777" w:rsidTr="00E431E6">
        <w:trPr>
          <w:trHeight w:val="20"/>
        </w:trPr>
        <w:tc>
          <w:tcPr>
            <w:tcW w:w="3960" w:type="dxa"/>
            <w:tcBorders>
              <w:top w:val="single" w:sz="4" w:space="0" w:color="9C9D9F"/>
              <w:bottom w:val="single" w:sz="4" w:space="0" w:color="9C9D9F"/>
            </w:tcBorders>
            <w:noWrap/>
            <w:vAlign w:val="bottom"/>
          </w:tcPr>
          <w:p w14:paraId="5005BB1C" w14:textId="77777777" w:rsidR="000C292F" w:rsidRPr="006C048C" w:rsidRDefault="000C292F" w:rsidP="00E431E6">
            <w:pPr>
              <w:rPr>
                <w:rFonts w:cs="Arial"/>
                <w:sz w:val="20"/>
                <w:szCs w:val="20"/>
              </w:rPr>
            </w:pPr>
            <w:r w:rsidRPr="006C048C">
              <w:rPr>
                <w:rFonts w:cs="Arial"/>
                <w:sz w:val="20"/>
                <w:szCs w:val="20"/>
              </w:rPr>
              <w:t>Česká spořitelna – 39,852 mil. EUR</w:t>
            </w:r>
          </w:p>
        </w:tc>
        <w:tc>
          <w:tcPr>
            <w:tcW w:w="1707" w:type="dxa"/>
            <w:tcBorders>
              <w:top w:val="single" w:sz="4" w:space="0" w:color="9C9D9F"/>
              <w:bottom w:val="single" w:sz="4" w:space="0" w:color="9C9D9F"/>
            </w:tcBorders>
            <w:vAlign w:val="bottom"/>
          </w:tcPr>
          <w:p w14:paraId="06E8129E" w14:textId="77777777" w:rsidR="000C292F" w:rsidRPr="006C048C" w:rsidRDefault="000C292F" w:rsidP="00E431E6">
            <w:pPr>
              <w:jc w:val="right"/>
              <w:rPr>
                <w:rFonts w:cs="Arial"/>
                <w:sz w:val="20"/>
                <w:szCs w:val="20"/>
              </w:rPr>
            </w:pPr>
            <w:r w:rsidRPr="006C048C">
              <w:rPr>
                <w:rFonts w:cs="Arial"/>
                <w:sz w:val="20"/>
                <w:szCs w:val="20"/>
              </w:rPr>
              <w:t>15 367</w:t>
            </w:r>
          </w:p>
        </w:tc>
        <w:tc>
          <w:tcPr>
            <w:tcW w:w="1708" w:type="dxa"/>
            <w:tcBorders>
              <w:top w:val="single" w:sz="4" w:space="0" w:color="9C9D9F"/>
              <w:bottom w:val="single" w:sz="4" w:space="0" w:color="9C9D9F"/>
            </w:tcBorders>
            <w:shd w:val="clear" w:color="auto" w:fill="FFFFFF"/>
            <w:vAlign w:val="bottom"/>
          </w:tcPr>
          <w:p w14:paraId="101EEB07" w14:textId="77777777" w:rsidR="000C292F" w:rsidRPr="006C048C" w:rsidRDefault="000C292F" w:rsidP="00E431E6">
            <w:pPr>
              <w:jc w:val="right"/>
              <w:rPr>
                <w:rFonts w:cs="Arial"/>
                <w:sz w:val="20"/>
                <w:szCs w:val="20"/>
              </w:rPr>
            </w:pPr>
            <w:r w:rsidRPr="006C048C">
              <w:rPr>
                <w:rFonts w:cs="Arial"/>
                <w:sz w:val="20"/>
                <w:szCs w:val="20"/>
              </w:rPr>
              <w:t>-28 173</w:t>
            </w:r>
          </w:p>
        </w:tc>
        <w:tc>
          <w:tcPr>
            <w:tcW w:w="1767" w:type="dxa"/>
            <w:tcBorders>
              <w:top w:val="single" w:sz="4" w:space="0" w:color="9C9D9F"/>
              <w:bottom w:val="single" w:sz="4" w:space="0" w:color="9C9D9F"/>
            </w:tcBorders>
            <w:shd w:val="clear" w:color="auto" w:fill="FFFFFF"/>
          </w:tcPr>
          <w:p w14:paraId="0D2B24CB" w14:textId="77777777" w:rsidR="000C292F" w:rsidRPr="006C048C" w:rsidRDefault="000C292F" w:rsidP="00E431E6">
            <w:pPr>
              <w:jc w:val="right"/>
              <w:rPr>
                <w:rFonts w:cs="Arial"/>
                <w:sz w:val="20"/>
                <w:szCs w:val="20"/>
              </w:rPr>
            </w:pPr>
            <w:r w:rsidRPr="006C048C">
              <w:rPr>
                <w:rFonts w:cs="Arial"/>
                <w:sz w:val="20"/>
                <w:szCs w:val="20"/>
              </w:rPr>
              <w:t>100 %</w:t>
            </w:r>
          </w:p>
        </w:tc>
      </w:tr>
      <w:tr w:rsidR="000C292F" w:rsidRPr="006C048C" w14:paraId="0B5A5585" w14:textId="77777777" w:rsidTr="00E431E6">
        <w:trPr>
          <w:trHeight w:val="20"/>
        </w:trPr>
        <w:tc>
          <w:tcPr>
            <w:tcW w:w="3960" w:type="dxa"/>
            <w:tcBorders>
              <w:top w:val="single" w:sz="4" w:space="0" w:color="9C9D9F"/>
              <w:bottom w:val="single" w:sz="4" w:space="0" w:color="9C9D9F"/>
            </w:tcBorders>
            <w:noWrap/>
            <w:vAlign w:val="bottom"/>
          </w:tcPr>
          <w:p w14:paraId="6B7F7261" w14:textId="77777777" w:rsidR="000C292F" w:rsidRPr="006C048C" w:rsidRDefault="000C292F" w:rsidP="00E431E6">
            <w:pPr>
              <w:rPr>
                <w:rFonts w:cs="Arial"/>
                <w:b/>
                <w:bCs/>
                <w:sz w:val="20"/>
                <w:szCs w:val="20"/>
              </w:rPr>
            </w:pPr>
            <w:r w:rsidRPr="006C048C">
              <w:rPr>
                <w:rFonts w:cs="Arial"/>
                <w:b/>
                <w:bCs/>
                <w:sz w:val="20"/>
                <w:szCs w:val="20"/>
              </w:rPr>
              <w:t>Celkem</w:t>
            </w:r>
          </w:p>
        </w:tc>
        <w:tc>
          <w:tcPr>
            <w:tcW w:w="1707" w:type="dxa"/>
            <w:tcBorders>
              <w:top w:val="single" w:sz="4" w:space="0" w:color="9C9D9F"/>
              <w:bottom w:val="single" w:sz="4" w:space="0" w:color="9C9D9F"/>
            </w:tcBorders>
            <w:vAlign w:val="bottom"/>
          </w:tcPr>
          <w:p w14:paraId="1353DE50" w14:textId="77777777" w:rsidR="000C292F" w:rsidRPr="006C048C" w:rsidRDefault="000C292F" w:rsidP="00E431E6">
            <w:pPr>
              <w:jc w:val="right"/>
              <w:rPr>
                <w:rFonts w:cs="Arial"/>
                <w:b/>
                <w:sz w:val="20"/>
                <w:szCs w:val="20"/>
              </w:rPr>
            </w:pPr>
            <w:r w:rsidRPr="006C048C">
              <w:rPr>
                <w:rFonts w:cs="Arial"/>
                <w:b/>
                <w:sz w:val="20"/>
                <w:szCs w:val="20"/>
              </w:rPr>
              <w:t>167 591</w:t>
            </w:r>
          </w:p>
        </w:tc>
        <w:tc>
          <w:tcPr>
            <w:tcW w:w="1708" w:type="dxa"/>
            <w:tcBorders>
              <w:top w:val="single" w:sz="4" w:space="0" w:color="9C9D9F"/>
              <w:bottom w:val="single" w:sz="4" w:space="0" w:color="9C9D9F"/>
            </w:tcBorders>
            <w:shd w:val="clear" w:color="auto" w:fill="FFFFFF"/>
            <w:vAlign w:val="bottom"/>
          </w:tcPr>
          <w:p w14:paraId="13846C45" w14:textId="77777777" w:rsidR="000C292F" w:rsidRPr="006C048C" w:rsidRDefault="000C292F" w:rsidP="00E431E6">
            <w:pPr>
              <w:jc w:val="right"/>
              <w:rPr>
                <w:rFonts w:cs="Arial"/>
                <w:b/>
                <w:sz w:val="20"/>
                <w:szCs w:val="20"/>
              </w:rPr>
            </w:pPr>
            <w:r w:rsidRPr="006C048C">
              <w:rPr>
                <w:rFonts w:cs="Arial"/>
                <w:b/>
                <w:sz w:val="20"/>
                <w:szCs w:val="20"/>
              </w:rPr>
              <w:t>103 650</w:t>
            </w:r>
          </w:p>
        </w:tc>
        <w:tc>
          <w:tcPr>
            <w:tcW w:w="1767" w:type="dxa"/>
            <w:tcBorders>
              <w:top w:val="single" w:sz="4" w:space="0" w:color="9C9D9F"/>
              <w:bottom w:val="single" w:sz="4" w:space="0" w:color="9C9D9F"/>
            </w:tcBorders>
            <w:shd w:val="clear" w:color="auto" w:fill="FFFFFF"/>
          </w:tcPr>
          <w:p w14:paraId="5A3A584D" w14:textId="77777777" w:rsidR="000C292F" w:rsidRPr="006C048C" w:rsidRDefault="000C292F" w:rsidP="00E431E6">
            <w:pPr>
              <w:jc w:val="right"/>
              <w:rPr>
                <w:rFonts w:cs="Arial"/>
                <w:b/>
                <w:sz w:val="20"/>
                <w:szCs w:val="20"/>
              </w:rPr>
            </w:pPr>
            <w:r w:rsidRPr="006C048C">
              <w:rPr>
                <w:rFonts w:cs="Arial"/>
                <w:b/>
                <w:sz w:val="20"/>
                <w:szCs w:val="20"/>
              </w:rPr>
              <w:t>105 %</w:t>
            </w:r>
          </w:p>
        </w:tc>
      </w:tr>
    </w:tbl>
    <w:p w14:paraId="238F971A" w14:textId="77777777" w:rsidR="000C292F" w:rsidRPr="006C048C" w:rsidRDefault="000C292F" w:rsidP="000C292F">
      <w:pPr>
        <w:spacing w:before="0" w:beforeAutospacing="0" w:after="0" w:afterAutospacing="0"/>
        <w:rPr>
          <w:rFonts w:cs="Arial"/>
          <w:color w:val="000000"/>
          <w:sz w:val="20"/>
          <w:szCs w:val="20"/>
        </w:rPr>
      </w:pPr>
      <w:r w:rsidRPr="006C048C">
        <w:rPr>
          <w:rFonts w:cs="Arial"/>
          <w:color w:val="000000"/>
          <w:sz w:val="20"/>
          <w:szCs w:val="20"/>
        </w:rPr>
        <w:t>v tis. Kč</w:t>
      </w:r>
    </w:p>
    <w:p w14:paraId="56A4745F" w14:textId="12AFC844" w:rsidR="000C292F" w:rsidRPr="006C048C" w:rsidRDefault="000C292F" w:rsidP="000C292F">
      <w:pPr>
        <w:rPr>
          <w:rFonts w:cs="Arial"/>
          <w:color w:val="000000"/>
        </w:rPr>
      </w:pPr>
      <w:r w:rsidRPr="006C048C">
        <w:rPr>
          <w:rFonts w:cs="Arial"/>
          <w:color w:val="000000"/>
        </w:rPr>
        <w:t xml:space="preserve">Reálná hodnota těchto swapů k 30. červnu 2018 představuje pohledávku Společnosti. Tyto swapy pokrývají k tomuto dni přibližně 105 % </w:t>
      </w:r>
      <w:r w:rsidR="002A485E">
        <w:rPr>
          <w:rFonts w:cs="Arial"/>
          <w:color w:val="000000"/>
        </w:rPr>
        <w:t>nominální hodnoty dluhopisů vydaných S</w:t>
      </w:r>
      <w:r w:rsidRPr="006C048C">
        <w:rPr>
          <w:rFonts w:cs="Arial"/>
          <w:color w:val="000000"/>
        </w:rPr>
        <w:t>polečnost</w:t>
      </w:r>
      <w:r w:rsidR="002A485E">
        <w:rPr>
          <w:rFonts w:cs="Arial"/>
          <w:color w:val="000000"/>
        </w:rPr>
        <w:t>í a denominovaných v Kč</w:t>
      </w:r>
      <w:r w:rsidRPr="006C048C">
        <w:rPr>
          <w:rFonts w:cs="Arial"/>
          <w:color w:val="000000"/>
        </w:rPr>
        <w:t xml:space="preserve">, </w:t>
      </w:r>
      <w:r w:rsidR="002A485E">
        <w:rPr>
          <w:rFonts w:cs="Arial"/>
          <w:color w:val="000000"/>
        </w:rPr>
        <w:t xml:space="preserve">tj. </w:t>
      </w:r>
      <w:r w:rsidRPr="006C048C">
        <w:rPr>
          <w:rFonts w:cs="Arial"/>
          <w:color w:val="000000"/>
        </w:rPr>
        <w:t>nominální hodnotu veřejné emise dluhopisů ve výši 2,5 mld. Kč (sníženou o částku zpětně odkoupených dluhopisů ve výši 198 mil. Kč) a dvou privátních emisí dluhopisů ve výši 1 080 mil. Kč, resp. 678 mil. Kč.</w:t>
      </w:r>
    </w:p>
    <w:p w14:paraId="7E1135A0" w14:textId="77777777" w:rsidR="000C292F" w:rsidRPr="006C048C" w:rsidRDefault="000C292F" w:rsidP="000C292F">
      <w:pPr>
        <w:rPr>
          <w:rFonts w:cs="Arial"/>
          <w:i/>
        </w:rPr>
      </w:pPr>
      <w:r w:rsidRPr="006C048C">
        <w:rPr>
          <w:rFonts w:cs="Arial"/>
          <w:i/>
        </w:rPr>
        <w:t>Senzitivita reálné hodnoty křížových měnových swapů</w:t>
      </w:r>
    </w:p>
    <w:p w14:paraId="191274B7" w14:textId="77777777" w:rsidR="006476F6" w:rsidRDefault="000C292F" w:rsidP="006476F6">
      <w:pPr>
        <w:rPr>
          <w:rFonts w:cs="Arial"/>
        </w:rPr>
      </w:pPr>
      <w:r w:rsidRPr="006C048C">
        <w:rPr>
          <w:rFonts w:cs="Arial"/>
        </w:rPr>
        <w:t>Posílení</w:t>
      </w:r>
      <w:r w:rsidR="006476F6">
        <w:rPr>
          <w:rFonts w:cs="Arial"/>
        </w:rPr>
        <w:t>, resp. oslabení</w:t>
      </w:r>
      <w:r w:rsidRPr="006C048C">
        <w:rPr>
          <w:rFonts w:cs="Arial"/>
        </w:rPr>
        <w:t xml:space="preserve"> kurzu Kč vůči EUR o 1 % by zvýšilo</w:t>
      </w:r>
      <w:r w:rsidR="006476F6">
        <w:rPr>
          <w:rFonts w:cs="Arial"/>
        </w:rPr>
        <w:t>, resp. snížilo</w:t>
      </w:r>
      <w:r w:rsidRPr="006C048C">
        <w:rPr>
          <w:rFonts w:cs="Arial"/>
        </w:rPr>
        <w:t xml:space="preserve"> reálnou hodnotu křížových měnových swapů k 30. červnu 2018 o </w:t>
      </w:r>
      <w:r w:rsidRPr="007A4D87">
        <w:rPr>
          <w:rFonts w:cs="Arial"/>
        </w:rPr>
        <w:t xml:space="preserve">zhruba </w:t>
      </w:r>
      <w:r w:rsidR="000C10BD">
        <w:rPr>
          <w:rFonts w:cs="Arial"/>
        </w:rPr>
        <w:t>40</w:t>
      </w:r>
      <w:r w:rsidRPr="007A4D87">
        <w:rPr>
          <w:rFonts w:cs="Arial"/>
        </w:rPr>
        <w:t xml:space="preserve"> mil</w:t>
      </w:r>
      <w:r w:rsidRPr="006C048C">
        <w:rPr>
          <w:rFonts w:cs="Arial"/>
        </w:rPr>
        <w:t>. Kč.</w:t>
      </w:r>
    </w:p>
    <w:p w14:paraId="4282D288" w14:textId="119BF56A" w:rsidR="000C292F" w:rsidRPr="006C048C" w:rsidRDefault="000C292F" w:rsidP="000C292F">
      <w:pPr>
        <w:rPr>
          <w:rFonts w:cs="Arial"/>
          <w:b/>
        </w:rPr>
      </w:pPr>
      <w:r w:rsidRPr="006C048C">
        <w:rPr>
          <w:rFonts w:cs="Arial"/>
          <w:b/>
        </w:rPr>
        <w:t>Cizoměnové op</w:t>
      </w:r>
      <w:r w:rsidR="00BE7891">
        <w:rPr>
          <w:rFonts w:cs="Arial"/>
          <w:b/>
        </w:rPr>
        <w:t>ční struktury</w:t>
      </w:r>
    </w:p>
    <w:p w14:paraId="2FD371B1" w14:textId="77777777" w:rsidR="000C292F" w:rsidRPr="006C048C" w:rsidRDefault="000C292F" w:rsidP="000C292F">
      <w:pPr>
        <w:rPr>
          <w:rFonts w:cs="Arial"/>
          <w:i/>
        </w:rPr>
      </w:pPr>
      <w:r w:rsidRPr="006C048C">
        <w:rPr>
          <w:rFonts w:cs="Arial"/>
          <w:i/>
        </w:rPr>
        <w:t>Cizoměnová opční struktura I.</w:t>
      </w:r>
    </w:p>
    <w:p w14:paraId="5DBD5550" w14:textId="77777777" w:rsidR="000C292F" w:rsidRPr="006C048C" w:rsidRDefault="000C292F" w:rsidP="000C292F">
      <w:pPr>
        <w:rPr>
          <w:rFonts w:cs="Arial"/>
        </w:rPr>
      </w:pPr>
      <w:r w:rsidRPr="006C048C">
        <w:rPr>
          <w:rFonts w:cs="Arial"/>
        </w:rPr>
        <w:t xml:space="preserve">Společnost měla k 30. červnu 2018 otevřenou pozici v cizoměnové opční struktuře, kterou Společnost uzavřela v březnu 2016. Cílem této cizoměnové opční struktury je zajištění měnového rizika spojeného s tržbami v EUR a jejich konverzí do Kč v přibližném objemu, který Společnost měsíčně vynakládá na výplatu mezd. </w:t>
      </w:r>
    </w:p>
    <w:p w14:paraId="437EB8E0" w14:textId="77777777" w:rsidR="000C292F" w:rsidRPr="006C048C" w:rsidRDefault="000C292F" w:rsidP="000C292F">
      <w:pPr>
        <w:rPr>
          <w:rFonts w:cs="Arial"/>
        </w:rPr>
      </w:pPr>
      <w:r w:rsidRPr="006C048C">
        <w:rPr>
          <w:rFonts w:cs="Arial"/>
        </w:rPr>
        <w:t xml:space="preserve">Cizoměnová opční struktura se skládá ze dvou samostatných transakcí, série syntetických forwardů a bariérových opcí s měsíční expirací až do července 2019. Smyslem bariérových opcí </w:t>
      </w:r>
      <w:r w:rsidRPr="006C048C">
        <w:rPr>
          <w:rFonts w:cs="Arial"/>
        </w:rPr>
        <w:lastRenderedPageBreak/>
        <w:t xml:space="preserve">bylo, před opuštěním kurzového závazku ČNB, vylepšit profil celé opční struktury kolem úrovně kurzu 27 Kč za EUR. </w:t>
      </w:r>
    </w:p>
    <w:p w14:paraId="6F8748E8" w14:textId="6064C649" w:rsidR="000C292F" w:rsidRPr="006C048C" w:rsidRDefault="000C292F" w:rsidP="000C292F">
      <w:pPr>
        <w:rPr>
          <w:rFonts w:cs="Arial"/>
        </w:rPr>
      </w:pPr>
      <w:r w:rsidRPr="006C048C">
        <w:rPr>
          <w:rFonts w:cs="Arial"/>
        </w:rPr>
        <w:t>Společnost vede zajišťovací účetnictví na část cizoměnové opční struktury, sérii měsíčních syntetických forwardů. Změna v reálné hodnotě této části opční struktury, která je považována za efektivní z hlediska zajištění, je vykazována ve vlastním kapitálu. Změna v</w:t>
      </w:r>
      <w:r w:rsidR="00CE23ED">
        <w:rPr>
          <w:rFonts w:cs="Arial"/>
        </w:rPr>
        <w:t> </w:t>
      </w:r>
      <w:r w:rsidRPr="006C048C">
        <w:rPr>
          <w:rFonts w:cs="Arial"/>
        </w:rPr>
        <w:t>reálné hodnotě těchto syntetických forwardů z části, která je považována za neefektivní z</w:t>
      </w:r>
      <w:r w:rsidR="00CE23ED">
        <w:rPr>
          <w:rFonts w:cs="Arial"/>
        </w:rPr>
        <w:t> </w:t>
      </w:r>
      <w:r w:rsidRPr="006C048C">
        <w:rPr>
          <w:rFonts w:cs="Arial"/>
        </w:rPr>
        <w:t>hlediska zajištění, je účtována ve výkazu zisků a ztrát. Druhou část opční struktury, sérii měsíčních bariérových opcí, Společnost vede mimo zajišťovací účetnictví a změnu v její reálné hodnotě účtuje ve výkazu zisků a ztrát.</w:t>
      </w:r>
    </w:p>
    <w:p w14:paraId="3404DCD3" w14:textId="77777777" w:rsidR="000C292F" w:rsidRPr="006C048C" w:rsidRDefault="000C292F" w:rsidP="000C292F">
      <w:pPr>
        <w:rPr>
          <w:rFonts w:cs="Arial"/>
          <w:i/>
        </w:rPr>
      </w:pPr>
      <w:r w:rsidRPr="006C048C">
        <w:rPr>
          <w:rFonts w:cs="Arial"/>
          <w:i/>
        </w:rPr>
        <w:t>Cizoměnová opční struktura II.</w:t>
      </w:r>
    </w:p>
    <w:p w14:paraId="39985DE6" w14:textId="77777777" w:rsidR="000C292F" w:rsidRPr="006C048C" w:rsidRDefault="000C292F" w:rsidP="000C292F">
      <w:pPr>
        <w:rPr>
          <w:rFonts w:cs="Arial"/>
        </w:rPr>
      </w:pPr>
      <w:r w:rsidRPr="006C048C">
        <w:rPr>
          <w:rFonts w:cs="Arial"/>
        </w:rPr>
        <w:t xml:space="preserve">V dubnu 2018 Společnost uzavřela cizoměnou opční strukturu. Cílem této cizoměnové opční struktury je zajištění měnového rizika spojeného s tržbami v EUR a jejich konverzí do Kč v přibližném objemu, který Společnost měsíčně vynakládá na výplatu mezd po expiraci výše uvedené opční struktury z roku 2016. </w:t>
      </w:r>
    </w:p>
    <w:p w14:paraId="255712D4" w14:textId="77777777" w:rsidR="000C292F" w:rsidRPr="006C048C" w:rsidRDefault="000C292F" w:rsidP="000C292F">
      <w:pPr>
        <w:rPr>
          <w:rFonts w:cs="Arial"/>
        </w:rPr>
      </w:pPr>
      <w:r w:rsidRPr="006C048C">
        <w:rPr>
          <w:rFonts w:cs="Arial"/>
        </w:rPr>
        <w:t xml:space="preserve">Cizoměnová opční struktura se skládá ze dvou samostatných transakcí, série syntetických forwardů a vypsaných (prodaných) opcí s měsíční expirací od srpna 2019 až do července 2021. </w:t>
      </w:r>
    </w:p>
    <w:p w14:paraId="187A136E" w14:textId="25AB4ECD" w:rsidR="000C292F" w:rsidRPr="006C048C" w:rsidRDefault="000C292F" w:rsidP="000C292F">
      <w:pPr>
        <w:rPr>
          <w:rFonts w:cs="Arial"/>
        </w:rPr>
      </w:pPr>
      <w:r w:rsidRPr="006C048C">
        <w:rPr>
          <w:rFonts w:cs="Arial"/>
        </w:rPr>
        <w:t>Společnost vede zajišťovací účetnictví na část cizoměnové opční struktury, sérii měsíčních syntetických forwardů. Změna v reálné hodnotě této části opční struktury, která je považována za efektivní z hlediska zajištění, je vykazována ve vlastním kapitálu. Změna v</w:t>
      </w:r>
      <w:r w:rsidR="00CE23ED">
        <w:rPr>
          <w:rFonts w:cs="Arial"/>
        </w:rPr>
        <w:t> </w:t>
      </w:r>
      <w:r w:rsidRPr="006C048C">
        <w:rPr>
          <w:rFonts w:cs="Arial"/>
        </w:rPr>
        <w:t>reálné hodnotě těchto syntetických forwardů z části, která je považována za neefektivní z</w:t>
      </w:r>
      <w:r w:rsidR="00CE23ED">
        <w:rPr>
          <w:rFonts w:cs="Arial"/>
        </w:rPr>
        <w:t> </w:t>
      </w:r>
      <w:r w:rsidRPr="006C048C">
        <w:rPr>
          <w:rFonts w:cs="Arial"/>
        </w:rPr>
        <w:t>hlediska zajištění, je účtována ve výkazu zisků a ztrát. Druhou část opční struktury, sérii měsíčních vypsaných opcí, Společnost vede mimo zajišťovací účetnictví a změnu v její reálné hodnotě účtuje ve výkazu zisků a ztrát.</w:t>
      </w:r>
    </w:p>
    <w:p w14:paraId="1E481038" w14:textId="570080BB" w:rsidR="00B05CBE" w:rsidRDefault="000C292F" w:rsidP="000C292F">
      <w:pPr>
        <w:rPr>
          <w:rFonts w:cs="Arial"/>
        </w:rPr>
      </w:pPr>
      <w:r w:rsidRPr="006C048C">
        <w:rPr>
          <w:rFonts w:cs="Arial"/>
        </w:rPr>
        <w:t>Reálná hodnota těchto cizoměnových opčních struktur k 30. červnu 2018 je uvedena v</w:t>
      </w:r>
      <w:r w:rsidR="00CE23ED">
        <w:rPr>
          <w:rFonts w:cs="Arial"/>
        </w:rPr>
        <w:t> </w:t>
      </w:r>
      <w:r w:rsidRPr="006C048C">
        <w:rPr>
          <w:rFonts w:cs="Arial"/>
        </w:rPr>
        <w:t>následující tabulce. Kladná hodnota představuje pohledávku Společnosti, záporná hodnota závazek Společnosti.</w:t>
      </w:r>
    </w:p>
    <w:tbl>
      <w:tblPr>
        <w:tblW w:w="5000" w:type="pct"/>
        <w:tblCellMar>
          <w:left w:w="70" w:type="dxa"/>
          <w:right w:w="70" w:type="dxa"/>
        </w:tblCellMar>
        <w:tblLook w:val="0000" w:firstRow="0" w:lastRow="0" w:firstColumn="0" w:lastColumn="0" w:noHBand="0" w:noVBand="0"/>
      </w:tblPr>
      <w:tblGrid>
        <w:gridCol w:w="5052"/>
        <w:gridCol w:w="2008"/>
        <w:gridCol w:w="2012"/>
      </w:tblGrid>
      <w:tr w:rsidR="000C292F" w:rsidRPr="006C048C" w14:paraId="3A0FDC83" w14:textId="77777777" w:rsidTr="00B05CBE">
        <w:trPr>
          <w:trHeight w:val="20"/>
        </w:trPr>
        <w:tc>
          <w:tcPr>
            <w:tcW w:w="2784" w:type="pct"/>
            <w:shd w:val="clear" w:color="auto" w:fill="2A7FC6"/>
            <w:noWrap/>
            <w:vAlign w:val="center"/>
          </w:tcPr>
          <w:p w14:paraId="4DA30318" w14:textId="77777777" w:rsidR="000C292F" w:rsidRPr="006C048C" w:rsidRDefault="000C292F" w:rsidP="00E431E6">
            <w:pPr>
              <w:jc w:val="center"/>
              <w:rPr>
                <w:rFonts w:cs="Arial"/>
                <w:b/>
                <w:color w:val="FFFFFF" w:themeColor="background1"/>
                <w:sz w:val="20"/>
                <w:szCs w:val="20"/>
              </w:rPr>
            </w:pPr>
            <w:r w:rsidRPr="006C048C">
              <w:rPr>
                <w:rFonts w:cs="Arial"/>
                <w:b/>
                <w:color w:val="FFFFFF" w:themeColor="background1"/>
                <w:sz w:val="20"/>
                <w:szCs w:val="20"/>
              </w:rPr>
              <w:t>Protistrana</w:t>
            </w:r>
          </w:p>
        </w:tc>
        <w:tc>
          <w:tcPr>
            <w:tcW w:w="1107" w:type="pct"/>
            <w:shd w:val="clear" w:color="auto" w:fill="2A7FC6"/>
            <w:vAlign w:val="center"/>
          </w:tcPr>
          <w:p w14:paraId="01BA85E4" w14:textId="77777777" w:rsidR="000C292F" w:rsidRPr="006C048C" w:rsidRDefault="000C292F" w:rsidP="00E431E6">
            <w:pPr>
              <w:jc w:val="center"/>
              <w:rPr>
                <w:rFonts w:cs="Arial"/>
                <w:b/>
                <w:bCs/>
                <w:color w:val="FFFFFF" w:themeColor="background1"/>
                <w:sz w:val="20"/>
                <w:szCs w:val="20"/>
              </w:rPr>
            </w:pPr>
            <w:r w:rsidRPr="006C048C">
              <w:rPr>
                <w:rFonts w:cs="Arial"/>
                <w:b/>
                <w:bCs/>
                <w:color w:val="FFFFFF" w:themeColor="background1"/>
                <w:sz w:val="20"/>
                <w:szCs w:val="20"/>
              </w:rPr>
              <w:t>k 30. červnu 2017</w:t>
            </w:r>
          </w:p>
        </w:tc>
        <w:tc>
          <w:tcPr>
            <w:tcW w:w="1109" w:type="pct"/>
            <w:shd w:val="clear" w:color="auto" w:fill="2A7FC6"/>
            <w:vAlign w:val="center"/>
          </w:tcPr>
          <w:p w14:paraId="6BAF2AF5" w14:textId="77777777" w:rsidR="000C292F" w:rsidRPr="006C048C" w:rsidRDefault="000C292F" w:rsidP="00E431E6">
            <w:pPr>
              <w:jc w:val="center"/>
              <w:rPr>
                <w:rFonts w:cs="Arial"/>
                <w:b/>
                <w:bCs/>
                <w:color w:val="FFFFFF" w:themeColor="background1"/>
                <w:sz w:val="20"/>
                <w:szCs w:val="20"/>
              </w:rPr>
            </w:pPr>
            <w:r w:rsidRPr="006C048C">
              <w:rPr>
                <w:rFonts w:cs="Arial"/>
                <w:b/>
                <w:bCs/>
                <w:color w:val="FFFFFF" w:themeColor="background1"/>
                <w:sz w:val="20"/>
                <w:szCs w:val="20"/>
              </w:rPr>
              <w:t>k 30. červnu 2018</w:t>
            </w:r>
          </w:p>
        </w:tc>
      </w:tr>
      <w:tr w:rsidR="000C292F" w:rsidRPr="006C048C" w14:paraId="3AF15E18" w14:textId="77777777" w:rsidTr="00B05CBE">
        <w:trPr>
          <w:trHeight w:val="20"/>
        </w:trPr>
        <w:tc>
          <w:tcPr>
            <w:tcW w:w="2784" w:type="pct"/>
            <w:tcBorders>
              <w:bottom w:val="single" w:sz="4" w:space="0" w:color="9C9D9F"/>
            </w:tcBorders>
            <w:noWrap/>
            <w:vAlign w:val="bottom"/>
          </w:tcPr>
          <w:p w14:paraId="0D8B608A" w14:textId="224C6C6D" w:rsidR="000C292F" w:rsidRPr="006C048C" w:rsidRDefault="000C292F" w:rsidP="00E431E6">
            <w:pPr>
              <w:rPr>
                <w:rFonts w:cs="Arial"/>
                <w:sz w:val="20"/>
                <w:szCs w:val="20"/>
              </w:rPr>
            </w:pPr>
            <w:r w:rsidRPr="006C048C">
              <w:rPr>
                <w:rFonts w:cs="Arial"/>
                <w:sz w:val="20"/>
                <w:szCs w:val="20"/>
              </w:rPr>
              <w:t>Cizoměnová opční struktura I. -</w:t>
            </w:r>
            <w:r w:rsidR="006476F6">
              <w:rPr>
                <w:rFonts w:cs="Arial"/>
                <w:sz w:val="20"/>
                <w:szCs w:val="20"/>
              </w:rPr>
              <w:t xml:space="preserve"> </w:t>
            </w:r>
            <w:r w:rsidRPr="006C048C">
              <w:rPr>
                <w:rFonts w:cs="Arial"/>
                <w:sz w:val="20"/>
                <w:szCs w:val="20"/>
              </w:rPr>
              <w:t>série syntetických forwardů</w:t>
            </w:r>
          </w:p>
        </w:tc>
        <w:tc>
          <w:tcPr>
            <w:tcW w:w="1107" w:type="pct"/>
            <w:tcBorders>
              <w:bottom w:val="single" w:sz="4" w:space="0" w:color="9C9D9F"/>
            </w:tcBorders>
            <w:vAlign w:val="bottom"/>
          </w:tcPr>
          <w:p w14:paraId="37034488" w14:textId="77777777" w:rsidR="000C292F" w:rsidRPr="006C048C" w:rsidRDefault="000C292F" w:rsidP="00E431E6">
            <w:pPr>
              <w:jc w:val="right"/>
              <w:rPr>
                <w:rFonts w:cs="Arial"/>
                <w:sz w:val="20"/>
                <w:szCs w:val="20"/>
              </w:rPr>
            </w:pPr>
            <w:r w:rsidRPr="006C048C">
              <w:rPr>
                <w:rFonts w:cs="Arial"/>
                <w:sz w:val="20"/>
                <w:szCs w:val="20"/>
              </w:rPr>
              <w:t>15 540</w:t>
            </w:r>
          </w:p>
        </w:tc>
        <w:tc>
          <w:tcPr>
            <w:tcW w:w="1109" w:type="pct"/>
            <w:tcBorders>
              <w:bottom w:val="single" w:sz="4" w:space="0" w:color="9C9D9F"/>
            </w:tcBorders>
            <w:shd w:val="clear" w:color="auto" w:fill="FFFFFF"/>
            <w:vAlign w:val="bottom"/>
          </w:tcPr>
          <w:p w14:paraId="1368EA4E" w14:textId="77777777" w:rsidR="000C292F" w:rsidRPr="006C048C" w:rsidRDefault="000C292F" w:rsidP="00E431E6">
            <w:pPr>
              <w:jc w:val="right"/>
              <w:rPr>
                <w:rFonts w:cs="Arial"/>
                <w:sz w:val="20"/>
                <w:szCs w:val="20"/>
              </w:rPr>
            </w:pPr>
            <w:r w:rsidRPr="006C048C">
              <w:rPr>
                <w:rFonts w:cs="Arial"/>
                <w:sz w:val="20"/>
                <w:szCs w:val="20"/>
              </w:rPr>
              <w:t>7 573</w:t>
            </w:r>
          </w:p>
        </w:tc>
      </w:tr>
      <w:tr w:rsidR="000C292F" w:rsidRPr="006C048C" w14:paraId="56A87694" w14:textId="77777777" w:rsidTr="00B05CBE">
        <w:trPr>
          <w:trHeight w:val="20"/>
        </w:trPr>
        <w:tc>
          <w:tcPr>
            <w:tcW w:w="2784" w:type="pct"/>
            <w:tcBorders>
              <w:top w:val="single" w:sz="4" w:space="0" w:color="9C9D9F"/>
              <w:bottom w:val="single" w:sz="4" w:space="0" w:color="9C9D9F"/>
            </w:tcBorders>
            <w:noWrap/>
            <w:vAlign w:val="bottom"/>
          </w:tcPr>
          <w:p w14:paraId="58B39B8E" w14:textId="77777777" w:rsidR="000C292F" w:rsidRPr="006C048C" w:rsidRDefault="000C292F" w:rsidP="00E431E6">
            <w:pPr>
              <w:rPr>
                <w:rFonts w:cs="Arial"/>
                <w:b/>
                <w:bCs/>
                <w:sz w:val="20"/>
                <w:szCs w:val="20"/>
              </w:rPr>
            </w:pPr>
            <w:r w:rsidRPr="006C048C">
              <w:rPr>
                <w:rFonts w:cs="Arial"/>
                <w:sz w:val="20"/>
                <w:szCs w:val="20"/>
              </w:rPr>
              <w:t>Cizoměnová opční struktura I. - série bariérových opcí</w:t>
            </w:r>
          </w:p>
        </w:tc>
        <w:tc>
          <w:tcPr>
            <w:tcW w:w="1107" w:type="pct"/>
            <w:tcBorders>
              <w:top w:val="single" w:sz="4" w:space="0" w:color="9C9D9F"/>
              <w:bottom w:val="single" w:sz="4" w:space="0" w:color="9C9D9F"/>
            </w:tcBorders>
            <w:vAlign w:val="bottom"/>
          </w:tcPr>
          <w:p w14:paraId="7D637272" w14:textId="77777777" w:rsidR="000C292F" w:rsidRPr="006C048C" w:rsidRDefault="000C292F" w:rsidP="00E431E6">
            <w:pPr>
              <w:jc w:val="right"/>
              <w:rPr>
                <w:rFonts w:cs="Arial"/>
                <w:sz w:val="20"/>
                <w:szCs w:val="20"/>
              </w:rPr>
            </w:pPr>
            <w:r w:rsidRPr="006C048C">
              <w:rPr>
                <w:rFonts w:cs="Arial"/>
                <w:sz w:val="20"/>
                <w:szCs w:val="20"/>
              </w:rPr>
              <w:t>-407</w:t>
            </w:r>
          </w:p>
        </w:tc>
        <w:tc>
          <w:tcPr>
            <w:tcW w:w="1109" w:type="pct"/>
            <w:tcBorders>
              <w:top w:val="single" w:sz="4" w:space="0" w:color="9C9D9F"/>
              <w:bottom w:val="single" w:sz="4" w:space="0" w:color="9C9D9F"/>
            </w:tcBorders>
            <w:shd w:val="clear" w:color="auto" w:fill="FFFFFF"/>
            <w:vAlign w:val="bottom"/>
          </w:tcPr>
          <w:p w14:paraId="6B2A73C7" w14:textId="77777777" w:rsidR="000C292F" w:rsidRPr="006C048C" w:rsidDel="004B0397" w:rsidRDefault="000C292F" w:rsidP="00E431E6">
            <w:pPr>
              <w:jc w:val="right"/>
              <w:rPr>
                <w:rFonts w:cs="Arial"/>
                <w:sz w:val="20"/>
                <w:szCs w:val="20"/>
              </w:rPr>
            </w:pPr>
            <w:r w:rsidRPr="006C048C">
              <w:rPr>
                <w:rFonts w:cs="Arial"/>
                <w:sz w:val="20"/>
                <w:szCs w:val="20"/>
              </w:rPr>
              <w:t>64</w:t>
            </w:r>
          </w:p>
        </w:tc>
      </w:tr>
      <w:tr w:rsidR="000C292F" w:rsidRPr="006C048C" w14:paraId="7F9FFEA1" w14:textId="77777777" w:rsidTr="00B05CBE">
        <w:trPr>
          <w:trHeight w:val="20"/>
        </w:trPr>
        <w:tc>
          <w:tcPr>
            <w:tcW w:w="2784" w:type="pct"/>
            <w:tcBorders>
              <w:top w:val="single" w:sz="4" w:space="0" w:color="9C9D9F"/>
              <w:bottom w:val="single" w:sz="4" w:space="0" w:color="9C9D9F"/>
            </w:tcBorders>
            <w:noWrap/>
            <w:vAlign w:val="bottom"/>
          </w:tcPr>
          <w:p w14:paraId="17D9EB27" w14:textId="77777777" w:rsidR="000C292F" w:rsidRPr="006C048C" w:rsidRDefault="000C292F" w:rsidP="00E431E6">
            <w:pPr>
              <w:rPr>
                <w:rFonts w:cs="Arial"/>
                <w:bCs/>
                <w:sz w:val="20"/>
                <w:szCs w:val="20"/>
              </w:rPr>
            </w:pPr>
            <w:r w:rsidRPr="006C048C">
              <w:rPr>
                <w:rFonts w:cs="Arial"/>
                <w:bCs/>
                <w:sz w:val="20"/>
                <w:szCs w:val="20"/>
              </w:rPr>
              <w:t>Cizoměnová opční struktura II. – série syntetických forwardů</w:t>
            </w:r>
          </w:p>
        </w:tc>
        <w:tc>
          <w:tcPr>
            <w:tcW w:w="1107" w:type="pct"/>
            <w:tcBorders>
              <w:top w:val="single" w:sz="4" w:space="0" w:color="9C9D9F"/>
              <w:bottom w:val="single" w:sz="4" w:space="0" w:color="9C9D9F"/>
            </w:tcBorders>
            <w:vAlign w:val="bottom"/>
          </w:tcPr>
          <w:p w14:paraId="1E1EF36A" w14:textId="77777777" w:rsidR="000C292F" w:rsidRPr="006C048C" w:rsidRDefault="000C292F" w:rsidP="00E431E6">
            <w:pPr>
              <w:jc w:val="right"/>
              <w:rPr>
                <w:rFonts w:cs="Arial"/>
                <w:sz w:val="20"/>
                <w:szCs w:val="20"/>
              </w:rPr>
            </w:pPr>
            <w:r w:rsidRPr="006C048C">
              <w:rPr>
                <w:rFonts w:cs="Arial"/>
                <w:sz w:val="20"/>
                <w:szCs w:val="20"/>
              </w:rPr>
              <w:t>--</w:t>
            </w:r>
          </w:p>
        </w:tc>
        <w:tc>
          <w:tcPr>
            <w:tcW w:w="1109" w:type="pct"/>
            <w:tcBorders>
              <w:top w:val="single" w:sz="4" w:space="0" w:color="9C9D9F"/>
              <w:bottom w:val="single" w:sz="4" w:space="0" w:color="9C9D9F"/>
            </w:tcBorders>
            <w:shd w:val="clear" w:color="auto" w:fill="FFFFFF"/>
            <w:vAlign w:val="bottom"/>
          </w:tcPr>
          <w:p w14:paraId="246CDE7C" w14:textId="77777777" w:rsidR="000C292F" w:rsidRPr="006C048C" w:rsidRDefault="000C292F" w:rsidP="00E431E6">
            <w:pPr>
              <w:jc w:val="right"/>
              <w:rPr>
                <w:rFonts w:cs="Arial"/>
                <w:sz w:val="20"/>
                <w:szCs w:val="20"/>
              </w:rPr>
            </w:pPr>
            <w:r w:rsidRPr="006C048C">
              <w:rPr>
                <w:rFonts w:cs="Arial"/>
                <w:sz w:val="20"/>
                <w:szCs w:val="20"/>
              </w:rPr>
              <w:t>-13 486</w:t>
            </w:r>
          </w:p>
        </w:tc>
      </w:tr>
      <w:tr w:rsidR="000C292F" w:rsidRPr="006C048C" w14:paraId="4DF93E52" w14:textId="77777777" w:rsidTr="00B05CBE">
        <w:trPr>
          <w:trHeight w:val="20"/>
        </w:trPr>
        <w:tc>
          <w:tcPr>
            <w:tcW w:w="2784" w:type="pct"/>
            <w:tcBorders>
              <w:top w:val="single" w:sz="4" w:space="0" w:color="9C9D9F"/>
              <w:bottom w:val="single" w:sz="4" w:space="0" w:color="9C9D9F"/>
            </w:tcBorders>
            <w:noWrap/>
            <w:vAlign w:val="bottom"/>
          </w:tcPr>
          <w:p w14:paraId="37F8608C" w14:textId="77777777" w:rsidR="000C292F" w:rsidRPr="006C048C" w:rsidRDefault="000C292F" w:rsidP="00E431E6">
            <w:pPr>
              <w:rPr>
                <w:rFonts w:cs="Arial"/>
                <w:bCs/>
                <w:sz w:val="20"/>
                <w:szCs w:val="20"/>
              </w:rPr>
            </w:pPr>
            <w:r w:rsidRPr="006C048C">
              <w:rPr>
                <w:rFonts w:cs="Arial"/>
                <w:bCs/>
                <w:sz w:val="20"/>
                <w:szCs w:val="20"/>
              </w:rPr>
              <w:t>Cizoměnová opční struktura II. – série vypsaných opcí</w:t>
            </w:r>
          </w:p>
        </w:tc>
        <w:tc>
          <w:tcPr>
            <w:tcW w:w="1107" w:type="pct"/>
            <w:tcBorders>
              <w:top w:val="single" w:sz="4" w:space="0" w:color="9C9D9F"/>
              <w:bottom w:val="single" w:sz="4" w:space="0" w:color="9C9D9F"/>
            </w:tcBorders>
            <w:vAlign w:val="bottom"/>
          </w:tcPr>
          <w:p w14:paraId="4E9CB0A7" w14:textId="77777777" w:rsidR="000C292F" w:rsidRPr="006C048C" w:rsidRDefault="000C292F" w:rsidP="00E431E6">
            <w:pPr>
              <w:jc w:val="right"/>
              <w:rPr>
                <w:rFonts w:cs="Arial"/>
                <w:sz w:val="20"/>
                <w:szCs w:val="20"/>
              </w:rPr>
            </w:pPr>
            <w:r w:rsidRPr="006C048C">
              <w:rPr>
                <w:rFonts w:cs="Arial"/>
                <w:sz w:val="20"/>
                <w:szCs w:val="20"/>
              </w:rPr>
              <w:t>--</w:t>
            </w:r>
          </w:p>
        </w:tc>
        <w:tc>
          <w:tcPr>
            <w:tcW w:w="1109" w:type="pct"/>
            <w:tcBorders>
              <w:top w:val="single" w:sz="4" w:space="0" w:color="9C9D9F"/>
              <w:bottom w:val="single" w:sz="4" w:space="0" w:color="9C9D9F"/>
            </w:tcBorders>
            <w:shd w:val="clear" w:color="auto" w:fill="FFFFFF"/>
            <w:vAlign w:val="bottom"/>
          </w:tcPr>
          <w:p w14:paraId="6C31CFAE" w14:textId="77777777" w:rsidR="000C292F" w:rsidRPr="006C048C" w:rsidRDefault="000C292F" w:rsidP="00E431E6">
            <w:pPr>
              <w:jc w:val="right"/>
              <w:rPr>
                <w:rFonts w:cs="Arial"/>
                <w:sz w:val="20"/>
                <w:szCs w:val="20"/>
              </w:rPr>
            </w:pPr>
            <w:r w:rsidRPr="006C048C">
              <w:rPr>
                <w:rFonts w:cs="Arial"/>
                <w:sz w:val="20"/>
                <w:szCs w:val="20"/>
              </w:rPr>
              <w:t>-6 888</w:t>
            </w:r>
          </w:p>
        </w:tc>
      </w:tr>
      <w:tr w:rsidR="000C292F" w:rsidRPr="006C048C" w14:paraId="3DE2A554" w14:textId="77777777" w:rsidTr="00B05CBE">
        <w:trPr>
          <w:trHeight w:val="20"/>
        </w:trPr>
        <w:tc>
          <w:tcPr>
            <w:tcW w:w="2784" w:type="pct"/>
            <w:tcBorders>
              <w:top w:val="single" w:sz="4" w:space="0" w:color="9C9D9F"/>
              <w:bottom w:val="single" w:sz="4" w:space="0" w:color="9C9D9F"/>
            </w:tcBorders>
            <w:noWrap/>
            <w:vAlign w:val="bottom"/>
          </w:tcPr>
          <w:p w14:paraId="6DD8B038" w14:textId="77777777" w:rsidR="000C292F" w:rsidRPr="006C048C" w:rsidRDefault="000C292F" w:rsidP="00E431E6">
            <w:pPr>
              <w:rPr>
                <w:rFonts w:cs="Arial"/>
                <w:b/>
                <w:bCs/>
                <w:sz w:val="20"/>
                <w:szCs w:val="20"/>
              </w:rPr>
            </w:pPr>
            <w:r w:rsidRPr="006C048C">
              <w:rPr>
                <w:rFonts w:cs="Arial"/>
                <w:b/>
                <w:bCs/>
                <w:sz w:val="20"/>
                <w:szCs w:val="20"/>
              </w:rPr>
              <w:t>Celkem</w:t>
            </w:r>
          </w:p>
        </w:tc>
        <w:tc>
          <w:tcPr>
            <w:tcW w:w="1107" w:type="pct"/>
            <w:tcBorders>
              <w:top w:val="single" w:sz="4" w:space="0" w:color="9C9D9F"/>
              <w:bottom w:val="single" w:sz="4" w:space="0" w:color="9C9D9F"/>
            </w:tcBorders>
            <w:vAlign w:val="bottom"/>
          </w:tcPr>
          <w:p w14:paraId="2CED4BC8" w14:textId="77777777" w:rsidR="000C292F" w:rsidRPr="006C048C" w:rsidRDefault="000C292F" w:rsidP="00E431E6">
            <w:pPr>
              <w:jc w:val="right"/>
              <w:rPr>
                <w:rFonts w:cs="Arial"/>
                <w:b/>
                <w:sz w:val="20"/>
                <w:szCs w:val="20"/>
              </w:rPr>
            </w:pPr>
            <w:r w:rsidRPr="006C048C">
              <w:rPr>
                <w:rFonts w:cs="Arial"/>
                <w:b/>
                <w:sz w:val="20"/>
                <w:szCs w:val="20"/>
              </w:rPr>
              <w:t>15 133</w:t>
            </w:r>
          </w:p>
        </w:tc>
        <w:tc>
          <w:tcPr>
            <w:tcW w:w="1109" w:type="pct"/>
            <w:tcBorders>
              <w:top w:val="single" w:sz="4" w:space="0" w:color="9C9D9F"/>
              <w:bottom w:val="single" w:sz="4" w:space="0" w:color="9C9D9F"/>
            </w:tcBorders>
            <w:shd w:val="clear" w:color="auto" w:fill="FFFFFF"/>
            <w:vAlign w:val="bottom"/>
          </w:tcPr>
          <w:p w14:paraId="2680FFD0" w14:textId="77777777" w:rsidR="000C292F" w:rsidRPr="006C048C" w:rsidRDefault="000C292F" w:rsidP="00E431E6">
            <w:pPr>
              <w:jc w:val="right"/>
              <w:rPr>
                <w:rFonts w:cs="Arial"/>
                <w:b/>
                <w:sz w:val="20"/>
                <w:szCs w:val="20"/>
              </w:rPr>
            </w:pPr>
            <w:r w:rsidRPr="006C048C">
              <w:rPr>
                <w:rFonts w:cs="Arial"/>
                <w:b/>
                <w:sz w:val="20"/>
                <w:szCs w:val="20"/>
              </w:rPr>
              <w:t>-12 737</w:t>
            </w:r>
          </w:p>
        </w:tc>
      </w:tr>
    </w:tbl>
    <w:p w14:paraId="3AED6E65" w14:textId="77777777" w:rsidR="000C292F" w:rsidRPr="006C048C" w:rsidRDefault="000C292F" w:rsidP="000C292F">
      <w:pPr>
        <w:spacing w:before="0" w:beforeAutospacing="0" w:after="0" w:afterAutospacing="0"/>
        <w:rPr>
          <w:rFonts w:cs="Arial"/>
          <w:color w:val="000000"/>
          <w:sz w:val="20"/>
          <w:szCs w:val="20"/>
        </w:rPr>
      </w:pPr>
      <w:r w:rsidRPr="006C048C">
        <w:rPr>
          <w:rFonts w:cs="Arial"/>
          <w:color w:val="000000"/>
          <w:sz w:val="20"/>
          <w:szCs w:val="20"/>
        </w:rPr>
        <w:t>v tis. Kč</w:t>
      </w:r>
    </w:p>
    <w:p w14:paraId="1AC4A33A" w14:textId="77777777" w:rsidR="001959D4" w:rsidRDefault="001959D4">
      <w:pPr>
        <w:spacing w:before="0" w:beforeAutospacing="0" w:after="160" w:afterAutospacing="0" w:line="259" w:lineRule="auto"/>
        <w:jc w:val="left"/>
        <w:rPr>
          <w:rFonts w:cs="Arial"/>
          <w:i/>
        </w:rPr>
      </w:pPr>
      <w:r>
        <w:rPr>
          <w:rFonts w:cs="Arial"/>
          <w:i/>
        </w:rPr>
        <w:br w:type="page"/>
      </w:r>
    </w:p>
    <w:p w14:paraId="38D7254D" w14:textId="1D1DC96A" w:rsidR="000C292F" w:rsidRPr="006C048C" w:rsidRDefault="000C292F" w:rsidP="000C292F">
      <w:pPr>
        <w:rPr>
          <w:rFonts w:cs="Arial"/>
          <w:i/>
        </w:rPr>
      </w:pPr>
      <w:r w:rsidRPr="006C048C">
        <w:rPr>
          <w:rFonts w:cs="Arial"/>
          <w:i/>
        </w:rPr>
        <w:lastRenderedPageBreak/>
        <w:t>Senzitivita reálné hodnoty cizoměnové opční struktury</w:t>
      </w:r>
      <w:r w:rsidR="004150DD">
        <w:rPr>
          <w:rFonts w:cs="Arial"/>
          <w:i/>
        </w:rPr>
        <w:t xml:space="preserve"> I.</w:t>
      </w:r>
    </w:p>
    <w:p w14:paraId="30BEBDA9" w14:textId="046EAA2D" w:rsidR="000C292F" w:rsidRPr="006C048C" w:rsidRDefault="000C292F" w:rsidP="000C292F">
      <w:pPr>
        <w:rPr>
          <w:rFonts w:cs="Arial"/>
        </w:rPr>
      </w:pPr>
      <w:r w:rsidRPr="006C048C">
        <w:rPr>
          <w:rFonts w:cs="Arial"/>
        </w:rPr>
        <w:t>Posílení</w:t>
      </w:r>
      <w:r w:rsidR="006476F6">
        <w:rPr>
          <w:rFonts w:cs="Arial"/>
        </w:rPr>
        <w:t>, resp. oslabení</w:t>
      </w:r>
      <w:r w:rsidRPr="006C048C">
        <w:rPr>
          <w:rFonts w:cs="Arial"/>
        </w:rPr>
        <w:t xml:space="preserve"> kurzu Kč vůči EUR o 5 % by zvýšilo</w:t>
      </w:r>
      <w:r w:rsidR="006476F6">
        <w:rPr>
          <w:rFonts w:cs="Arial"/>
        </w:rPr>
        <w:t>, resp. snížilo</w:t>
      </w:r>
      <w:r w:rsidRPr="006C048C">
        <w:rPr>
          <w:rFonts w:cs="Arial"/>
        </w:rPr>
        <w:t xml:space="preserve"> reálnou hodnotu cizoměnov</w:t>
      </w:r>
      <w:r w:rsidR="006476F6">
        <w:rPr>
          <w:rFonts w:cs="Arial"/>
        </w:rPr>
        <w:t>é</w:t>
      </w:r>
      <w:r w:rsidRPr="006C048C">
        <w:rPr>
          <w:rFonts w:cs="Arial"/>
        </w:rPr>
        <w:t xml:space="preserve"> opční struktur</w:t>
      </w:r>
      <w:r w:rsidR="006476F6">
        <w:rPr>
          <w:rFonts w:cs="Arial"/>
        </w:rPr>
        <w:t>y</w:t>
      </w:r>
      <w:r w:rsidRPr="006C048C">
        <w:rPr>
          <w:rFonts w:cs="Arial"/>
        </w:rPr>
        <w:t xml:space="preserve"> k 30. červnu 2018 o zhruba </w:t>
      </w:r>
      <w:r w:rsidR="004150DD">
        <w:rPr>
          <w:rFonts w:cs="Arial"/>
        </w:rPr>
        <w:t>18,6</w:t>
      </w:r>
      <w:r w:rsidR="004150DD" w:rsidRPr="006C048C">
        <w:rPr>
          <w:rFonts w:cs="Arial"/>
        </w:rPr>
        <w:t xml:space="preserve"> </w:t>
      </w:r>
      <w:r w:rsidRPr="006C048C">
        <w:rPr>
          <w:rFonts w:cs="Arial"/>
        </w:rPr>
        <w:t>mil. Kč.</w:t>
      </w:r>
    </w:p>
    <w:p w14:paraId="0F478A9D" w14:textId="70F94C3B" w:rsidR="004150DD" w:rsidRPr="006C048C" w:rsidRDefault="004150DD" w:rsidP="004150DD">
      <w:pPr>
        <w:rPr>
          <w:rFonts w:cs="Arial"/>
          <w:i/>
        </w:rPr>
      </w:pPr>
      <w:r w:rsidRPr="006C048C">
        <w:rPr>
          <w:rFonts w:cs="Arial"/>
          <w:i/>
        </w:rPr>
        <w:t>Senzitivita reálné hodnoty cizoměnové opční struktury</w:t>
      </w:r>
      <w:r>
        <w:rPr>
          <w:rFonts w:cs="Arial"/>
          <w:i/>
        </w:rPr>
        <w:t xml:space="preserve"> II.</w:t>
      </w:r>
    </w:p>
    <w:p w14:paraId="469D5731" w14:textId="0F31AF2C" w:rsidR="004150DD" w:rsidRPr="006C048C" w:rsidRDefault="004150DD" w:rsidP="004150DD">
      <w:pPr>
        <w:rPr>
          <w:rFonts w:cs="Arial"/>
        </w:rPr>
      </w:pPr>
      <w:r w:rsidRPr="006C048C">
        <w:rPr>
          <w:rFonts w:cs="Arial"/>
        </w:rPr>
        <w:t>Posílení</w:t>
      </w:r>
      <w:r w:rsidR="006476F6">
        <w:rPr>
          <w:rFonts w:cs="Arial"/>
        </w:rPr>
        <w:t>, resp. oslabení</w:t>
      </w:r>
      <w:r w:rsidRPr="006C048C">
        <w:rPr>
          <w:rFonts w:cs="Arial"/>
        </w:rPr>
        <w:t xml:space="preserve"> kurzu Kč vůči EUR o 5 % by zvýšilo</w:t>
      </w:r>
      <w:r w:rsidR="006476F6">
        <w:rPr>
          <w:rFonts w:cs="Arial"/>
        </w:rPr>
        <w:t>, resp. snížilo</w:t>
      </w:r>
      <w:r w:rsidRPr="006C048C">
        <w:rPr>
          <w:rFonts w:cs="Arial"/>
        </w:rPr>
        <w:t xml:space="preserve"> reálnou hodnotu cizoměnov</w:t>
      </w:r>
      <w:r w:rsidR="006476F6">
        <w:rPr>
          <w:rFonts w:cs="Arial"/>
        </w:rPr>
        <w:t>é</w:t>
      </w:r>
      <w:r w:rsidRPr="006C048C">
        <w:rPr>
          <w:rFonts w:cs="Arial"/>
        </w:rPr>
        <w:t xml:space="preserve"> opční struktur</w:t>
      </w:r>
      <w:r w:rsidR="006476F6">
        <w:rPr>
          <w:rFonts w:cs="Arial"/>
        </w:rPr>
        <w:t>y</w:t>
      </w:r>
      <w:r w:rsidRPr="006C048C">
        <w:rPr>
          <w:rFonts w:cs="Arial"/>
        </w:rPr>
        <w:t xml:space="preserve"> k 30. červnu 2018 o zhruba </w:t>
      </w:r>
      <w:r>
        <w:rPr>
          <w:rFonts w:cs="Arial"/>
        </w:rPr>
        <w:t>37,5</w:t>
      </w:r>
      <w:r w:rsidRPr="006C048C">
        <w:rPr>
          <w:rFonts w:cs="Arial"/>
        </w:rPr>
        <w:t xml:space="preserve"> mil. Kč.</w:t>
      </w:r>
    </w:p>
    <w:p w14:paraId="3AF963F9" w14:textId="77777777" w:rsidR="000C292F" w:rsidRPr="006C048C" w:rsidRDefault="000C292F" w:rsidP="000C292F">
      <w:pPr>
        <w:pStyle w:val="Nadpis4"/>
      </w:pPr>
      <w:r w:rsidRPr="006C048C">
        <w:t>Zisk na akcii</w:t>
      </w:r>
    </w:p>
    <w:p w14:paraId="0C7D1503" w14:textId="77777777" w:rsidR="000C292F" w:rsidRPr="006C048C" w:rsidRDefault="000C292F" w:rsidP="000C292F">
      <w:r w:rsidRPr="006C048C">
        <w:t xml:space="preserve">Základní zisk na akcii je vypočítán jako čistý zisk v daném období přiřaditelný akcionářům Společnosti dělený váženým průměrem počtu kmenových akcií existujících každý den v daném období, který zohledňuje (snížením) zpětně odkoupené akcie. </w:t>
      </w:r>
    </w:p>
    <w:p w14:paraId="359BC77E" w14:textId="77777777" w:rsidR="000C292F" w:rsidRPr="006C048C" w:rsidRDefault="000C292F" w:rsidP="000C292F">
      <w:r w:rsidRPr="006C048C">
        <w:t xml:space="preserve">Plně zředěný zisk na akcii se vypočítá na základě váženého průměru počtu akcií v oběhu (stanoveného obdobně jako v případě základního zisku na akcii) upraveného o vliv předpokládané emise všech potenciálních ředících cenných papírů. </w:t>
      </w:r>
    </w:p>
    <w:p w14:paraId="3440F77A" w14:textId="77777777" w:rsidR="000C292F" w:rsidRPr="006C048C" w:rsidRDefault="000C292F" w:rsidP="000C292F">
      <w:r w:rsidRPr="006C048C">
        <w:t>V prvních šesti měsících roku 2017 došlo ke snížení základního kapitálu Společnosti z 9 229 400 akcií na 8 763 859 akcií, tj. o 465 541 kusů zpětně odkoupených vlastních akcií. Snížení kapitálu nemělo vliv na počet akcií použitých ve výpočtu ukazatele zisku na akcii, protože ten již zohledňuje (snížením) zpětně odkoupené akcie. V prvních šesti měsících roku 2018 nedošlo ke změně v počtu akcií vydaných Společností.</w:t>
      </w:r>
    </w:p>
    <w:p w14:paraId="3B62E0D5" w14:textId="312E8E6E" w:rsidR="000C292F" w:rsidRPr="006C048C" w:rsidRDefault="000C292F" w:rsidP="000C292F">
      <w:r w:rsidRPr="006C048C">
        <w:t>Vážený průměr počtu kmenových akcií použitých pro výpočet základního zisku na akcii k</w:t>
      </w:r>
      <w:r w:rsidR="00CE23ED">
        <w:t> </w:t>
      </w:r>
      <w:r w:rsidRPr="006C048C">
        <w:t>30. červnu 2017 reflektuje zpětně odkoupené akcie a následné snížení základního kapitálu.</w:t>
      </w:r>
    </w:p>
    <w:p w14:paraId="5B58193A" w14:textId="6E69497D" w:rsidR="000C292F" w:rsidRPr="006C048C" w:rsidRDefault="000C292F" w:rsidP="000C292F">
      <w:pPr>
        <w:rPr>
          <w:b/>
        </w:rPr>
      </w:pPr>
      <w:r w:rsidRPr="006C048C">
        <w:rPr>
          <w:b/>
        </w:rPr>
        <w:t>Základní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0C292F" w:rsidRPr="006C048C" w14:paraId="6D71B8D1" w14:textId="77777777" w:rsidTr="000546B5">
        <w:trPr>
          <w:trHeight w:val="288"/>
        </w:trPr>
        <w:tc>
          <w:tcPr>
            <w:tcW w:w="3400" w:type="dxa"/>
            <w:tcBorders>
              <w:top w:val="nil"/>
              <w:left w:val="nil"/>
              <w:bottom w:val="nil"/>
              <w:right w:val="nil"/>
            </w:tcBorders>
            <w:shd w:val="clear" w:color="auto" w:fill="2A7FC6"/>
            <w:vAlign w:val="center"/>
            <w:hideMark/>
          </w:tcPr>
          <w:p w14:paraId="5DCCBBB5"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1249EF57"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2560" w:type="dxa"/>
            <w:gridSpan w:val="2"/>
            <w:tcBorders>
              <w:top w:val="nil"/>
              <w:left w:val="nil"/>
              <w:bottom w:val="nil"/>
              <w:right w:val="nil"/>
            </w:tcBorders>
            <w:shd w:val="clear" w:color="auto" w:fill="2A7FC6"/>
            <w:vAlign w:val="center"/>
            <w:hideMark/>
          </w:tcPr>
          <w:p w14:paraId="396F9541" w14:textId="77777777" w:rsidR="000C292F" w:rsidRPr="006C048C" w:rsidRDefault="000C292F" w:rsidP="00E431E6">
            <w:pPr>
              <w:spacing w:before="0" w:beforeAutospacing="0" w:after="0" w:afterAutospacing="0"/>
              <w:jc w:val="center"/>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auto" w:fill="2A7FC6"/>
            <w:vAlign w:val="center"/>
            <w:hideMark/>
          </w:tcPr>
          <w:p w14:paraId="08BD9E62" w14:textId="77777777" w:rsidR="000C292F" w:rsidRPr="006C048C" w:rsidRDefault="000C292F" w:rsidP="00E431E6">
            <w:pPr>
              <w:spacing w:before="0" w:beforeAutospacing="0" w:after="0" w:afterAutospacing="0"/>
              <w:jc w:val="center"/>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 xml:space="preserve">     Za 6 měsíců končících</w:t>
            </w:r>
          </w:p>
        </w:tc>
      </w:tr>
      <w:tr w:rsidR="000C292F" w:rsidRPr="006C048C" w14:paraId="576F86A3" w14:textId="77777777" w:rsidTr="000546B5">
        <w:trPr>
          <w:trHeight w:val="552"/>
        </w:trPr>
        <w:tc>
          <w:tcPr>
            <w:tcW w:w="3400" w:type="dxa"/>
            <w:tcBorders>
              <w:top w:val="nil"/>
              <w:left w:val="nil"/>
              <w:bottom w:val="nil"/>
              <w:right w:val="nil"/>
            </w:tcBorders>
            <w:shd w:val="clear" w:color="auto" w:fill="2A7FC6"/>
            <w:vAlign w:val="center"/>
            <w:hideMark/>
          </w:tcPr>
          <w:p w14:paraId="3ECC1200"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35DB6F61"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1280" w:type="dxa"/>
            <w:tcBorders>
              <w:top w:val="nil"/>
              <w:left w:val="nil"/>
              <w:bottom w:val="nil"/>
              <w:right w:val="nil"/>
            </w:tcBorders>
            <w:shd w:val="clear" w:color="auto" w:fill="2A7FC6"/>
            <w:vAlign w:val="center"/>
            <w:hideMark/>
          </w:tcPr>
          <w:p w14:paraId="3E4CACDD"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2017</w:t>
            </w:r>
          </w:p>
        </w:tc>
        <w:tc>
          <w:tcPr>
            <w:tcW w:w="1280" w:type="dxa"/>
            <w:tcBorders>
              <w:top w:val="nil"/>
              <w:left w:val="nil"/>
              <w:bottom w:val="nil"/>
              <w:right w:val="nil"/>
            </w:tcBorders>
            <w:shd w:val="clear" w:color="auto" w:fill="2A7FC6"/>
            <w:vAlign w:val="center"/>
            <w:hideMark/>
          </w:tcPr>
          <w:p w14:paraId="1E905ED9"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2018</w:t>
            </w:r>
          </w:p>
        </w:tc>
        <w:tc>
          <w:tcPr>
            <w:tcW w:w="1280" w:type="dxa"/>
            <w:tcBorders>
              <w:top w:val="nil"/>
              <w:left w:val="nil"/>
              <w:bottom w:val="nil"/>
              <w:right w:val="nil"/>
            </w:tcBorders>
            <w:shd w:val="clear" w:color="auto" w:fill="2A7FC6"/>
            <w:vAlign w:val="center"/>
            <w:hideMark/>
          </w:tcPr>
          <w:p w14:paraId="23936607"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2017</w:t>
            </w:r>
          </w:p>
        </w:tc>
        <w:tc>
          <w:tcPr>
            <w:tcW w:w="1280" w:type="dxa"/>
            <w:tcBorders>
              <w:top w:val="nil"/>
              <w:left w:val="nil"/>
              <w:bottom w:val="nil"/>
              <w:right w:val="nil"/>
            </w:tcBorders>
            <w:shd w:val="clear" w:color="auto" w:fill="2A7FC6"/>
            <w:vAlign w:val="center"/>
            <w:hideMark/>
          </w:tcPr>
          <w:p w14:paraId="68BDE10C" w14:textId="6DCE570E" w:rsidR="000C292F" w:rsidRPr="006C048C" w:rsidRDefault="000C292F" w:rsidP="004150DD">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w:t>
            </w:r>
            <w:r w:rsidR="004150DD">
              <w:rPr>
                <w:rFonts w:ascii="Calibri" w:hAnsi="Calibri" w:cs="Arial"/>
                <w:b/>
                <w:bCs/>
                <w:color w:val="FFFFFF" w:themeColor="background1"/>
                <w:sz w:val="20"/>
                <w:szCs w:val="20"/>
                <w:lang w:eastAsia="en-US"/>
              </w:rPr>
              <w:t>8</w:t>
            </w:r>
          </w:p>
        </w:tc>
      </w:tr>
      <w:tr w:rsidR="000C292F" w:rsidRPr="006C048C" w14:paraId="6AB48D28"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6C8D1007" w14:textId="77777777" w:rsidR="000C292F" w:rsidRPr="006C048C" w:rsidRDefault="000C292F" w:rsidP="00E431E6">
            <w:pPr>
              <w:spacing w:before="0" w:beforeAutospacing="0" w:after="0" w:afterAutospacing="0"/>
              <w:rPr>
                <w:rFonts w:ascii="Calibri" w:hAnsi="Calibri"/>
                <w:color w:val="000000"/>
                <w:sz w:val="20"/>
                <w:szCs w:val="20"/>
                <w:lang w:eastAsia="en-US"/>
              </w:rPr>
            </w:pPr>
            <w:bookmarkStart w:id="107" w:name="RANGE!B4"/>
            <w:bookmarkStart w:id="108" w:name="_Hlk277092009" w:colFirst="1" w:colLast="5"/>
            <w:r w:rsidRPr="006C048C">
              <w:rPr>
                <w:rFonts w:ascii="Calibri" w:hAnsi="Calibri" w:cs="Arial"/>
                <w:color w:val="000000"/>
                <w:sz w:val="20"/>
                <w:szCs w:val="20"/>
                <w:lang w:eastAsia="en-US"/>
              </w:rPr>
              <w:t>Čistý zisk přiřaditelný akcionářům</w:t>
            </w:r>
            <w:bookmarkEnd w:id="107"/>
          </w:p>
        </w:tc>
        <w:tc>
          <w:tcPr>
            <w:tcW w:w="960" w:type="dxa"/>
            <w:tcBorders>
              <w:top w:val="nil"/>
              <w:left w:val="nil"/>
              <w:bottom w:val="single" w:sz="8" w:space="0" w:color="9C9D9F"/>
              <w:right w:val="nil"/>
            </w:tcBorders>
            <w:shd w:val="clear" w:color="auto" w:fill="auto"/>
            <w:vAlign w:val="center"/>
            <w:hideMark/>
          </w:tcPr>
          <w:p w14:paraId="7AACBD32" w14:textId="77777777" w:rsidR="000C292F" w:rsidRPr="006C048C" w:rsidRDefault="000C292F" w:rsidP="00E431E6">
            <w:pPr>
              <w:spacing w:before="0" w:beforeAutospacing="0" w:after="0" w:afterAutospacing="0"/>
              <w:jc w:val="right"/>
              <w:rPr>
                <w:rFonts w:ascii="Calibri" w:hAnsi="Calibri"/>
                <w:color w:val="000000"/>
                <w:sz w:val="20"/>
                <w:szCs w:val="20"/>
                <w:lang w:eastAsia="en-US"/>
              </w:rPr>
            </w:pPr>
            <w:r w:rsidRPr="006C048C">
              <w:rPr>
                <w:rFonts w:ascii="Calibri" w:hAnsi="Calibri" w:cs="Arial"/>
                <w:color w:val="000000"/>
                <w:sz w:val="20"/>
                <w:szCs w:val="20"/>
                <w:lang w:eastAsia="en-US"/>
              </w:rPr>
              <w:t xml:space="preserve">tis. Kč </w:t>
            </w:r>
          </w:p>
        </w:tc>
        <w:tc>
          <w:tcPr>
            <w:tcW w:w="1280" w:type="dxa"/>
            <w:tcBorders>
              <w:top w:val="nil"/>
              <w:left w:val="nil"/>
              <w:bottom w:val="single" w:sz="8" w:space="0" w:color="9C9D9F"/>
              <w:right w:val="nil"/>
            </w:tcBorders>
            <w:shd w:val="clear" w:color="auto" w:fill="auto"/>
            <w:vAlign w:val="center"/>
          </w:tcPr>
          <w:p w14:paraId="4FE333A7" w14:textId="72C19D15" w:rsidR="000C292F" w:rsidRPr="006C048C" w:rsidRDefault="00AC0DB1" w:rsidP="00E431E6">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20 487</w:t>
            </w:r>
          </w:p>
        </w:tc>
        <w:tc>
          <w:tcPr>
            <w:tcW w:w="1280" w:type="dxa"/>
            <w:tcBorders>
              <w:top w:val="nil"/>
              <w:left w:val="nil"/>
              <w:bottom w:val="single" w:sz="8" w:space="0" w:color="9C9D9F"/>
              <w:right w:val="nil"/>
            </w:tcBorders>
            <w:shd w:val="clear" w:color="auto" w:fill="auto"/>
            <w:vAlign w:val="center"/>
          </w:tcPr>
          <w:p w14:paraId="5A417DAF" w14:textId="5A0638A0" w:rsidR="000C292F" w:rsidRPr="006C048C" w:rsidRDefault="00803DB8" w:rsidP="00E431E6">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171 660</w:t>
            </w:r>
          </w:p>
        </w:tc>
        <w:tc>
          <w:tcPr>
            <w:tcW w:w="1280" w:type="dxa"/>
            <w:tcBorders>
              <w:top w:val="nil"/>
              <w:left w:val="nil"/>
              <w:bottom w:val="single" w:sz="8" w:space="0" w:color="9C9D9F"/>
              <w:right w:val="nil"/>
            </w:tcBorders>
            <w:shd w:val="clear" w:color="auto" w:fill="auto"/>
            <w:vAlign w:val="center"/>
          </w:tcPr>
          <w:p w14:paraId="1D7F919F" w14:textId="54B51D67" w:rsidR="000C292F" w:rsidRPr="006C048C" w:rsidRDefault="00AC0DB1" w:rsidP="00E431E6">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119 412</w:t>
            </w:r>
          </w:p>
        </w:tc>
        <w:tc>
          <w:tcPr>
            <w:tcW w:w="1280" w:type="dxa"/>
            <w:tcBorders>
              <w:top w:val="nil"/>
              <w:left w:val="nil"/>
              <w:bottom w:val="single" w:sz="8" w:space="0" w:color="9C9D9F"/>
              <w:right w:val="nil"/>
            </w:tcBorders>
            <w:shd w:val="clear" w:color="auto" w:fill="auto"/>
            <w:vAlign w:val="center"/>
          </w:tcPr>
          <w:p w14:paraId="42023B95" w14:textId="3BB73D59" w:rsidR="000C292F" w:rsidRPr="006C048C" w:rsidRDefault="00803DB8" w:rsidP="00E431E6">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279 924</w:t>
            </w:r>
          </w:p>
        </w:tc>
      </w:tr>
      <w:bookmarkEnd w:id="108"/>
      <w:tr w:rsidR="000C292F" w:rsidRPr="006C048C" w14:paraId="2D460EFA"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2B98230E" w14:textId="77777777" w:rsidR="000C292F" w:rsidRPr="006C048C" w:rsidRDefault="000C292F" w:rsidP="00E431E6">
            <w:pPr>
              <w:spacing w:before="0" w:beforeAutospacing="0" w:after="0" w:afterAutospacing="0"/>
              <w:rPr>
                <w:rFonts w:ascii="Calibri" w:hAnsi="Calibri"/>
                <w:color w:val="000000"/>
                <w:sz w:val="20"/>
                <w:szCs w:val="20"/>
                <w:lang w:eastAsia="en-US"/>
              </w:rPr>
            </w:pPr>
            <w:r w:rsidRPr="006C048C">
              <w:rPr>
                <w:rFonts w:ascii="Calibri" w:hAnsi="Calibri"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14:paraId="06859CAB" w14:textId="77777777" w:rsidR="000C292F" w:rsidRPr="006C048C" w:rsidRDefault="000C292F" w:rsidP="00E431E6">
            <w:pPr>
              <w:spacing w:before="0" w:beforeAutospacing="0" w:after="0" w:afterAutospacing="0"/>
              <w:jc w:val="right"/>
              <w:rPr>
                <w:rFonts w:ascii="Calibri" w:hAnsi="Calibri"/>
                <w:color w:val="000000"/>
                <w:sz w:val="20"/>
                <w:szCs w:val="20"/>
                <w:lang w:eastAsia="en-US"/>
              </w:rPr>
            </w:pPr>
            <w:r w:rsidRPr="006C048C">
              <w:rPr>
                <w:rFonts w:ascii="Calibri" w:hAnsi="Calibri"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14:paraId="4ED7F1A9" w14:textId="77777777" w:rsidR="000C292F" w:rsidRPr="00AC0DB1" w:rsidRDefault="000C292F"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8 763 859</w:t>
            </w:r>
          </w:p>
        </w:tc>
        <w:tc>
          <w:tcPr>
            <w:tcW w:w="1280" w:type="dxa"/>
            <w:tcBorders>
              <w:top w:val="nil"/>
              <w:left w:val="nil"/>
              <w:bottom w:val="single" w:sz="8" w:space="0" w:color="9C9D9F"/>
              <w:right w:val="nil"/>
            </w:tcBorders>
            <w:shd w:val="clear" w:color="auto" w:fill="auto"/>
            <w:vAlign w:val="center"/>
          </w:tcPr>
          <w:p w14:paraId="4D5EBA4F" w14:textId="77777777" w:rsidR="000C292F" w:rsidRPr="00AC0DB1" w:rsidRDefault="000C292F"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8 763 859</w:t>
            </w:r>
          </w:p>
        </w:tc>
        <w:tc>
          <w:tcPr>
            <w:tcW w:w="1280" w:type="dxa"/>
            <w:tcBorders>
              <w:top w:val="nil"/>
              <w:left w:val="nil"/>
              <w:bottom w:val="single" w:sz="8" w:space="0" w:color="9C9D9F"/>
              <w:right w:val="nil"/>
            </w:tcBorders>
            <w:shd w:val="clear" w:color="auto" w:fill="auto"/>
            <w:vAlign w:val="center"/>
          </w:tcPr>
          <w:p w14:paraId="461E4157" w14:textId="77777777" w:rsidR="000C292F" w:rsidRPr="00AC0DB1" w:rsidRDefault="000C292F"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8 765 216</w:t>
            </w:r>
          </w:p>
        </w:tc>
        <w:tc>
          <w:tcPr>
            <w:tcW w:w="1280" w:type="dxa"/>
            <w:tcBorders>
              <w:top w:val="nil"/>
              <w:left w:val="nil"/>
              <w:bottom w:val="single" w:sz="8" w:space="0" w:color="9C9D9F"/>
              <w:right w:val="nil"/>
            </w:tcBorders>
            <w:shd w:val="clear" w:color="auto" w:fill="auto"/>
            <w:vAlign w:val="center"/>
          </w:tcPr>
          <w:p w14:paraId="11BD7BE1" w14:textId="77777777" w:rsidR="000C292F" w:rsidRPr="00AC0DB1" w:rsidRDefault="000C292F"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8 763 859</w:t>
            </w:r>
          </w:p>
        </w:tc>
      </w:tr>
      <w:tr w:rsidR="000C292F" w:rsidRPr="006C048C" w14:paraId="28BBB1B2"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73B9550C" w14:textId="77777777" w:rsidR="000C292F" w:rsidRPr="006C048C" w:rsidRDefault="000C292F" w:rsidP="00E431E6">
            <w:pPr>
              <w:spacing w:before="0" w:beforeAutospacing="0" w:after="0" w:afterAutospacing="0"/>
              <w:rPr>
                <w:rFonts w:ascii="Calibri" w:hAnsi="Calibri"/>
                <w:b/>
                <w:bCs/>
                <w:color w:val="000000"/>
                <w:sz w:val="20"/>
                <w:szCs w:val="20"/>
                <w:lang w:eastAsia="en-US"/>
              </w:rPr>
            </w:pPr>
            <w:r w:rsidRPr="006C048C">
              <w:rPr>
                <w:rFonts w:ascii="Calibri" w:hAnsi="Calibri" w:cs="Arial"/>
                <w:b/>
                <w:bCs/>
                <w:color w:val="000000"/>
                <w:sz w:val="20"/>
                <w:szCs w:val="20"/>
                <w:lang w:eastAsia="en-US"/>
              </w:rPr>
              <w:t>Základní ukazatel zisku na akcii</w:t>
            </w:r>
          </w:p>
        </w:tc>
        <w:tc>
          <w:tcPr>
            <w:tcW w:w="960" w:type="dxa"/>
            <w:tcBorders>
              <w:top w:val="nil"/>
              <w:left w:val="nil"/>
              <w:bottom w:val="single" w:sz="8" w:space="0" w:color="9C9D9F"/>
              <w:right w:val="nil"/>
            </w:tcBorders>
            <w:shd w:val="clear" w:color="auto" w:fill="auto"/>
            <w:vAlign w:val="center"/>
            <w:hideMark/>
          </w:tcPr>
          <w:p w14:paraId="2800B176" w14:textId="77777777" w:rsidR="000C292F" w:rsidRPr="006C048C" w:rsidRDefault="000C292F" w:rsidP="00E431E6">
            <w:pPr>
              <w:spacing w:before="0" w:beforeAutospacing="0" w:after="0" w:afterAutospacing="0"/>
              <w:jc w:val="right"/>
              <w:rPr>
                <w:rFonts w:ascii="Calibri" w:hAnsi="Calibri"/>
                <w:b/>
                <w:bCs/>
                <w:color w:val="000000"/>
                <w:sz w:val="20"/>
                <w:szCs w:val="20"/>
                <w:lang w:eastAsia="en-US"/>
              </w:rPr>
            </w:pPr>
            <w:r w:rsidRPr="006C048C">
              <w:rPr>
                <w:rFonts w:ascii="Calibri" w:hAnsi="Calibri" w:cs="Arial"/>
                <w:b/>
                <w:bCs/>
                <w:color w:val="000000"/>
                <w:sz w:val="20"/>
                <w:szCs w:val="20"/>
                <w:lang w:eastAsia="en-US"/>
              </w:rPr>
              <w:t>Kč</w:t>
            </w:r>
          </w:p>
        </w:tc>
        <w:tc>
          <w:tcPr>
            <w:tcW w:w="1280" w:type="dxa"/>
            <w:tcBorders>
              <w:top w:val="nil"/>
              <w:left w:val="nil"/>
              <w:bottom w:val="single" w:sz="8" w:space="0" w:color="9C9D9F"/>
              <w:right w:val="nil"/>
            </w:tcBorders>
            <w:shd w:val="clear" w:color="auto" w:fill="auto"/>
            <w:vAlign w:val="center"/>
          </w:tcPr>
          <w:p w14:paraId="3DA4B856" w14:textId="67913F9C" w:rsidR="000C292F" w:rsidRPr="006C048C" w:rsidRDefault="00AC0DB1" w:rsidP="00AC0DB1">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2,34</w:t>
            </w:r>
          </w:p>
        </w:tc>
        <w:tc>
          <w:tcPr>
            <w:tcW w:w="1280" w:type="dxa"/>
            <w:tcBorders>
              <w:top w:val="nil"/>
              <w:left w:val="nil"/>
              <w:bottom w:val="single" w:sz="8" w:space="0" w:color="9C9D9F"/>
              <w:right w:val="nil"/>
            </w:tcBorders>
            <w:shd w:val="clear" w:color="auto" w:fill="auto"/>
            <w:vAlign w:val="center"/>
          </w:tcPr>
          <w:p w14:paraId="7340851E" w14:textId="7D72BCED" w:rsidR="000C292F" w:rsidRPr="006C048C" w:rsidRDefault="00803DB8" w:rsidP="00AC0DB1">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19,59</w:t>
            </w:r>
          </w:p>
        </w:tc>
        <w:tc>
          <w:tcPr>
            <w:tcW w:w="1280" w:type="dxa"/>
            <w:tcBorders>
              <w:top w:val="nil"/>
              <w:left w:val="nil"/>
              <w:bottom w:val="single" w:sz="8" w:space="0" w:color="9C9D9F"/>
              <w:right w:val="nil"/>
            </w:tcBorders>
            <w:shd w:val="clear" w:color="auto" w:fill="auto"/>
            <w:vAlign w:val="center"/>
          </w:tcPr>
          <w:p w14:paraId="0D3FD3DA" w14:textId="3EF64487" w:rsidR="000C292F" w:rsidRPr="006C048C" w:rsidRDefault="00AC0DB1" w:rsidP="00AC0DB1">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13,62</w:t>
            </w:r>
          </w:p>
        </w:tc>
        <w:tc>
          <w:tcPr>
            <w:tcW w:w="1280" w:type="dxa"/>
            <w:tcBorders>
              <w:top w:val="nil"/>
              <w:left w:val="nil"/>
              <w:bottom w:val="single" w:sz="8" w:space="0" w:color="9C9D9F"/>
              <w:right w:val="nil"/>
            </w:tcBorders>
            <w:shd w:val="clear" w:color="auto" w:fill="auto"/>
            <w:vAlign w:val="center"/>
          </w:tcPr>
          <w:p w14:paraId="64AF00B9" w14:textId="35C6CB0E" w:rsidR="000C292F" w:rsidRPr="006C048C" w:rsidRDefault="00803DB8" w:rsidP="00AC0DB1">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31,94</w:t>
            </w:r>
          </w:p>
        </w:tc>
      </w:tr>
    </w:tbl>
    <w:p w14:paraId="439CB023" w14:textId="77777777" w:rsidR="000C292F" w:rsidRPr="006C048C" w:rsidRDefault="000C292F" w:rsidP="000C292F">
      <w:pPr>
        <w:rPr>
          <w:b/>
        </w:rPr>
      </w:pPr>
    </w:p>
    <w:p w14:paraId="6CE2660D" w14:textId="77777777" w:rsidR="001959D4" w:rsidRDefault="001959D4">
      <w:pPr>
        <w:spacing w:before="0" w:beforeAutospacing="0" w:after="160" w:afterAutospacing="0" w:line="259" w:lineRule="auto"/>
        <w:jc w:val="left"/>
        <w:rPr>
          <w:b/>
        </w:rPr>
      </w:pPr>
      <w:r>
        <w:rPr>
          <w:b/>
        </w:rPr>
        <w:br w:type="page"/>
      </w:r>
    </w:p>
    <w:p w14:paraId="6D1E0A93" w14:textId="29B05610" w:rsidR="000C292F" w:rsidRPr="006C048C" w:rsidRDefault="000C292F" w:rsidP="000C292F">
      <w:pPr>
        <w:rPr>
          <w:b/>
        </w:rPr>
      </w:pPr>
      <w:r w:rsidRPr="006C048C">
        <w:rPr>
          <w:b/>
        </w:rPr>
        <w:lastRenderedPageBreak/>
        <w:t>Zředěný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0C292F" w:rsidRPr="006C048C" w14:paraId="750B8737" w14:textId="77777777" w:rsidTr="000546B5">
        <w:trPr>
          <w:trHeight w:val="288"/>
        </w:trPr>
        <w:tc>
          <w:tcPr>
            <w:tcW w:w="3400" w:type="dxa"/>
            <w:tcBorders>
              <w:top w:val="nil"/>
              <w:left w:val="nil"/>
              <w:bottom w:val="nil"/>
              <w:right w:val="nil"/>
            </w:tcBorders>
            <w:shd w:val="clear" w:color="auto" w:fill="2A7FC6"/>
            <w:vAlign w:val="center"/>
            <w:hideMark/>
          </w:tcPr>
          <w:p w14:paraId="34889DC4"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7819457C"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2560" w:type="dxa"/>
            <w:gridSpan w:val="2"/>
            <w:tcBorders>
              <w:top w:val="nil"/>
              <w:left w:val="nil"/>
              <w:bottom w:val="nil"/>
              <w:right w:val="nil"/>
            </w:tcBorders>
            <w:shd w:val="clear" w:color="auto" w:fill="2A7FC6"/>
            <w:vAlign w:val="center"/>
            <w:hideMark/>
          </w:tcPr>
          <w:p w14:paraId="7C8BABB7" w14:textId="77777777" w:rsidR="000C292F" w:rsidRPr="006C048C" w:rsidRDefault="000C292F" w:rsidP="00E431E6">
            <w:pPr>
              <w:spacing w:before="0" w:beforeAutospacing="0" w:after="0" w:afterAutospacing="0"/>
              <w:jc w:val="center"/>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auto" w:fill="2A7FC6"/>
            <w:vAlign w:val="center"/>
            <w:hideMark/>
          </w:tcPr>
          <w:p w14:paraId="15478D7C" w14:textId="77777777" w:rsidR="000C292F" w:rsidRPr="006C048C" w:rsidRDefault="000C292F" w:rsidP="00E431E6">
            <w:pPr>
              <w:spacing w:before="0" w:beforeAutospacing="0" w:after="0" w:afterAutospacing="0"/>
              <w:jc w:val="center"/>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 xml:space="preserve">     Za 6 měsíců končících</w:t>
            </w:r>
          </w:p>
        </w:tc>
      </w:tr>
      <w:tr w:rsidR="000C292F" w:rsidRPr="006C048C" w14:paraId="134E035F" w14:textId="77777777" w:rsidTr="000546B5">
        <w:trPr>
          <w:trHeight w:val="552"/>
        </w:trPr>
        <w:tc>
          <w:tcPr>
            <w:tcW w:w="3400" w:type="dxa"/>
            <w:tcBorders>
              <w:top w:val="nil"/>
              <w:left w:val="nil"/>
              <w:bottom w:val="nil"/>
              <w:right w:val="nil"/>
            </w:tcBorders>
            <w:shd w:val="clear" w:color="auto" w:fill="2A7FC6"/>
            <w:vAlign w:val="center"/>
            <w:hideMark/>
          </w:tcPr>
          <w:p w14:paraId="564F3986"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385E9CED" w14:textId="77777777" w:rsidR="000C292F" w:rsidRPr="006C048C" w:rsidRDefault="000C292F" w:rsidP="00E431E6">
            <w:pPr>
              <w:spacing w:before="0" w:beforeAutospacing="0" w:after="0" w:afterAutospacing="0"/>
              <w:jc w:val="right"/>
              <w:rPr>
                <w:rFonts w:ascii="Calibri" w:hAnsi="Calibri"/>
                <w:color w:val="FFFFFF"/>
                <w:sz w:val="20"/>
                <w:szCs w:val="20"/>
                <w:lang w:eastAsia="en-US"/>
              </w:rPr>
            </w:pPr>
            <w:r w:rsidRPr="006C048C">
              <w:rPr>
                <w:rFonts w:ascii="Calibri" w:hAnsi="Calibri" w:cs="Arial"/>
                <w:color w:val="FFFFFF" w:themeColor="background1"/>
                <w:sz w:val="20"/>
                <w:szCs w:val="20"/>
                <w:lang w:eastAsia="en-US"/>
              </w:rPr>
              <w:t> </w:t>
            </w:r>
          </w:p>
        </w:tc>
        <w:tc>
          <w:tcPr>
            <w:tcW w:w="1280" w:type="dxa"/>
            <w:tcBorders>
              <w:top w:val="nil"/>
              <w:left w:val="nil"/>
              <w:bottom w:val="nil"/>
              <w:right w:val="nil"/>
            </w:tcBorders>
            <w:shd w:val="clear" w:color="auto" w:fill="2A7FC6"/>
            <w:vAlign w:val="center"/>
            <w:hideMark/>
          </w:tcPr>
          <w:p w14:paraId="20B7025F"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2017</w:t>
            </w:r>
          </w:p>
        </w:tc>
        <w:tc>
          <w:tcPr>
            <w:tcW w:w="1280" w:type="dxa"/>
            <w:tcBorders>
              <w:top w:val="nil"/>
              <w:left w:val="nil"/>
              <w:bottom w:val="nil"/>
              <w:right w:val="nil"/>
            </w:tcBorders>
            <w:shd w:val="clear" w:color="auto" w:fill="2A7FC6"/>
            <w:vAlign w:val="center"/>
            <w:hideMark/>
          </w:tcPr>
          <w:p w14:paraId="27E2BAEC"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2018</w:t>
            </w:r>
          </w:p>
        </w:tc>
        <w:tc>
          <w:tcPr>
            <w:tcW w:w="1280" w:type="dxa"/>
            <w:tcBorders>
              <w:top w:val="nil"/>
              <w:left w:val="nil"/>
              <w:bottom w:val="nil"/>
              <w:right w:val="nil"/>
            </w:tcBorders>
            <w:shd w:val="clear" w:color="auto" w:fill="2A7FC6"/>
            <w:vAlign w:val="center"/>
            <w:hideMark/>
          </w:tcPr>
          <w:p w14:paraId="4029C35B"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2017</w:t>
            </w:r>
          </w:p>
        </w:tc>
        <w:tc>
          <w:tcPr>
            <w:tcW w:w="1280" w:type="dxa"/>
            <w:tcBorders>
              <w:top w:val="nil"/>
              <w:left w:val="nil"/>
              <w:bottom w:val="nil"/>
              <w:right w:val="nil"/>
            </w:tcBorders>
            <w:shd w:val="clear" w:color="auto" w:fill="2A7FC6"/>
            <w:vAlign w:val="center"/>
            <w:hideMark/>
          </w:tcPr>
          <w:p w14:paraId="1D3848D0" w14:textId="77777777" w:rsidR="000C292F" w:rsidRPr="006C048C" w:rsidRDefault="000C292F" w:rsidP="00E431E6">
            <w:pPr>
              <w:spacing w:before="0" w:beforeAutospacing="0" w:after="0" w:afterAutospacing="0"/>
              <w:jc w:val="right"/>
              <w:rPr>
                <w:rFonts w:ascii="Calibri" w:hAnsi="Calibri"/>
                <w:b/>
                <w:bCs/>
                <w:color w:val="FFFFFF"/>
                <w:sz w:val="20"/>
                <w:szCs w:val="20"/>
                <w:lang w:eastAsia="en-US"/>
              </w:rPr>
            </w:pPr>
            <w:r w:rsidRPr="006C048C">
              <w:rPr>
                <w:rFonts w:ascii="Calibri" w:hAnsi="Calibri" w:cs="Arial"/>
                <w:b/>
                <w:bCs/>
                <w:color w:val="FFFFFF" w:themeColor="background1"/>
                <w:sz w:val="20"/>
                <w:szCs w:val="20"/>
                <w:lang w:eastAsia="en-US"/>
              </w:rPr>
              <w:t>30. června 2018</w:t>
            </w:r>
          </w:p>
        </w:tc>
      </w:tr>
      <w:tr w:rsidR="00AC0DB1" w:rsidRPr="006C048C" w14:paraId="47CF0E33"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32E402A5" w14:textId="77777777" w:rsidR="00AC0DB1" w:rsidRPr="006C048C" w:rsidRDefault="00AC0DB1" w:rsidP="00AC0DB1">
            <w:pPr>
              <w:spacing w:before="0" w:beforeAutospacing="0" w:after="0" w:afterAutospacing="0"/>
              <w:rPr>
                <w:rFonts w:ascii="Calibri" w:hAnsi="Calibri"/>
                <w:color w:val="000000"/>
                <w:sz w:val="20"/>
                <w:szCs w:val="20"/>
                <w:lang w:eastAsia="en-US"/>
              </w:rPr>
            </w:pPr>
            <w:r w:rsidRPr="006C048C">
              <w:rPr>
                <w:rFonts w:ascii="Calibri" w:hAnsi="Calibri" w:cs="Arial"/>
                <w:color w:val="000000"/>
                <w:sz w:val="20"/>
                <w:szCs w:val="20"/>
                <w:lang w:eastAsia="en-US"/>
              </w:rPr>
              <w:t>Čistý zisk přiřaditelný akcionářům</w:t>
            </w:r>
          </w:p>
        </w:tc>
        <w:tc>
          <w:tcPr>
            <w:tcW w:w="960" w:type="dxa"/>
            <w:tcBorders>
              <w:top w:val="nil"/>
              <w:left w:val="nil"/>
              <w:bottom w:val="single" w:sz="8" w:space="0" w:color="9C9D9F"/>
              <w:right w:val="nil"/>
            </w:tcBorders>
            <w:shd w:val="clear" w:color="auto" w:fill="auto"/>
            <w:vAlign w:val="center"/>
            <w:hideMark/>
          </w:tcPr>
          <w:p w14:paraId="70463115" w14:textId="77777777" w:rsidR="00AC0DB1" w:rsidRPr="006C048C" w:rsidRDefault="00AC0DB1" w:rsidP="00AC0DB1">
            <w:pPr>
              <w:spacing w:before="0" w:beforeAutospacing="0" w:after="0" w:afterAutospacing="0"/>
              <w:jc w:val="right"/>
              <w:rPr>
                <w:rFonts w:ascii="Calibri" w:hAnsi="Calibri"/>
                <w:color w:val="000000"/>
                <w:sz w:val="20"/>
                <w:szCs w:val="20"/>
                <w:lang w:eastAsia="en-US"/>
              </w:rPr>
            </w:pPr>
            <w:r w:rsidRPr="006C048C">
              <w:rPr>
                <w:rFonts w:ascii="Calibri" w:hAnsi="Calibri" w:cs="Arial"/>
                <w:color w:val="000000"/>
                <w:sz w:val="20"/>
                <w:szCs w:val="20"/>
                <w:lang w:eastAsia="en-US"/>
              </w:rPr>
              <w:t xml:space="preserve">tis. Kč </w:t>
            </w:r>
          </w:p>
        </w:tc>
        <w:tc>
          <w:tcPr>
            <w:tcW w:w="1280" w:type="dxa"/>
            <w:tcBorders>
              <w:top w:val="nil"/>
              <w:left w:val="nil"/>
              <w:bottom w:val="single" w:sz="8" w:space="0" w:color="9C9D9F"/>
              <w:right w:val="nil"/>
            </w:tcBorders>
            <w:shd w:val="clear" w:color="auto" w:fill="auto"/>
            <w:vAlign w:val="center"/>
          </w:tcPr>
          <w:p w14:paraId="4FD5D4DC" w14:textId="61757B8B" w:rsidR="00AC0DB1" w:rsidRPr="006C048C" w:rsidRDefault="00AC0DB1" w:rsidP="00AC0DB1">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20 487</w:t>
            </w:r>
          </w:p>
        </w:tc>
        <w:tc>
          <w:tcPr>
            <w:tcW w:w="1280" w:type="dxa"/>
            <w:tcBorders>
              <w:top w:val="nil"/>
              <w:left w:val="nil"/>
              <w:bottom w:val="single" w:sz="8" w:space="0" w:color="9C9D9F"/>
              <w:right w:val="nil"/>
            </w:tcBorders>
            <w:shd w:val="clear" w:color="auto" w:fill="auto"/>
            <w:vAlign w:val="center"/>
          </w:tcPr>
          <w:p w14:paraId="5953DADB" w14:textId="2668B4C6" w:rsidR="00AC0DB1" w:rsidRPr="006C048C" w:rsidRDefault="00803DB8" w:rsidP="00AC0DB1">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171 660</w:t>
            </w:r>
          </w:p>
        </w:tc>
        <w:tc>
          <w:tcPr>
            <w:tcW w:w="1280" w:type="dxa"/>
            <w:tcBorders>
              <w:top w:val="nil"/>
              <w:left w:val="nil"/>
              <w:bottom w:val="single" w:sz="8" w:space="0" w:color="9C9D9F"/>
              <w:right w:val="nil"/>
            </w:tcBorders>
            <w:shd w:val="clear" w:color="auto" w:fill="auto"/>
            <w:vAlign w:val="center"/>
          </w:tcPr>
          <w:p w14:paraId="00FFE2B9" w14:textId="1BFF39C0" w:rsidR="00AC0DB1" w:rsidRPr="006C048C" w:rsidRDefault="00AC0DB1" w:rsidP="00AC0DB1">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119 412</w:t>
            </w:r>
          </w:p>
        </w:tc>
        <w:tc>
          <w:tcPr>
            <w:tcW w:w="1280" w:type="dxa"/>
            <w:tcBorders>
              <w:top w:val="nil"/>
              <w:left w:val="nil"/>
              <w:bottom w:val="single" w:sz="8" w:space="0" w:color="9C9D9F"/>
              <w:right w:val="nil"/>
            </w:tcBorders>
            <w:shd w:val="clear" w:color="auto" w:fill="auto"/>
            <w:vAlign w:val="center"/>
          </w:tcPr>
          <w:p w14:paraId="73A97A8B" w14:textId="19EBDDDC" w:rsidR="00AC0DB1" w:rsidRPr="006C048C" w:rsidRDefault="00803DB8" w:rsidP="00AC0DB1">
            <w:pPr>
              <w:spacing w:before="0" w:beforeAutospacing="0" w:after="0" w:afterAutospacing="0"/>
              <w:jc w:val="right"/>
              <w:rPr>
                <w:rFonts w:ascii="Calibri" w:hAnsi="Calibri"/>
                <w:color w:val="000000"/>
                <w:sz w:val="20"/>
                <w:szCs w:val="20"/>
                <w:lang w:eastAsia="en-US"/>
              </w:rPr>
            </w:pPr>
            <w:r>
              <w:rPr>
                <w:rFonts w:ascii="Calibri" w:hAnsi="Calibri"/>
                <w:color w:val="000000"/>
                <w:sz w:val="20"/>
                <w:szCs w:val="20"/>
                <w:lang w:eastAsia="en-US"/>
              </w:rPr>
              <w:t>279 924</w:t>
            </w:r>
          </w:p>
        </w:tc>
      </w:tr>
      <w:tr w:rsidR="000C292F" w:rsidRPr="006C048C" w14:paraId="356220CE"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6D608886" w14:textId="77777777" w:rsidR="000C292F" w:rsidRPr="006C048C" w:rsidRDefault="000C292F" w:rsidP="00E431E6">
            <w:pPr>
              <w:spacing w:before="0" w:beforeAutospacing="0" w:after="0" w:afterAutospacing="0"/>
              <w:rPr>
                <w:rFonts w:ascii="Calibri" w:hAnsi="Calibri"/>
                <w:color w:val="000000"/>
                <w:sz w:val="20"/>
                <w:szCs w:val="20"/>
                <w:lang w:eastAsia="en-US"/>
              </w:rPr>
            </w:pPr>
            <w:r w:rsidRPr="006C048C">
              <w:rPr>
                <w:rFonts w:ascii="Calibri" w:hAnsi="Calibri"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14:paraId="2B628041" w14:textId="77777777" w:rsidR="000C292F" w:rsidRPr="006C048C" w:rsidRDefault="000C292F" w:rsidP="00E431E6">
            <w:pPr>
              <w:spacing w:before="0" w:beforeAutospacing="0" w:after="0" w:afterAutospacing="0"/>
              <w:jc w:val="right"/>
              <w:rPr>
                <w:rFonts w:ascii="Calibri" w:hAnsi="Calibri"/>
                <w:color w:val="000000"/>
                <w:sz w:val="20"/>
                <w:szCs w:val="20"/>
                <w:lang w:eastAsia="en-US"/>
              </w:rPr>
            </w:pPr>
            <w:r w:rsidRPr="006C048C">
              <w:rPr>
                <w:rFonts w:ascii="Calibri" w:hAnsi="Calibri"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14:paraId="7CDF15F3" w14:textId="33A012B6" w:rsidR="000C292F" w:rsidRPr="00AC0DB1" w:rsidRDefault="000C292F"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8 788</w:t>
            </w:r>
            <w:r w:rsidR="00AC0DB1" w:rsidRPr="00AC0DB1">
              <w:rPr>
                <w:rFonts w:ascii="Calibri" w:hAnsi="Calibri"/>
                <w:color w:val="000000"/>
                <w:sz w:val="20"/>
                <w:szCs w:val="20"/>
                <w:lang w:eastAsia="en-US"/>
              </w:rPr>
              <w:t> </w:t>
            </w:r>
            <w:r w:rsidRPr="00AC0DB1">
              <w:rPr>
                <w:rFonts w:ascii="Calibri" w:hAnsi="Calibri"/>
                <w:color w:val="000000"/>
                <w:sz w:val="20"/>
                <w:szCs w:val="20"/>
                <w:lang w:eastAsia="en-US"/>
              </w:rPr>
              <w:t>660</w:t>
            </w:r>
          </w:p>
        </w:tc>
        <w:tc>
          <w:tcPr>
            <w:tcW w:w="1280" w:type="dxa"/>
            <w:tcBorders>
              <w:top w:val="nil"/>
              <w:left w:val="nil"/>
              <w:bottom w:val="single" w:sz="8" w:space="0" w:color="9C9D9F"/>
              <w:right w:val="nil"/>
            </w:tcBorders>
            <w:shd w:val="clear" w:color="auto" w:fill="auto"/>
            <w:vAlign w:val="center"/>
          </w:tcPr>
          <w:p w14:paraId="155A1167" w14:textId="7F859B13" w:rsidR="000C292F" w:rsidRPr="00AC0DB1" w:rsidRDefault="00AC0DB1"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8 763 859</w:t>
            </w:r>
          </w:p>
        </w:tc>
        <w:tc>
          <w:tcPr>
            <w:tcW w:w="1280" w:type="dxa"/>
            <w:tcBorders>
              <w:top w:val="nil"/>
              <w:left w:val="nil"/>
              <w:bottom w:val="single" w:sz="8" w:space="0" w:color="9C9D9F"/>
              <w:right w:val="nil"/>
            </w:tcBorders>
            <w:shd w:val="clear" w:color="auto" w:fill="auto"/>
            <w:vAlign w:val="center"/>
          </w:tcPr>
          <w:p w14:paraId="3B5A554A" w14:textId="77777777" w:rsidR="000C292F" w:rsidRPr="00AC0DB1" w:rsidRDefault="000C292F"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8 791 920</w:t>
            </w:r>
          </w:p>
        </w:tc>
        <w:tc>
          <w:tcPr>
            <w:tcW w:w="1280" w:type="dxa"/>
            <w:tcBorders>
              <w:top w:val="nil"/>
              <w:left w:val="nil"/>
              <w:bottom w:val="single" w:sz="8" w:space="0" w:color="9C9D9F"/>
              <w:right w:val="nil"/>
            </w:tcBorders>
            <w:shd w:val="clear" w:color="auto" w:fill="auto"/>
            <w:vAlign w:val="center"/>
          </w:tcPr>
          <w:p w14:paraId="1386CC8E" w14:textId="37287BB2" w:rsidR="000C292F" w:rsidRPr="006C048C" w:rsidRDefault="00AC0DB1" w:rsidP="00E431E6">
            <w:pPr>
              <w:spacing w:before="0" w:beforeAutospacing="0" w:after="0" w:afterAutospacing="0"/>
              <w:jc w:val="right"/>
              <w:rPr>
                <w:rFonts w:ascii="Calibri" w:hAnsi="Calibri"/>
                <w:color w:val="000000"/>
                <w:sz w:val="20"/>
                <w:szCs w:val="20"/>
                <w:lang w:eastAsia="en-US"/>
              </w:rPr>
            </w:pPr>
            <w:r w:rsidRPr="00AC0DB1">
              <w:rPr>
                <w:rFonts w:ascii="Calibri" w:hAnsi="Calibri"/>
                <w:color w:val="000000"/>
                <w:sz w:val="20"/>
                <w:szCs w:val="20"/>
                <w:lang w:eastAsia="en-US"/>
              </w:rPr>
              <w:t>8 763 859</w:t>
            </w:r>
          </w:p>
        </w:tc>
      </w:tr>
      <w:tr w:rsidR="000C292F" w:rsidRPr="006C048C" w14:paraId="24591B7C"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109141AD" w14:textId="1330844F" w:rsidR="000C292F" w:rsidRPr="006C048C" w:rsidRDefault="00AC0DB1" w:rsidP="00E431E6">
            <w:pPr>
              <w:spacing w:before="0" w:beforeAutospacing="0" w:after="0" w:afterAutospacing="0"/>
              <w:rPr>
                <w:rFonts w:ascii="Calibri" w:hAnsi="Calibri"/>
                <w:b/>
                <w:bCs/>
                <w:color w:val="000000"/>
                <w:sz w:val="20"/>
                <w:szCs w:val="20"/>
                <w:lang w:eastAsia="en-US"/>
              </w:rPr>
            </w:pPr>
            <w:r>
              <w:rPr>
                <w:rFonts w:ascii="Calibri" w:hAnsi="Calibri" w:cs="Arial"/>
                <w:b/>
                <w:bCs/>
                <w:color w:val="000000"/>
                <w:sz w:val="20"/>
                <w:szCs w:val="20"/>
                <w:lang w:eastAsia="en-US"/>
              </w:rPr>
              <w:t>Zředěný</w:t>
            </w:r>
            <w:r w:rsidR="000C292F" w:rsidRPr="006C048C">
              <w:rPr>
                <w:rFonts w:ascii="Calibri" w:hAnsi="Calibri" w:cs="Arial"/>
                <w:b/>
                <w:bCs/>
                <w:color w:val="000000"/>
                <w:sz w:val="20"/>
                <w:szCs w:val="20"/>
                <w:lang w:eastAsia="en-US"/>
              </w:rPr>
              <w:t xml:space="preserve"> ukazatel zisku na akcii</w:t>
            </w:r>
          </w:p>
        </w:tc>
        <w:tc>
          <w:tcPr>
            <w:tcW w:w="960" w:type="dxa"/>
            <w:tcBorders>
              <w:top w:val="nil"/>
              <w:left w:val="nil"/>
              <w:bottom w:val="single" w:sz="8" w:space="0" w:color="9C9D9F"/>
              <w:right w:val="nil"/>
            </w:tcBorders>
            <w:shd w:val="clear" w:color="auto" w:fill="auto"/>
            <w:vAlign w:val="center"/>
            <w:hideMark/>
          </w:tcPr>
          <w:p w14:paraId="2F913E39" w14:textId="77777777" w:rsidR="000C292F" w:rsidRPr="006C048C" w:rsidRDefault="000C292F" w:rsidP="00E431E6">
            <w:pPr>
              <w:spacing w:before="0" w:beforeAutospacing="0" w:after="0" w:afterAutospacing="0"/>
              <w:jc w:val="right"/>
              <w:rPr>
                <w:rFonts w:ascii="Calibri" w:hAnsi="Calibri"/>
                <w:b/>
                <w:bCs/>
                <w:color w:val="000000"/>
                <w:sz w:val="20"/>
                <w:szCs w:val="20"/>
                <w:lang w:eastAsia="en-US"/>
              </w:rPr>
            </w:pPr>
            <w:r w:rsidRPr="006C048C">
              <w:rPr>
                <w:rFonts w:ascii="Calibri" w:hAnsi="Calibri" w:cs="Arial"/>
                <w:b/>
                <w:bCs/>
                <w:color w:val="000000"/>
                <w:sz w:val="20"/>
                <w:szCs w:val="20"/>
                <w:lang w:eastAsia="en-US"/>
              </w:rPr>
              <w:t>Kč</w:t>
            </w:r>
          </w:p>
        </w:tc>
        <w:tc>
          <w:tcPr>
            <w:tcW w:w="1280" w:type="dxa"/>
            <w:tcBorders>
              <w:top w:val="nil"/>
              <w:left w:val="nil"/>
              <w:bottom w:val="single" w:sz="8" w:space="0" w:color="9C9D9F"/>
              <w:right w:val="nil"/>
            </w:tcBorders>
            <w:shd w:val="clear" w:color="auto" w:fill="auto"/>
            <w:vAlign w:val="center"/>
          </w:tcPr>
          <w:p w14:paraId="720CE945" w14:textId="3E362093" w:rsidR="000C292F" w:rsidRPr="006C048C" w:rsidRDefault="00AC0DB1" w:rsidP="00E431E6">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2,33</w:t>
            </w:r>
          </w:p>
        </w:tc>
        <w:tc>
          <w:tcPr>
            <w:tcW w:w="1280" w:type="dxa"/>
            <w:tcBorders>
              <w:top w:val="nil"/>
              <w:left w:val="nil"/>
              <w:bottom w:val="single" w:sz="8" w:space="0" w:color="9C9D9F"/>
              <w:right w:val="nil"/>
            </w:tcBorders>
            <w:shd w:val="clear" w:color="auto" w:fill="auto"/>
            <w:vAlign w:val="center"/>
          </w:tcPr>
          <w:p w14:paraId="745DF0BA" w14:textId="08AAF0CE" w:rsidR="000C292F" w:rsidRPr="006C048C" w:rsidRDefault="00803DB8" w:rsidP="00E431E6">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19,59</w:t>
            </w:r>
          </w:p>
        </w:tc>
        <w:tc>
          <w:tcPr>
            <w:tcW w:w="1280" w:type="dxa"/>
            <w:tcBorders>
              <w:top w:val="nil"/>
              <w:left w:val="nil"/>
              <w:bottom w:val="single" w:sz="8" w:space="0" w:color="9C9D9F"/>
              <w:right w:val="nil"/>
            </w:tcBorders>
            <w:shd w:val="clear" w:color="auto" w:fill="auto"/>
            <w:vAlign w:val="center"/>
          </w:tcPr>
          <w:p w14:paraId="52E908BB" w14:textId="67C4DC4B" w:rsidR="000C292F" w:rsidRPr="006C048C" w:rsidRDefault="00AC0DB1" w:rsidP="00E431E6">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13,58</w:t>
            </w:r>
          </w:p>
        </w:tc>
        <w:tc>
          <w:tcPr>
            <w:tcW w:w="1280" w:type="dxa"/>
            <w:tcBorders>
              <w:top w:val="nil"/>
              <w:left w:val="nil"/>
              <w:bottom w:val="single" w:sz="8" w:space="0" w:color="9C9D9F"/>
              <w:right w:val="nil"/>
            </w:tcBorders>
            <w:shd w:val="clear" w:color="auto" w:fill="auto"/>
            <w:vAlign w:val="center"/>
          </w:tcPr>
          <w:p w14:paraId="5100BCD5" w14:textId="20E4C4F0" w:rsidR="000C292F" w:rsidRPr="006C048C" w:rsidRDefault="00803DB8" w:rsidP="00E431E6">
            <w:pPr>
              <w:spacing w:before="0" w:beforeAutospacing="0" w:after="0" w:afterAutospacing="0"/>
              <w:jc w:val="right"/>
              <w:rPr>
                <w:rFonts w:ascii="Calibri" w:hAnsi="Calibri"/>
                <w:b/>
                <w:bCs/>
                <w:color w:val="000000"/>
                <w:sz w:val="20"/>
                <w:szCs w:val="20"/>
                <w:lang w:eastAsia="en-US"/>
              </w:rPr>
            </w:pPr>
            <w:r>
              <w:rPr>
                <w:rFonts w:ascii="Calibri" w:hAnsi="Calibri"/>
                <w:b/>
                <w:bCs/>
                <w:color w:val="000000"/>
                <w:sz w:val="20"/>
                <w:szCs w:val="20"/>
                <w:lang w:eastAsia="en-US"/>
              </w:rPr>
              <w:t>31,94</w:t>
            </w:r>
          </w:p>
        </w:tc>
      </w:tr>
    </w:tbl>
    <w:p w14:paraId="0980314D" w14:textId="77777777" w:rsidR="000C292F" w:rsidRPr="006C048C" w:rsidRDefault="000C292F" w:rsidP="000C292F">
      <w:pPr>
        <w:pStyle w:val="Nadpis4"/>
      </w:pPr>
    </w:p>
    <w:p w14:paraId="15F014DE" w14:textId="77777777" w:rsidR="000C292F" w:rsidRPr="006C048C" w:rsidRDefault="000C292F" w:rsidP="000C292F">
      <w:pPr>
        <w:pStyle w:val="Nadpis4"/>
      </w:pPr>
      <w:r w:rsidRPr="006C048C">
        <w:t>Informace o spřízněných osobách</w:t>
      </w:r>
    </w:p>
    <w:p w14:paraId="365D3D79" w14:textId="77777777" w:rsidR="000C292F" w:rsidRPr="006C048C" w:rsidRDefault="000C292F" w:rsidP="000C292F">
      <w:r w:rsidRPr="006C048C">
        <w:rPr>
          <w:b/>
        </w:rPr>
        <w:t>Významné transakce uzavřené Společností se spřízněnými osobami</w:t>
      </w:r>
    </w:p>
    <w:p w14:paraId="320C26F8" w14:textId="7562A675" w:rsidR="000C292F" w:rsidRPr="006C048C" w:rsidRDefault="000C292F" w:rsidP="000C292F">
      <w:r w:rsidRPr="00FA5E46">
        <w:t>Během prvních šesti měsíc</w:t>
      </w:r>
      <w:r w:rsidR="004150DD" w:rsidRPr="00FA5E46">
        <w:t>ů</w:t>
      </w:r>
      <w:r w:rsidRPr="00FA5E46">
        <w:t xml:space="preserve"> roku 2017 a 2018 nebyly Společností uzavřeny transakce se spřízněnými osobami za jiných než tržních podmínek.</w:t>
      </w:r>
    </w:p>
    <w:p w14:paraId="173FD409" w14:textId="7CA28103" w:rsidR="000C292F" w:rsidRPr="006C048C" w:rsidRDefault="000C292F" w:rsidP="000C292F">
      <w:r w:rsidRPr="006C048C">
        <w:rPr>
          <w:b/>
        </w:rPr>
        <w:t xml:space="preserve">Transakce </w:t>
      </w:r>
      <w:r w:rsidR="00C77130">
        <w:rPr>
          <w:b/>
        </w:rPr>
        <w:t>mezi Společností a</w:t>
      </w:r>
      <w:r w:rsidR="0068553C" w:rsidRPr="006C048C">
        <w:rPr>
          <w:b/>
        </w:rPr>
        <w:t> osobami s řídící pravomocí</w:t>
      </w:r>
      <w:r w:rsidR="00F74781">
        <w:rPr>
          <w:b/>
        </w:rPr>
        <w:t xml:space="preserve"> Společnosti</w:t>
      </w:r>
    </w:p>
    <w:p w14:paraId="06B60BE1" w14:textId="0048F15D" w:rsidR="000C292F" w:rsidRPr="00FA5E46" w:rsidRDefault="000C292F" w:rsidP="000C292F">
      <w:r w:rsidRPr="00FA5E46">
        <w:t>Během prvních šesti měsíc</w:t>
      </w:r>
      <w:r w:rsidR="004150DD" w:rsidRPr="00FA5E46">
        <w:t>ů</w:t>
      </w:r>
      <w:r w:rsidRPr="00FA5E46">
        <w:t xml:space="preserve"> roku 2017 a 2018 Společnost neposkytla </w:t>
      </w:r>
      <w:r w:rsidR="00F74781">
        <w:t xml:space="preserve">osobám s řídící pravomocí </w:t>
      </w:r>
      <w:r w:rsidRPr="00FA5E46">
        <w:t>ani jejich spřízněným osobám žádné zálohy, půjčky, úvěry, záruky ani s nimi neuzavřel</w:t>
      </w:r>
      <w:r w:rsidR="006C7FB6" w:rsidRPr="00FA5E46">
        <w:t>a</w:t>
      </w:r>
      <w:r w:rsidRPr="00FA5E46">
        <w:t xml:space="preserve"> smlouvy poskytující služby Skupiny a spřízněných osob. </w:t>
      </w:r>
    </w:p>
    <w:p w14:paraId="10F26978" w14:textId="09601A29" w:rsidR="000C292F" w:rsidRPr="006C048C" w:rsidRDefault="000C292F" w:rsidP="000C292F">
      <w:r w:rsidRPr="00FA5E46">
        <w:t>Během prvních šesti měsíc</w:t>
      </w:r>
      <w:r w:rsidR="0068553C" w:rsidRPr="00FA5E46">
        <w:t>ů</w:t>
      </w:r>
      <w:r w:rsidRPr="00FA5E46">
        <w:t xml:space="preserve"> roku 2017</w:t>
      </w:r>
      <w:r w:rsidR="0068553C" w:rsidRPr="00FA5E46">
        <w:t xml:space="preserve"> </w:t>
      </w:r>
      <w:r w:rsidR="00C77130">
        <w:t xml:space="preserve">uzavřela Společnost </w:t>
      </w:r>
      <w:r w:rsidR="0068553C" w:rsidRPr="00FA5E46">
        <w:t xml:space="preserve">níže uvedené </w:t>
      </w:r>
      <w:r w:rsidRPr="00FA5E46">
        <w:t>významné transakce s</w:t>
      </w:r>
      <w:r w:rsidR="0068553C" w:rsidRPr="00FA5E46">
        <w:t xml:space="preserve"> osobami s řídící pravomocí </w:t>
      </w:r>
      <w:r w:rsidRPr="00FA5E46">
        <w:t>Společnosti, jejich rodinnými příslušníky či jinak spřízněnými osobami.</w:t>
      </w:r>
      <w:r w:rsidRPr="006C048C">
        <w:t xml:space="preserve"> </w:t>
      </w:r>
    </w:p>
    <w:p w14:paraId="17C6B740" w14:textId="546BB0E8" w:rsidR="0068553C" w:rsidRPr="006C048C" w:rsidRDefault="0068553C" w:rsidP="000C292F">
      <w:r w:rsidRPr="006C048C">
        <w:t xml:space="preserve">Řádná valná hromada konaná dne 15. června 2017 rozhodla o vydání celkem 230 735 nových warrantů členům představenstva a členům senior managementu Společnosti a/nebo jejích propojených společností, a to za kupní cenu 12,70 Kč za nový warrant, kterou kupující uhradí v hotovosti. Každý nový warrant dával majiteli při uplatnění právo na (i) jednu akcii společnosti </w:t>
      </w:r>
      <w:r w:rsidR="00C838A4">
        <w:t>PFNonwovens a.s.</w:t>
      </w:r>
      <w:r w:rsidR="00C838A4" w:rsidRPr="006C048C">
        <w:t xml:space="preserve"> </w:t>
      </w:r>
      <w:r w:rsidRPr="006C048C">
        <w:t xml:space="preserve">za realizační cenu (strike price) ve výši 777 Kč (která představuje průměrnou cenu akcie společnosti </w:t>
      </w:r>
      <w:r w:rsidR="00C838A4">
        <w:t>PFNonwovens a.s.</w:t>
      </w:r>
      <w:r w:rsidRPr="006C048C">
        <w:t xml:space="preserve"> na Burze cenných papírů Praha v období od 1. října 2016 do 31. prosince 2016) sníženou o všechny dividendy na akcii společnosti </w:t>
      </w:r>
      <w:r w:rsidR="00C838A4" w:rsidRPr="00C838A4">
        <w:t xml:space="preserve"> </w:t>
      </w:r>
      <w:r w:rsidR="00C838A4">
        <w:t>PFNonwovens a.s.</w:t>
      </w:r>
      <w:r w:rsidRPr="006C048C">
        <w:t xml:space="preserve">, které společnost </w:t>
      </w:r>
      <w:r w:rsidR="00C838A4">
        <w:t>PFNonwovens a.s.</w:t>
      </w:r>
      <w:r w:rsidRPr="006C048C">
        <w:t xml:space="preserve"> platně vyhlásila v daném finančním roce (finančních letech) (tj. ve finančním roce 2017 v</w:t>
      </w:r>
      <w:r w:rsidR="004150DD">
        <w:t> </w:t>
      </w:r>
      <w:r w:rsidRPr="006C048C">
        <w:t>případě nových warrantů s rozhodným dnem pro uplatnění (vesting) v roce 2017, ve finančních letech 2017 a 2018 v případě nových warrantů s rozhodným dnem pro uplatnění (vesting) v roce 2018 a ve finančních letech 2017, 2018 a 2019 v případě nových warrantů s</w:t>
      </w:r>
      <w:r w:rsidR="004150DD">
        <w:t> </w:t>
      </w:r>
      <w:r w:rsidRPr="006C048C">
        <w:t>rozhodným dnem pro uplatnění (vesting) v roce 2019), nebo (ii) výplatu v hotovosti ve výši odpovídající konečné ceně akcie společnosti</w:t>
      </w:r>
      <w:r w:rsidR="00C838A4" w:rsidRPr="00C838A4">
        <w:t xml:space="preserve"> </w:t>
      </w:r>
      <w:r w:rsidR="00C838A4">
        <w:t xml:space="preserve">PFNonwovens a.s. </w:t>
      </w:r>
      <w:r w:rsidRPr="006C048C">
        <w:t xml:space="preserve">na Burze cenných papírů Praha v pracovní den předcházející dni uplatnění, plus všechny dividendy na akcii společnosti </w:t>
      </w:r>
      <w:r w:rsidR="00C838A4">
        <w:t>PFNonwovens a.s.</w:t>
      </w:r>
      <w:r w:rsidRPr="006C048C">
        <w:t xml:space="preserve">, které společnost </w:t>
      </w:r>
      <w:r w:rsidR="00C838A4">
        <w:t>PFNonwovens a.s.</w:t>
      </w:r>
      <w:r w:rsidRPr="006C048C">
        <w:t xml:space="preserve"> platně vyhlásila v daném finančním roce (finančních letech) (tj. ve finančním roce 2017 v případě nových warrantů s rozhodným dnem pro uplatnění (vesting) v roce 2017, ve finančních letech 2017 a 2018 v případě nových warrantů s rozhodným dnem pro uplatnění (vesting) v roce </w:t>
      </w:r>
      <w:r w:rsidRPr="006C048C">
        <w:lastRenderedPageBreak/>
        <w:t>2018 a ve finančních letech 2017, 2018 a 2019 v případě nových warrantů s</w:t>
      </w:r>
      <w:r w:rsidR="004150DD">
        <w:t> </w:t>
      </w:r>
      <w:r w:rsidRPr="006C048C">
        <w:t xml:space="preserve">rozhodným dnem pro uplatnění (vesting) v roce 2019), sníženou o realizační cenu (strike price) ve výši 777 Kč (která představuje průměrnou cenu akcie společnosti </w:t>
      </w:r>
      <w:r w:rsidR="00C838A4">
        <w:t>PFNonwovens a.s.</w:t>
      </w:r>
      <w:r w:rsidRPr="006C048C">
        <w:t xml:space="preserve"> na Burze cenných papírů Praha v období od 1. října 2016 do 31. prosince 2016).</w:t>
      </w:r>
    </w:p>
    <w:p w14:paraId="303D0930" w14:textId="6C51FC9F" w:rsidR="00AF0D63" w:rsidRDefault="00AF0D63" w:rsidP="00AF0D63">
      <w:r w:rsidRPr="006C048C">
        <w:t>Dne 23. května 2017 obdržela Společnost od osob s řídicí pravomocí emitenta oznámení o</w:t>
      </w:r>
      <w:r w:rsidR="004150DD">
        <w:t> </w:t>
      </w:r>
      <w:r w:rsidRPr="006C048C">
        <w:t xml:space="preserve">transakcích s finančními nástroji, jejichž hodnota je odvozena od akcií Společnosti. Předmětem transakce byl </w:t>
      </w:r>
      <w:r w:rsidR="000546B5">
        <w:t xml:space="preserve">prodej </w:t>
      </w:r>
      <w:r w:rsidRPr="006C048C">
        <w:t>76 911 ks warrantů nakoupených na základě smlouvy ze dne 22. září 2014 s realizační cenou 588,16 Kč. Zavírací cena akcií Společnosti k rozhodnému dni byla 958 Kč.</w:t>
      </w:r>
    </w:p>
    <w:p w14:paraId="0DF8BCA0" w14:textId="54F2FCC9" w:rsidR="0068553C" w:rsidRPr="006C048C" w:rsidRDefault="0068553C" w:rsidP="0068553C">
      <w:r w:rsidRPr="006C048C">
        <w:t xml:space="preserve">Během prvních šesti měsíců roku 2018 </w:t>
      </w:r>
      <w:r w:rsidR="00C77130">
        <w:t xml:space="preserve">neuzavřela Společnost </w:t>
      </w:r>
      <w:r w:rsidRPr="006C048C">
        <w:t xml:space="preserve">žádné významné transakce s osobami s řídící pravomocí Společnosti, ani jejich rodinnými příslušníky či jinak spřízněnými osobami. </w:t>
      </w:r>
    </w:p>
    <w:p w14:paraId="3EC4D2F2" w14:textId="78227E6C" w:rsidR="000C292F" w:rsidRPr="006C048C" w:rsidRDefault="000C292F" w:rsidP="000C292F">
      <w:r w:rsidRPr="006C048C">
        <w:rPr>
          <w:b/>
        </w:rPr>
        <w:t xml:space="preserve">Transakce </w:t>
      </w:r>
      <w:r w:rsidR="00C77130">
        <w:rPr>
          <w:b/>
        </w:rPr>
        <w:t xml:space="preserve">mezi </w:t>
      </w:r>
      <w:r w:rsidRPr="006C048C">
        <w:rPr>
          <w:b/>
        </w:rPr>
        <w:t xml:space="preserve">spřízněnými osobami </w:t>
      </w:r>
      <w:r w:rsidR="00C77130">
        <w:rPr>
          <w:b/>
        </w:rPr>
        <w:t xml:space="preserve">Společnosti a </w:t>
      </w:r>
      <w:r w:rsidR="0068553C" w:rsidRPr="006C048C">
        <w:rPr>
          <w:b/>
        </w:rPr>
        <w:t>osobami s řídící pravomocí</w:t>
      </w:r>
      <w:r w:rsidRPr="006C048C">
        <w:rPr>
          <w:b/>
        </w:rPr>
        <w:t xml:space="preserve"> Společnosti</w:t>
      </w:r>
    </w:p>
    <w:p w14:paraId="1FDD6A27" w14:textId="165F34EB" w:rsidR="000C292F" w:rsidRPr="006C048C" w:rsidRDefault="000C292F" w:rsidP="000C292F">
      <w:r w:rsidRPr="006C048C">
        <w:t>Během prvních šesti měsíc</w:t>
      </w:r>
      <w:r w:rsidR="004150DD">
        <w:t>ů</w:t>
      </w:r>
      <w:r w:rsidRPr="006C048C">
        <w:t xml:space="preserve"> roku 2017 a 2018 </w:t>
      </w:r>
      <w:r w:rsidR="00C77130">
        <w:t xml:space="preserve">neuzavřely </w:t>
      </w:r>
      <w:r w:rsidR="00F74781">
        <w:t>osob</w:t>
      </w:r>
      <w:r w:rsidR="00C77130">
        <w:t>y</w:t>
      </w:r>
      <w:r w:rsidR="00F74781">
        <w:t xml:space="preserve"> s řídící pravomocí </w:t>
      </w:r>
      <w:r w:rsidRPr="006C048C">
        <w:t>Společnosti žádné významné transakce se spřízněnými osobami</w:t>
      </w:r>
      <w:r w:rsidR="00C77130">
        <w:t xml:space="preserve"> Společnosti</w:t>
      </w:r>
      <w:r w:rsidRPr="006C048C">
        <w:t>.</w:t>
      </w:r>
    </w:p>
    <w:p w14:paraId="087D1BB1" w14:textId="77777777" w:rsidR="000C292F" w:rsidRPr="006C048C" w:rsidRDefault="000C292F" w:rsidP="000C292F">
      <w:pPr>
        <w:pStyle w:val="Nadpis4"/>
      </w:pPr>
      <w:r w:rsidRPr="006C048C">
        <w:t>Schválení mezitímních účetních výkazů</w:t>
      </w:r>
    </w:p>
    <w:p w14:paraId="429BFF30" w14:textId="77777777" w:rsidR="000C292F" w:rsidRPr="006C048C" w:rsidRDefault="000C292F" w:rsidP="000C292F">
      <w:r w:rsidRPr="006C048C">
        <w:t>Mezitímní účetní výkazy byly schváleny představenstvem Společnosti dne 22. srpna 2018.</w:t>
      </w:r>
    </w:p>
    <w:p w14:paraId="75999C84" w14:textId="77777777" w:rsidR="000C292F" w:rsidRPr="006C048C" w:rsidRDefault="000C292F" w:rsidP="000C292F"/>
    <w:p w14:paraId="73F1C59B" w14:textId="6E9FDF5B" w:rsidR="000C292F" w:rsidRPr="006C048C" w:rsidRDefault="000C292F" w:rsidP="000C292F">
      <w:pPr>
        <w:spacing w:before="0" w:beforeAutospacing="0" w:after="0" w:afterAutospacing="0"/>
        <w:jc w:val="left"/>
        <w:rPr>
          <w:b/>
          <w:bCs/>
          <w:kern w:val="32"/>
          <w:sz w:val="48"/>
          <w:szCs w:val="48"/>
        </w:rPr>
      </w:pPr>
    </w:p>
    <w:p w14:paraId="53B8D30D" w14:textId="6EAF101C" w:rsidR="00AF0D63" w:rsidRPr="006C048C" w:rsidRDefault="00AF0D63">
      <w:pPr>
        <w:spacing w:before="0" w:beforeAutospacing="0" w:after="160" w:afterAutospacing="0" w:line="259" w:lineRule="auto"/>
        <w:jc w:val="left"/>
        <w:rPr>
          <w:b/>
          <w:bCs/>
          <w:kern w:val="32"/>
          <w:sz w:val="48"/>
          <w:szCs w:val="48"/>
        </w:rPr>
      </w:pPr>
      <w:bookmarkStart w:id="109" w:name="_Toc269907504"/>
    </w:p>
    <w:p w14:paraId="66395D32" w14:textId="77777777" w:rsidR="001959D4" w:rsidRDefault="001959D4">
      <w:pPr>
        <w:spacing w:before="0" w:beforeAutospacing="0" w:after="160" w:afterAutospacing="0" w:line="259" w:lineRule="auto"/>
        <w:jc w:val="left"/>
        <w:rPr>
          <w:b/>
          <w:bCs/>
          <w:kern w:val="32"/>
          <w:sz w:val="48"/>
          <w:szCs w:val="48"/>
        </w:rPr>
      </w:pPr>
      <w:r>
        <w:br w:type="page"/>
      </w:r>
    </w:p>
    <w:p w14:paraId="1D36BACE" w14:textId="5820325F" w:rsidR="000C292F" w:rsidRPr="006C048C" w:rsidRDefault="000C292F" w:rsidP="000C292F">
      <w:pPr>
        <w:pStyle w:val="Nadpis1"/>
      </w:pPr>
      <w:bookmarkStart w:id="110" w:name="_Toc522086621"/>
      <w:r w:rsidRPr="006C048C">
        <w:lastRenderedPageBreak/>
        <w:t>Prohlášení</w:t>
      </w:r>
      <w:bookmarkEnd w:id="109"/>
      <w:bookmarkEnd w:id="110"/>
    </w:p>
    <w:p w14:paraId="57A92F1A" w14:textId="77777777" w:rsidR="000C292F" w:rsidRPr="006C048C" w:rsidRDefault="000C292F" w:rsidP="000C292F"/>
    <w:p w14:paraId="1080D01D" w14:textId="77777777" w:rsidR="000C292F" w:rsidRPr="006C048C" w:rsidRDefault="000C292F" w:rsidP="000C292F">
      <w:r w:rsidRPr="006C048C">
        <w:t>František Řezáč, předseda představenstva PFNonwovens a.s. a</w:t>
      </w:r>
    </w:p>
    <w:p w14:paraId="38BCAFF1" w14:textId="607526A9" w:rsidR="000C292F" w:rsidRPr="006C048C" w:rsidRDefault="000546B5" w:rsidP="000C292F">
      <w:r w:rsidRPr="00FA5E46">
        <w:t>Michal Smrek</w:t>
      </w:r>
      <w:r w:rsidR="000C292F" w:rsidRPr="00FA5E46">
        <w:t>, člen představenstva PFNonwovens a.s.,</w:t>
      </w:r>
    </w:p>
    <w:p w14:paraId="39B68E5D" w14:textId="77777777" w:rsidR="000C292F" w:rsidRPr="006C048C" w:rsidRDefault="000C292F" w:rsidP="000C292F">
      <w:r w:rsidRPr="006C048C">
        <w:t>tímto prohlašují, že podle jejich nejlepšího vědomí podává pololetní zpráva věrný a poctivý obraz o finanční situaci, podnikatelské činnosti a výsledcích hospodaření emitenta a jeho konsolidačního celku za uplynulé pololetí a o vyhlídkách budoucího vývoje finanční situace, podnikatelské činnosti a výsledků hospodaření emitenta a jeho konsolidačního celku.</w:t>
      </w:r>
      <w:r w:rsidRPr="006C048C" w:rsidDel="00BF256B">
        <w:t xml:space="preserve"> </w:t>
      </w:r>
    </w:p>
    <w:p w14:paraId="2B804926" w14:textId="77777777" w:rsidR="000C292F" w:rsidRPr="006C048C" w:rsidRDefault="000C292F" w:rsidP="000C292F"/>
    <w:p w14:paraId="7382F597" w14:textId="77777777" w:rsidR="000C292F" w:rsidRPr="006C048C" w:rsidRDefault="000C292F" w:rsidP="000C292F"/>
    <w:p w14:paraId="0214AA4E" w14:textId="77777777" w:rsidR="000C292F" w:rsidRPr="006C048C" w:rsidRDefault="000C292F" w:rsidP="000C292F">
      <w:r w:rsidRPr="006C048C">
        <w:t>22. srpna 2018</w:t>
      </w:r>
    </w:p>
    <w:p w14:paraId="6DD61CF8" w14:textId="77777777" w:rsidR="000C292F" w:rsidRPr="006C048C" w:rsidRDefault="000C292F" w:rsidP="000C292F"/>
    <w:p w14:paraId="4A223D7F" w14:textId="77777777" w:rsidR="000C292F" w:rsidRPr="006C048C" w:rsidRDefault="000C292F" w:rsidP="000C292F"/>
    <w:p w14:paraId="1E9E152B" w14:textId="77777777" w:rsidR="000C292F" w:rsidRPr="006C048C" w:rsidRDefault="000C292F" w:rsidP="000C292F"/>
    <w:p w14:paraId="319ED8E8" w14:textId="289057C5" w:rsidR="000C292F" w:rsidRPr="006C048C" w:rsidRDefault="000C292F" w:rsidP="000C292F"/>
    <w:p w14:paraId="35F3FE4B" w14:textId="7D9ADD39" w:rsidR="000C292F" w:rsidRPr="006C048C" w:rsidRDefault="000C292F" w:rsidP="000C292F"/>
    <w:p w14:paraId="6C6F5E0F" w14:textId="77777777" w:rsidR="000C292F" w:rsidRPr="006C048C" w:rsidRDefault="000C292F" w:rsidP="000C292F"/>
    <w:p w14:paraId="077844FD" w14:textId="77777777" w:rsidR="000C292F" w:rsidRPr="006C048C" w:rsidRDefault="000C292F" w:rsidP="000C292F"/>
    <w:tbl>
      <w:tblPr>
        <w:tblW w:w="0" w:type="auto"/>
        <w:jc w:val="center"/>
        <w:tblLook w:val="01E0" w:firstRow="1" w:lastRow="1" w:firstColumn="1" w:lastColumn="1" w:noHBand="0" w:noVBand="0"/>
      </w:tblPr>
      <w:tblGrid>
        <w:gridCol w:w="4536"/>
        <w:gridCol w:w="4536"/>
      </w:tblGrid>
      <w:tr w:rsidR="000C292F" w:rsidRPr="006C048C" w14:paraId="697198C5" w14:textId="77777777" w:rsidTr="00E431E6">
        <w:trPr>
          <w:jc w:val="center"/>
        </w:trPr>
        <w:tc>
          <w:tcPr>
            <w:tcW w:w="4606" w:type="dxa"/>
          </w:tcPr>
          <w:p w14:paraId="2BFB41CD" w14:textId="77777777" w:rsidR="000C292F" w:rsidRPr="006C048C" w:rsidRDefault="000C292F" w:rsidP="00E431E6">
            <w:pPr>
              <w:jc w:val="center"/>
            </w:pPr>
            <w:r w:rsidRPr="006C048C">
              <w:t>František Řezáč</w:t>
            </w:r>
            <w:r w:rsidRPr="006C048C">
              <w:br/>
              <w:t xml:space="preserve">Předseda představenstva </w:t>
            </w:r>
            <w:r w:rsidRPr="006C048C">
              <w:br/>
              <w:t>PFNonwovens a.s.</w:t>
            </w:r>
          </w:p>
          <w:p w14:paraId="61182F89" w14:textId="77777777" w:rsidR="000C292F" w:rsidRPr="006C048C" w:rsidRDefault="000C292F" w:rsidP="00E431E6"/>
        </w:tc>
        <w:tc>
          <w:tcPr>
            <w:tcW w:w="4606" w:type="dxa"/>
          </w:tcPr>
          <w:p w14:paraId="77E48158" w14:textId="7FEEC22B" w:rsidR="000C292F" w:rsidRPr="006C048C" w:rsidRDefault="000546B5" w:rsidP="00E431E6">
            <w:pPr>
              <w:jc w:val="center"/>
            </w:pPr>
            <w:r w:rsidRPr="00FA5E46">
              <w:t>Michal Smrek</w:t>
            </w:r>
            <w:r w:rsidR="000C292F" w:rsidRPr="00FA5E46">
              <w:br/>
              <w:t xml:space="preserve">Člen představenstva </w:t>
            </w:r>
            <w:r w:rsidR="000C292F" w:rsidRPr="00FA5E46">
              <w:br/>
              <w:t>PFNonwovens a.s.</w:t>
            </w:r>
          </w:p>
          <w:p w14:paraId="1443005C" w14:textId="77777777" w:rsidR="000C292F" w:rsidRPr="006C048C" w:rsidRDefault="000C292F" w:rsidP="00E431E6"/>
        </w:tc>
      </w:tr>
    </w:tbl>
    <w:p w14:paraId="45FEA51E" w14:textId="77777777" w:rsidR="000C292F" w:rsidRPr="006C048C" w:rsidRDefault="000C292F" w:rsidP="000C292F"/>
    <w:p w14:paraId="55114AC9" w14:textId="77777777" w:rsidR="000C292F" w:rsidRPr="006C048C" w:rsidRDefault="000C292F" w:rsidP="000C292F">
      <w:pPr>
        <w:pStyle w:val="Nadpis1"/>
        <w:sectPr w:rsidR="000C292F" w:rsidRPr="006C048C" w:rsidSect="009566C6">
          <w:pgSz w:w="11906" w:h="16838"/>
          <w:pgMar w:top="1417" w:right="1417" w:bottom="1417" w:left="1417" w:header="708" w:footer="708" w:gutter="0"/>
          <w:cols w:space="708"/>
          <w:docGrid w:linePitch="360"/>
        </w:sectPr>
      </w:pPr>
    </w:p>
    <w:p w14:paraId="136EE786" w14:textId="77777777" w:rsidR="000C292F" w:rsidRPr="006C048C" w:rsidRDefault="000C292F" w:rsidP="000C292F">
      <w:pPr>
        <w:pStyle w:val="Nadpis1"/>
      </w:pPr>
      <w:bookmarkStart w:id="111" w:name="_Toc269907505"/>
      <w:bookmarkStart w:id="112" w:name="_Toc522086622"/>
      <w:r w:rsidRPr="006C048C">
        <w:lastRenderedPageBreak/>
        <w:t>Kontakty</w:t>
      </w:r>
      <w:bookmarkEnd w:id="111"/>
      <w:bookmarkEnd w:id="112"/>
    </w:p>
    <w:p w14:paraId="20B4C5BD" w14:textId="77777777" w:rsidR="000C292F" w:rsidRPr="006C048C" w:rsidRDefault="000C292F" w:rsidP="000C292F"/>
    <w:p w14:paraId="5212B721" w14:textId="77777777" w:rsidR="000C292F" w:rsidRPr="006C048C" w:rsidRDefault="000C292F" w:rsidP="000C292F">
      <w:pPr>
        <w:pStyle w:val="Nadpis4"/>
      </w:pPr>
      <w:r w:rsidRPr="006C048C">
        <w:t>PR/IR Officer</w:t>
      </w:r>
    </w:p>
    <w:p w14:paraId="6191ADAA" w14:textId="77777777" w:rsidR="000C292F" w:rsidRPr="006C048C" w:rsidRDefault="000C292F" w:rsidP="000C292F">
      <w:pPr>
        <w:spacing w:before="0" w:beforeAutospacing="0" w:after="0" w:afterAutospacing="0"/>
      </w:pPr>
      <w:r w:rsidRPr="006C048C">
        <w:t>Tel.: +420 515 262 408</w:t>
      </w:r>
    </w:p>
    <w:p w14:paraId="2CC04DDE" w14:textId="77777777" w:rsidR="000C292F" w:rsidRPr="006C048C" w:rsidRDefault="000C292F" w:rsidP="000C292F">
      <w:pPr>
        <w:spacing w:before="0" w:beforeAutospacing="0" w:after="0" w:afterAutospacing="0"/>
      </w:pPr>
      <w:r w:rsidRPr="006C048C">
        <w:t>GSM: +420 727 964 218</w:t>
      </w:r>
    </w:p>
    <w:p w14:paraId="687801D5" w14:textId="0363E436" w:rsidR="000C292F" w:rsidRPr="006C048C" w:rsidRDefault="000C292F" w:rsidP="000C292F">
      <w:pPr>
        <w:spacing w:before="0" w:beforeAutospacing="0" w:after="0" w:afterAutospacing="0"/>
      </w:pPr>
      <w:r w:rsidRPr="006C048C">
        <w:t>iro@</w:t>
      </w:r>
      <w:r w:rsidR="00CF36F5">
        <w:t>pfnonwovens</w:t>
      </w:r>
      <w:r w:rsidRPr="006C048C">
        <w:t>.cz</w:t>
      </w:r>
    </w:p>
    <w:p w14:paraId="5EEB2D75" w14:textId="77777777" w:rsidR="000C292F" w:rsidRPr="006C048C" w:rsidRDefault="000C292F" w:rsidP="000C292F">
      <w:pPr>
        <w:sectPr w:rsidR="000C292F" w:rsidRPr="006C048C" w:rsidSect="00E431E6">
          <w:pgSz w:w="11906" w:h="16838"/>
          <w:pgMar w:top="1417" w:right="1417" w:bottom="1417" w:left="1417" w:header="708" w:footer="708" w:gutter="0"/>
          <w:cols w:space="708"/>
          <w:docGrid w:linePitch="360"/>
        </w:sectPr>
      </w:pPr>
    </w:p>
    <w:p w14:paraId="7F3BBC9D" w14:textId="77777777" w:rsidR="000C292F" w:rsidRPr="006C048C" w:rsidRDefault="000C292F" w:rsidP="000C292F">
      <w:pPr>
        <w:pStyle w:val="Nadpis1"/>
      </w:pPr>
      <w:bookmarkStart w:id="113" w:name="_Toc269907506"/>
      <w:bookmarkStart w:id="114" w:name="_Toc522086623"/>
      <w:r w:rsidRPr="006C048C">
        <w:lastRenderedPageBreak/>
        <w:t>Výklad pojmů a zkratek</w:t>
      </w:r>
      <w:bookmarkEnd w:id="113"/>
      <w:bookmarkEnd w:id="114"/>
    </w:p>
    <w:p w14:paraId="31BFCE71" w14:textId="77777777" w:rsidR="000C292F" w:rsidRPr="006C048C" w:rsidRDefault="000C292F" w:rsidP="000C292F"/>
    <w:p w14:paraId="265FA530" w14:textId="77777777" w:rsidR="000C292F" w:rsidRPr="006C048C" w:rsidRDefault="000C292F" w:rsidP="000C292F">
      <w:r w:rsidRPr="006C048C">
        <w:rPr>
          <w:b/>
        </w:rPr>
        <w:t>6th October City</w:t>
      </w:r>
      <w:r w:rsidRPr="006C048C">
        <w:t xml:space="preserve"> – je satelitní město u Káhiry v Egyptě. Město má zhruba půl milionu obyvatel a je regionálním sídlem mnoha firem.</w:t>
      </w:r>
    </w:p>
    <w:p w14:paraId="3E50D7A3" w14:textId="77777777" w:rsidR="000C292F" w:rsidRPr="006C048C" w:rsidRDefault="000C292F" w:rsidP="000C292F">
      <w:r w:rsidRPr="006C048C">
        <w:rPr>
          <w:b/>
        </w:rPr>
        <w:t>BCPP (PSE)</w:t>
      </w:r>
      <w:r w:rsidRPr="006C048C">
        <w:t xml:space="preserve"> – Burza cenných papírů Praha, regulovaný trh pro obchody s cennými papíry v České Republice.</w:t>
      </w:r>
    </w:p>
    <w:p w14:paraId="3E6D60B5" w14:textId="77777777" w:rsidR="000C292F" w:rsidRPr="006C048C" w:rsidRDefault="000C292F" w:rsidP="000C292F">
      <w:r w:rsidRPr="006C048C">
        <w:rPr>
          <w:b/>
        </w:rPr>
        <w:t>Bikomponentní vlákno (Bi-co)</w:t>
      </w:r>
      <w:r w:rsidRPr="006C048C">
        <w:t xml:space="preserve"> – textilní vlákno obsahující dvě nebo více základních komponent (polymery). Typické průřezy vláken jsou například „strana/strana“, „jádro/plášť“, „ostrůvky v matrici“.</w:t>
      </w:r>
    </w:p>
    <w:p w14:paraId="0523C717" w14:textId="2FE8B86B" w:rsidR="000C292F" w:rsidRPr="006C048C" w:rsidRDefault="000C292F" w:rsidP="000C292F">
      <w:pPr>
        <w:rPr>
          <w:b/>
        </w:rPr>
      </w:pPr>
      <w:r w:rsidRPr="006C048C">
        <w:rPr>
          <w:b/>
        </w:rPr>
        <w:t>Bučovice</w:t>
      </w:r>
      <w:r w:rsidRPr="006C048C">
        <w:t xml:space="preserve"> –</w:t>
      </w:r>
      <w:r w:rsidRPr="006C048C">
        <w:rPr>
          <w:b/>
        </w:rPr>
        <w:t xml:space="preserve"> </w:t>
      </w:r>
      <w:r w:rsidRPr="006C048C">
        <w:t xml:space="preserve">město na Moravě v okrese Vyškov s přibližně 6 500 obyvateli. </w:t>
      </w:r>
      <w:r w:rsidR="00C838A4">
        <w:t>Společnost</w:t>
      </w:r>
      <w:r w:rsidR="00C838A4" w:rsidRPr="006C048C">
        <w:t xml:space="preserve"> </w:t>
      </w:r>
      <w:r w:rsidRPr="006C048C">
        <w:t xml:space="preserve">zde provozuje tři výrobní linky. </w:t>
      </w:r>
    </w:p>
    <w:p w14:paraId="48996DD5" w14:textId="77777777" w:rsidR="000C292F" w:rsidRPr="006C048C" w:rsidRDefault="000C292F" w:rsidP="000C292F">
      <w:r w:rsidRPr="006C048C">
        <w:rPr>
          <w:b/>
          <w:bCs/>
        </w:rPr>
        <w:t>Clearstream Bank</w:t>
      </w:r>
      <w:r w:rsidRPr="006C048C">
        <w:t xml:space="preserve"> - Clearstream je předním poskytovatelem služeb následujících po obchodování s cennými papíry v Evropě. Je dceřinou společností Deutsche Börse. Clearstream International vznikl v lednu 2000 spojením Cedel International a Deutsche Börse Clearing.</w:t>
      </w:r>
    </w:p>
    <w:p w14:paraId="41177239" w14:textId="77777777" w:rsidR="000C292F" w:rsidRPr="006C048C" w:rsidRDefault="000C292F" w:rsidP="000C292F">
      <w:pPr>
        <w:rPr>
          <w:bCs/>
        </w:rPr>
      </w:pPr>
      <w:r w:rsidRPr="006C048C">
        <w:rPr>
          <w:b/>
        </w:rPr>
        <w:t>EDANA</w:t>
      </w:r>
      <w:r w:rsidRPr="006C048C">
        <w:t xml:space="preserve"> – European Disposables and Nonwovens Association je evropská obchodní asociace výrobců netkaných textilií a výrobců hygienických výrobků, jejímiž členy je přibližně </w:t>
      </w:r>
      <w:r w:rsidRPr="006C048C">
        <w:rPr>
          <w:bCs/>
        </w:rPr>
        <w:t xml:space="preserve">200 společností z 28 zemí. </w:t>
      </w:r>
    </w:p>
    <w:p w14:paraId="3B85D97C" w14:textId="77777777" w:rsidR="000C292F" w:rsidRPr="006C048C" w:rsidRDefault="000C292F" w:rsidP="000C292F">
      <w:r w:rsidRPr="006C048C">
        <w:rPr>
          <w:b/>
        </w:rPr>
        <w:t>EGAP</w:t>
      </w:r>
      <w:r w:rsidRPr="006C048C">
        <w:t xml:space="preserve"> – Exportní garanční a pojišťovací společnost, a.s. (EGAP) založená v červnu 1992 jako státní úvěrová pojišťovna se zaměřením na pojišťování vývozních úvěrů proti teritoriálním a tržně nepojistitelným komerčním rizikům spojeným s vývozem zboží a služeb z České republiky. Společnost EGAP se stala součástí systému státní podpory exportu a poskytuje pojišťovací služby všem vývozcům českého zboží, služeb a investic.</w:t>
      </w:r>
    </w:p>
    <w:p w14:paraId="18F54FA7" w14:textId="77777777" w:rsidR="000C292F" w:rsidRPr="006C048C" w:rsidRDefault="000C292F" w:rsidP="000C292F">
      <w:r w:rsidRPr="006C048C">
        <w:rPr>
          <w:b/>
        </w:rPr>
        <w:t>EMEA</w:t>
      </w:r>
      <w:r w:rsidRPr="006C048C">
        <w:t xml:space="preserve"> – Evropa, Střední východ a Afrika.</w:t>
      </w:r>
    </w:p>
    <w:p w14:paraId="15FD78D6" w14:textId="77777777" w:rsidR="000C292F" w:rsidRPr="006C048C" w:rsidRDefault="000C292F" w:rsidP="000C292F">
      <w:r w:rsidRPr="006C048C">
        <w:rPr>
          <w:b/>
          <w:bCs/>
        </w:rPr>
        <w:t>IFRS</w:t>
      </w:r>
      <w:r w:rsidRPr="006C048C">
        <w:rPr>
          <w:bCs/>
        </w:rPr>
        <w:t xml:space="preserve"> </w:t>
      </w:r>
      <w:r w:rsidRPr="006C048C">
        <w:t>– Mezinárodní standardy účetního výkaznictví.</w:t>
      </w:r>
    </w:p>
    <w:p w14:paraId="381161F0" w14:textId="77777777" w:rsidR="000C292F" w:rsidRPr="006C048C" w:rsidRDefault="000C292F" w:rsidP="000C292F">
      <w:r w:rsidRPr="006C048C">
        <w:rPr>
          <w:b/>
          <w:bCs/>
        </w:rPr>
        <w:t>IPO</w:t>
      </w:r>
      <w:r w:rsidRPr="006C048C">
        <w:t xml:space="preserve"> – primární emise akcií.</w:t>
      </w:r>
    </w:p>
    <w:p w14:paraId="0DE716DF" w14:textId="77777777" w:rsidR="000C292F" w:rsidRPr="006C048C" w:rsidRDefault="000C292F" w:rsidP="000C292F">
      <w:r w:rsidRPr="006C048C">
        <w:rPr>
          <w:b/>
          <w:bCs/>
        </w:rPr>
        <w:t>IRS</w:t>
      </w:r>
      <w:r w:rsidRPr="006C048C">
        <w:t xml:space="preserve"> – úrokový swap, finanční instrument sloužící k zajištění úrokového rizika.</w:t>
      </w:r>
    </w:p>
    <w:p w14:paraId="756524F4" w14:textId="77777777" w:rsidR="000C292F" w:rsidRPr="006C048C" w:rsidRDefault="000C292F" w:rsidP="000C292F">
      <w:r w:rsidRPr="006C048C">
        <w:rPr>
          <w:b/>
        </w:rPr>
        <w:t>Meltblownová textilie</w:t>
      </w:r>
      <w:r w:rsidRPr="006C048C">
        <w:t xml:space="preserve"> – textilie vyrobená technologií Meltblown.</w:t>
      </w:r>
    </w:p>
    <w:p w14:paraId="44478A78" w14:textId="77777777" w:rsidR="000C292F" w:rsidRPr="006C048C" w:rsidRDefault="000C292F" w:rsidP="000C292F">
      <w:r w:rsidRPr="006C048C">
        <w:rPr>
          <w:b/>
        </w:rPr>
        <w:t>Netkaná textilie</w:t>
      </w:r>
      <w:r w:rsidRPr="006C048C">
        <w:t xml:space="preserve"> – plošný textilní útvar vyrobený z přírodních či syntetických vláken pojený mechanicky, chemicky nebo tepelně (nejedná se při tom o výrobu papíru).</w:t>
      </w:r>
    </w:p>
    <w:p w14:paraId="0797F1BE" w14:textId="77777777" w:rsidR="000C292F" w:rsidRPr="006C048C" w:rsidRDefault="000C292F" w:rsidP="000C292F">
      <w:r w:rsidRPr="006C048C">
        <w:rPr>
          <w:b/>
        </w:rPr>
        <w:lastRenderedPageBreak/>
        <w:t>Polymer</w:t>
      </w:r>
      <w:r w:rsidRPr="006C048C">
        <w:t xml:space="preserve"> – látka složená z molekul (monomerů) pojených kovalentní vazbou do velice dlouhých řetězců.</w:t>
      </w:r>
    </w:p>
    <w:p w14:paraId="6B21B8D3" w14:textId="77777777" w:rsidR="000C292F" w:rsidRPr="006C048C" w:rsidRDefault="000C292F" w:rsidP="000C292F">
      <w:r w:rsidRPr="006C048C">
        <w:rPr>
          <w:b/>
        </w:rPr>
        <w:t>Polypropylen/polyetylen</w:t>
      </w:r>
      <w:r w:rsidRPr="006C048C">
        <w:t xml:space="preserve"> – termoplastický polymer skládající se z dlouhých řetězců monomerů (propylen, etylen). Přirozenou vlastností je vodoodpudivost, odolnost vůči chemickým rozpouštědlům, alkáliím a kyselinám.</w:t>
      </w:r>
    </w:p>
    <w:p w14:paraId="07BC5657" w14:textId="07212999" w:rsidR="000C292F" w:rsidRPr="006C048C" w:rsidRDefault="000C292F" w:rsidP="000C292F">
      <w:r w:rsidRPr="006C048C">
        <w:rPr>
          <w:b/>
          <w:bCs/>
        </w:rPr>
        <w:t>Přímětice</w:t>
      </w:r>
      <w:r w:rsidRPr="006C048C">
        <w:t xml:space="preserve"> – dříve samosprávná jednotka, nyní součást předměstí Znojma. </w:t>
      </w:r>
      <w:r w:rsidR="00C838A4">
        <w:t>Společnost</w:t>
      </w:r>
      <w:r w:rsidR="00C838A4" w:rsidRPr="006C048C">
        <w:t xml:space="preserve"> </w:t>
      </w:r>
      <w:r w:rsidRPr="006C048C">
        <w:t>zde provozuje šest výrobních linek.</w:t>
      </w:r>
    </w:p>
    <w:p w14:paraId="5F48F96E" w14:textId="77777777" w:rsidR="000C292F" w:rsidRPr="006C048C" w:rsidRDefault="000C292F" w:rsidP="000C292F">
      <w:r w:rsidRPr="006C048C">
        <w:rPr>
          <w:b/>
          <w:bCs/>
        </w:rPr>
        <w:t>PX</w:t>
      </w:r>
      <w:r w:rsidRPr="006C048C">
        <w:rPr>
          <w:bCs/>
        </w:rPr>
        <w:t xml:space="preserve"> – </w:t>
      </w:r>
      <w:r w:rsidRPr="006C048C">
        <w:t>oficiální index významných emisí (blue chips) kotovaných na Burze cenných papírů Praha.</w:t>
      </w:r>
    </w:p>
    <w:p w14:paraId="0D95E926" w14:textId="77777777" w:rsidR="000C292F" w:rsidRPr="006C048C" w:rsidRDefault="000C292F" w:rsidP="000C292F">
      <w:r w:rsidRPr="006C048C">
        <w:rPr>
          <w:b/>
        </w:rPr>
        <w:t>Reicofil</w:t>
      </w:r>
      <w:r w:rsidRPr="006C048C">
        <w:t xml:space="preserve"> – přední výrobce zařízení na výrobu netkaných textilií.</w:t>
      </w:r>
    </w:p>
    <w:p w14:paraId="4B1E17C4" w14:textId="77777777" w:rsidR="000C292F" w:rsidRPr="006C048C" w:rsidRDefault="000C292F" w:rsidP="000C292F">
      <w:r w:rsidRPr="006C048C">
        <w:rPr>
          <w:b/>
        </w:rPr>
        <w:t>Regranulace</w:t>
      </w:r>
      <w:r w:rsidRPr="006C048C">
        <w:t xml:space="preserve"> – metoda recyklace zbytkových textilií do formy granulí, které mohou být vráceny do výrobního procesu.</w:t>
      </w:r>
    </w:p>
    <w:p w14:paraId="5C82A68C" w14:textId="77777777" w:rsidR="000C292F" w:rsidRPr="006C048C" w:rsidRDefault="000C292F" w:rsidP="000C292F">
      <w:r w:rsidRPr="006C048C">
        <w:rPr>
          <w:b/>
        </w:rPr>
        <w:t>Spunbondová textilie</w:t>
      </w:r>
      <w:r w:rsidRPr="006C048C">
        <w:t xml:space="preserve"> – textilie vyrobená technologií Spunbond/Spunmelt.</w:t>
      </w:r>
    </w:p>
    <w:p w14:paraId="1B3C3BBA" w14:textId="77777777" w:rsidR="000C292F" w:rsidRPr="006C048C" w:rsidRDefault="000C292F" w:rsidP="000C292F">
      <w:r w:rsidRPr="006C048C">
        <w:rPr>
          <w:b/>
        </w:rPr>
        <w:t>Spunmelt/technologie Spunmelt</w:t>
      </w:r>
      <w:r w:rsidRPr="006C048C">
        <w:t xml:space="preserve"> – technologie výroby netkané textilie. Tavenina polymeru je vytlačována do dloužícího kanálu, dloužena chladným vzduchem do požadovaného průměru vláken a ukládána na pás.</w:t>
      </w:r>
    </w:p>
    <w:p w14:paraId="70CC1380" w14:textId="77777777" w:rsidR="000C292F" w:rsidRPr="006C048C" w:rsidRDefault="000C292F" w:rsidP="000C292F">
      <w:r w:rsidRPr="006C048C">
        <w:rPr>
          <w:b/>
        </w:rPr>
        <w:t>Technologie Meltblown</w:t>
      </w:r>
      <w:r w:rsidRPr="006C048C">
        <w:t xml:space="preserve"> – technologie výroby netkané textilie, kdy polymer je vytlačován z kapilár, dloužen horkým vzduchem na velmi jemná vlákna (1-10 mikrometrů) a ukládán na pás.</w:t>
      </w:r>
    </w:p>
    <w:p w14:paraId="248F64E6" w14:textId="77777777" w:rsidR="000C292F" w:rsidRPr="006C048C" w:rsidRDefault="000C292F" w:rsidP="000C292F">
      <w:pPr>
        <w:spacing w:before="0" w:beforeAutospacing="0" w:after="0" w:afterAutospacing="0"/>
        <w:jc w:val="left"/>
      </w:pPr>
      <w:r w:rsidRPr="006C048C">
        <w:br w:type="page"/>
      </w:r>
    </w:p>
    <w:p w14:paraId="2C1E84F4" w14:textId="77777777" w:rsidR="000C292F" w:rsidRPr="006C048C" w:rsidRDefault="000C292F" w:rsidP="000C292F">
      <w:pPr>
        <w:pStyle w:val="Nadpis2"/>
      </w:pPr>
      <w:bookmarkStart w:id="115" w:name="_Toc522086624"/>
      <w:r w:rsidRPr="006C048C">
        <w:lastRenderedPageBreak/>
        <w:t>Alternativní měřítka výkonnosti</w:t>
      </w:r>
      <w:bookmarkEnd w:id="115"/>
    </w:p>
    <w:p w14:paraId="29DF3D5D" w14:textId="77777777" w:rsidR="000C292F" w:rsidRPr="006C048C" w:rsidRDefault="000C292F" w:rsidP="000C292F">
      <w:r w:rsidRPr="006C048C">
        <w:t>V souladu se směrnicí ESMA (European Securities and Markets Authority) týkající se transparentnosti a ochrany investorů v Evropské unii obsahuje tento slovník alternativní měřítka výkonnosti, která jsou používána pro vyjádření výkonnosti Společnosti, ale nejsou definována v rámci IFRS výkazů jako standardní měřítka. Definice těchto měřítek umožňuje uživatelům reportů získat dodatečnou informaci pro posouzení ekonomické situace a výkonnosti Společnosti.</w:t>
      </w:r>
    </w:p>
    <w:tbl>
      <w:tblPr>
        <w:tblStyle w:val="Mkatabulky"/>
        <w:tblW w:w="5000" w:type="pct"/>
        <w:tblBorders>
          <w:top w:val="single" w:sz="4" w:space="0" w:color="9C9D9F"/>
          <w:left w:val="single" w:sz="4" w:space="0" w:color="9C9D9F"/>
          <w:bottom w:val="single" w:sz="4" w:space="0" w:color="9C9D9F"/>
          <w:right w:val="single" w:sz="4" w:space="0" w:color="9C9D9F"/>
          <w:insideH w:val="single" w:sz="4" w:space="0" w:color="9C9D9F"/>
          <w:insideV w:val="single" w:sz="4" w:space="0" w:color="9C9D9F"/>
        </w:tblBorders>
        <w:tblLayout w:type="fixed"/>
        <w:tblLook w:val="04A0" w:firstRow="1" w:lastRow="0" w:firstColumn="1" w:lastColumn="0" w:noHBand="0" w:noVBand="1"/>
      </w:tblPr>
      <w:tblGrid>
        <w:gridCol w:w="1157"/>
        <w:gridCol w:w="2635"/>
        <w:gridCol w:w="2635"/>
        <w:gridCol w:w="2635"/>
      </w:tblGrid>
      <w:tr w:rsidR="000C292F" w:rsidRPr="006C048C" w14:paraId="0AD9A620" w14:textId="77777777" w:rsidTr="000546B5">
        <w:tc>
          <w:tcPr>
            <w:tcW w:w="638" w:type="pct"/>
            <w:shd w:val="clear" w:color="auto" w:fill="2A7FC6"/>
          </w:tcPr>
          <w:p w14:paraId="7441DF84" w14:textId="77777777" w:rsidR="000C292F" w:rsidRPr="006C048C" w:rsidRDefault="000C292F" w:rsidP="00E431E6">
            <w:pPr>
              <w:ind w:right="-105"/>
              <w:jc w:val="left"/>
              <w:rPr>
                <w:rFonts w:asciiTheme="minorHAnsi" w:hAnsiTheme="minorHAnsi" w:cstheme="minorHAnsi"/>
                <w:b/>
                <w:color w:val="FFFFFF" w:themeColor="background1"/>
                <w:sz w:val="20"/>
                <w:szCs w:val="20"/>
              </w:rPr>
            </w:pPr>
            <w:r w:rsidRPr="006C048C">
              <w:rPr>
                <w:rFonts w:asciiTheme="minorHAnsi" w:hAnsiTheme="minorHAnsi" w:cstheme="minorHAnsi"/>
                <w:b/>
                <w:color w:val="FFFFFF" w:themeColor="background1"/>
                <w:sz w:val="20"/>
                <w:szCs w:val="20"/>
              </w:rPr>
              <w:t>Měřítko výkonnosti</w:t>
            </w:r>
          </w:p>
        </w:tc>
        <w:tc>
          <w:tcPr>
            <w:tcW w:w="1454" w:type="pct"/>
            <w:shd w:val="clear" w:color="auto" w:fill="2A7FC6"/>
          </w:tcPr>
          <w:p w14:paraId="1E28B6C7" w14:textId="77777777" w:rsidR="000C292F" w:rsidRPr="006C048C" w:rsidRDefault="000C292F" w:rsidP="00E431E6">
            <w:pPr>
              <w:jc w:val="left"/>
              <w:rPr>
                <w:rFonts w:asciiTheme="minorHAnsi" w:hAnsiTheme="minorHAnsi" w:cstheme="minorHAnsi"/>
                <w:b/>
                <w:color w:val="FFFFFF" w:themeColor="background1"/>
                <w:sz w:val="20"/>
                <w:szCs w:val="20"/>
              </w:rPr>
            </w:pPr>
            <w:r w:rsidRPr="006C048C">
              <w:rPr>
                <w:rFonts w:asciiTheme="minorHAnsi" w:hAnsiTheme="minorHAnsi" w:cstheme="minorHAnsi"/>
                <w:b/>
                <w:color w:val="FFFFFF" w:themeColor="background1"/>
                <w:sz w:val="20"/>
                <w:szCs w:val="20"/>
              </w:rPr>
              <w:t>Definice</w:t>
            </w:r>
          </w:p>
        </w:tc>
        <w:tc>
          <w:tcPr>
            <w:tcW w:w="1454" w:type="pct"/>
            <w:shd w:val="clear" w:color="auto" w:fill="2A7FC6"/>
          </w:tcPr>
          <w:p w14:paraId="1AF8B275" w14:textId="77777777" w:rsidR="000C292F" w:rsidRPr="006C048C" w:rsidRDefault="000C292F" w:rsidP="00E431E6">
            <w:pPr>
              <w:jc w:val="left"/>
              <w:rPr>
                <w:rFonts w:asciiTheme="minorHAnsi" w:hAnsiTheme="minorHAnsi" w:cstheme="minorHAnsi"/>
                <w:b/>
                <w:color w:val="FFFFFF" w:themeColor="background1"/>
                <w:sz w:val="20"/>
                <w:szCs w:val="20"/>
              </w:rPr>
            </w:pPr>
            <w:r w:rsidRPr="006C048C">
              <w:rPr>
                <w:rFonts w:asciiTheme="minorHAnsi" w:hAnsiTheme="minorHAnsi" w:cstheme="minorHAnsi"/>
                <w:b/>
                <w:color w:val="FFFFFF" w:themeColor="background1"/>
                <w:sz w:val="20"/>
                <w:szCs w:val="20"/>
              </w:rPr>
              <w:t>Účel</w:t>
            </w:r>
          </w:p>
        </w:tc>
        <w:tc>
          <w:tcPr>
            <w:tcW w:w="1454" w:type="pct"/>
            <w:shd w:val="clear" w:color="auto" w:fill="2A7FC6"/>
          </w:tcPr>
          <w:p w14:paraId="51E2F4E4" w14:textId="77777777" w:rsidR="000C292F" w:rsidRPr="001959D4" w:rsidRDefault="000C292F" w:rsidP="00E431E6">
            <w:pPr>
              <w:ind w:right="-104"/>
              <w:jc w:val="left"/>
              <w:rPr>
                <w:rFonts w:asciiTheme="minorHAnsi" w:hAnsiTheme="minorHAnsi" w:cstheme="minorHAnsi"/>
                <w:b/>
                <w:color w:val="FFFFFF" w:themeColor="background1"/>
                <w:sz w:val="20"/>
                <w:szCs w:val="20"/>
              </w:rPr>
            </w:pPr>
            <w:r w:rsidRPr="001959D4">
              <w:rPr>
                <w:rFonts w:asciiTheme="minorHAnsi" w:hAnsiTheme="minorHAnsi" w:cstheme="minorHAnsi"/>
                <w:b/>
                <w:color w:val="FFFFFF" w:themeColor="background1"/>
                <w:sz w:val="20"/>
                <w:szCs w:val="20"/>
              </w:rPr>
              <w:t xml:space="preserve">Sesouhlasení s účetní závěrkou </w:t>
            </w:r>
          </w:p>
        </w:tc>
      </w:tr>
      <w:tr w:rsidR="000C292F" w:rsidRPr="006C048C" w14:paraId="325FCC7F" w14:textId="77777777" w:rsidTr="00E431E6">
        <w:tc>
          <w:tcPr>
            <w:tcW w:w="638" w:type="pct"/>
          </w:tcPr>
          <w:p w14:paraId="5AC6BE30" w14:textId="77777777" w:rsidR="000C292F" w:rsidRPr="006C048C" w:rsidRDefault="000C292F" w:rsidP="00E431E6">
            <w:pPr>
              <w:jc w:val="left"/>
              <w:rPr>
                <w:rFonts w:asciiTheme="minorHAnsi" w:hAnsiTheme="minorHAnsi" w:cstheme="minorHAnsi"/>
                <w:b/>
                <w:bCs/>
                <w:sz w:val="20"/>
                <w:szCs w:val="20"/>
              </w:rPr>
            </w:pPr>
            <w:r w:rsidRPr="006C048C">
              <w:rPr>
                <w:rFonts w:asciiTheme="minorHAnsi" w:hAnsiTheme="minorHAnsi" w:cstheme="minorHAnsi"/>
                <w:b/>
                <w:bCs/>
                <w:sz w:val="20"/>
                <w:szCs w:val="20"/>
              </w:rPr>
              <w:t>CAPEX</w:t>
            </w:r>
          </w:p>
        </w:tc>
        <w:tc>
          <w:tcPr>
            <w:tcW w:w="1454" w:type="pct"/>
          </w:tcPr>
          <w:p w14:paraId="157B29DB"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Investiční výdaje do nehmotného majetku a pozemků, budov a zařízení, včetně investičních výdajů financovaných leasingem</w:t>
            </w:r>
          </w:p>
        </w:tc>
        <w:tc>
          <w:tcPr>
            <w:tcW w:w="1454" w:type="pct"/>
          </w:tcPr>
          <w:p w14:paraId="3101780C"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Zobrazuje množství dostupných prostředků investovaných do operací k zajištění dlouhodobé výnosnosti.</w:t>
            </w:r>
          </w:p>
        </w:tc>
        <w:tc>
          <w:tcPr>
            <w:tcW w:w="1454" w:type="pct"/>
          </w:tcPr>
          <w:p w14:paraId="206734C2" w14:textId="0F3F36E2" w:rsidR="000C292F" w:rsidRPr="001959D4" w:rsidRDefault="000C292F" w:rsidP="002E3A91">
            <w:pPr>
              <w:ind w:right="-104"/>
              <w:jc w:val="left"/>
              <w:rPr>
                <w:rFonts w:asciiTheme="minorHAnsi" w:hAnsiTheme="minorHAnsi" w:cstheme="minorHAnsi"/>
                <w:sz w:val="20"/>
                <w:szCs w:val="20"/>
              </w:rPr>
            </w:pPr>
            <w:r w:rsidRPr="001959D4">
              <w:rPr>
                <w:rFonts w:asciiTheme="minorHAnsi" w:hAnsiTheme="minorHAnsi" w:cstheme="minorHAnsi"/>
                <w:sz w:val="20"/>
                <w:szCs w:val="20"/>
              </w:rPr>
              <w:t xml:space="preserve">Viz </w:t>
            </w:r>
            <w:r w:rsidR="002E3A91" w:rsidRPr="001959D4">
              <w:rPr>
                <w:rFonts w:asciiTheme="minorHAnsi" w:hAnsiTheme="minorHAnsi"/>
              </w:rPr>
              <w:t xml:space="preserve"> </w:t>
            </w:r>
            <w:r w:rsidR="002E3A91" w:rsidRPr="001959D4">
              <w:rPr>
                <w:rFonts w:asciiTheme="minorHAnsi" w:hAnsiTheme="minorHAnsi" w:cstheme="minorHAnsi"/>
                <w:sz w:val="20"/>
                <w:szCs w:val="20"/>
              </w:rPr>
              <w:t>Konsolidovaný přehled o peněžních tocích ve zkrácené podobě</w:t>
            </w:r>
            <w:r w:rsidR="002E3A91" w:rsidRPr="001959D4" w:rsidDel="002E3A91">
              <w:rPr>
                <w:rFonts w:asciiTheme="minorHAnsi" w:hAnsiTheme="minorHAnsi" w:cstheme="minorHAnsi"/>
                <w:sz w:val="20"/>
                <w:szCs w:val="20"/>
              </w:rPr>
              <w:t xml:space="preserve"> </w:t>
            </w:r>
            <w:r w:rsidRPr="001959D4">
              <w:rPr>
                <w:rFonts w:asciiTheme="minorHAnsi" w:hAnsiTheme="minorHAnsi" w:cstheme="minorHAnsi"/>
                <w:sz w:val="20"/>
                <w:szCs w:val="20"/>
              </w:rPr>
              <w:t>(řádek Čisté peněžní toky z investiční činnosti).</w:t>
            </w:r>
          </w:p>
        </w:tc>
      </w:tr>
      <w:tr w:rsidR="000C292F" w:rsidRPr="006C048C" w14:paraId="3A75CFF9" w14:textId="77777777" w:rsidTr="00E431E6">
        <w:tc>
          <w:tcPr>
            <w:tcW w:w="638" w:type="pct"/>
          </w:tcPr>
          <w:p w14:paraId="2034EBB2" w14:textId="77777777" w:rsidR="000C292F" w:rsidRPr="006C048C" w:rsidRDefault="000C292F" w:rsidP="00E431E6">
            <w:pPr>
              <w:jc w:val="left"/>
              <w:rPr>
                <w:rFonts w:asciiTheme="minorHAnsi" w:hAnsiTheme="minorHAnsi" w:cstheme="minorHAnsi"/>
                <w:b/>
                <w:bCs/>
                <w:sz w:val="20"/>
                <w:szCs w:val="20"/>
              </w:rPr>
            </w:pPr>
            <w:r w:rsidRPr="006C048C">
              <w:rPr>
                <w:rFonts w:asciiTheme="minorHAnsi" w:hAnsiTheme="minorHAnsi" w:cstheme="minorHAnsi"/>
                <w:b/>
                <w:bCs/>
                <w:sz w:val="20"/>
                <w:szCs w:val="20"/>
              </w:rPr>
              <w:t>Čistý dluh</w:t>
            </w:r>
          </w:p>
        </w:tc>
        <w:tc>
          <w:tcPr>
            <w:tcW w:w="1454" w:type="pct"/>
          </w:tcPr>
          <w:p w14:paraId="2942D10D" w14:textId="28F3E733" w:rsidR="000C292F" w:rsidRPr="006C048C" w:rsidRDefault="000C292F" w:rsidP="00AF6E81">
            <w:pPr>
              <w:jc w:val="left"/>
              <w:rPr>
                <w:rFonts w:asciiTheme="minorHAnsi" w:hAnsiTheme="minorHAnsi" w:cstheme="minorHAnsi"/>
                <w:bCs/>
                <w:sz w:val="20"/>
                <w:szCs w:val="20"/>
              </w:rPr>
            </w:pPr>
            <w:r w:rsidRPr="006C048C">
              <w:rPr>
                <w:rFonts w:asciiTheme="minorHAnsi" w:hAnsiTheme="minorHAnsi" w:cstheme="minorHAnsi"/>
                <w:sz w:val="20"/>
                <w:szCs w:val="20"/>
              </w:rPr>
              <w:t xml:space="preserve">Finanční ukazatel počítaný jako: Dlouhodobé </w:t>
            </w:r>
            <w:r w:rsidR="00AF6E81">
              <w:rPr>
                <w:rFonts w:asciiTheme="minorHAnsi" w:hAnsiTheme="minorHAnsi" w:cstheme="minorHAnsi"/>
                <w:sz w:val="20"/>
                <w:szCs w:val="20"/>
              </w:rPr>
              <w:t xml:space="preserve">bankovní úvěry </w:t>
            </w:r>
            <w:r w:rsidRPr="006C048C">
              <w:rPr>
                <w:rFonts w:asciiTheme="minorHAnsi" w:hAnsiTheme="minorHAnsi" w:cstheme="minorHAnsi"/>
                <w:sz w:val="20"/>
                <w:szCs w:val="20"/>
              </w:rPr>
              <w:t xml:space="preserve">+ </w:t>
            </w:r>
            <w:r w:rsidR="00AF6E81">
              <w:rPr>
                <w:rFonts w:asciiTheme="minorHAnsi" w:hAnsiTheme="minorHAnsi" w:cstheme="minorHAnsi"/>
                <w:sz w:val="20"/>
                <w:szCs w:val="20"/>
              </w:rPr>
              <w:t>Dlouhodobé dluhopisy</w:t>
            </w:r>
            <w:r w:rsidRPr="006C048C">
              <w:rPr>
                <w:rFonts w:asciiTheme="minorHAnsi" w:hAnsiTheme="minorHAnsi" w:cstheme="minorHAnsi"/>
                <w:sz w:val="20"/>
                <w:szCs w:val="20"/>
              </w:rPr>
              <w:t xml:space="preserve"> + </w:t>
            </w:r>
            <w:r w:rsidR="00AF6E81">
              <w:rPr>
                <w:rFonts w:asciiTheme="minorHAnsi" w:hAnsiTheme="minorHAnsi" w:cstheme="minorHAnsi"/>
                <w:sz w:val="20"/>
                <w:szCs w:val="20"/>
              </w:rPr>
              <w:t>Krátkodobé bankovní úvěry + Krátkodobé dluhopisy</w:t>
            </w:r>
            <w:r w:rsidRPr="006C048C">
              <w:rPr>
                <w:rFonts w:asciiTheme="minorHAnsi" w:hAnsiTheme="minorHAnsi" w:cstheme="minorHAnsi"/>
                <w:sz w:val="20"/>
                <w:szCs w:val="20"/>
              </w:rPr>
              <w:t xml:space="preserve"> – (</w:t>
            </w:r>
            <w:r w:rsidR="00AF6E81">
              <w:rPr>
                <w:rFonts w:asciiTheme="minorHAnsi" w:hAnsiTheme="minorHAnsi" w:cstheme="minorHAnsi"/>
                <w:sz w:val="20"/>
                <w:szCs w:val="20"/>
              </w:rPr>
              <w:t>Peníze a peněžní ekvivalenty</w:t>
            </w:r>
            <w:r w:rsidRPr="006C048C">
              <w:rPr>
                <w:rFonts w:asciiTheme="minorHAnsi" w:hAnsiTheme="minorHAnsi" w:cstheme="minorHAnsi"/>
                <w:sz w:val="20"/>
                <w:szCs w:val="20"/>
              </w:rPr>
              <w:t>)</w:t>
            </w:r>
          </w:p>
        </w:tc>
        <w:tc>
          <w:tcPr>
            <w:tcW w:w="1454" w:type="pct"/>
          </w:tcPr>
          <w:p w14:paraId="035A9AD8"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Ukazatel vyjadřuje reálný stav finančního dluhu Společnosti, tj. nominální hodnotu dluhů sníženou o peněžní prostředky, peněžní ekvivalenty a vysoce likvidní finanční aktiva společnosti. Využití ukazatele je primárně při posuzování celkové přiměřenosti zadlužení Společnosti, tj. např. při porovnání s vybranými ziskovými či bilančními ukazateli Společnosti.</w:t>
            </w:r>
          </w:p>
        </w:tc>
        <w:tc>
          <w:tcPr>
            <w:tcW w:w="1454" w:type="pct"/>
          </w:tcPr>
          <w:p w14:paraId="45F31002" w14:textId="00325D90" w:rsidR="000C292F" w:rsidRPr="001959D4" w:rsidRDefault="000C292F"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 xml:space="preserve">Viz </w:t>
            </w:r>
            <w:r w:rsidR="002E3A91" w:rsidRPr="001959D4">
              <w:rPr>
                <w:rFonts w:asciiTheme="minorHAnsi" w:hAnsiTheme="minorHAnsi" w:cstheme="minorHAnsi"/>
                <w:sz w:val="20"/>
                <w:szCs w:val="20"/>
              </w:rPr>
              <w:t>Hlavní údaje za první pololetí 2018 v mil. Kč</w:t>
            </w:r>
            <w:r w:rsidRPr="001959D4">
              <w:rPr>
                <w:rFonts w:asciiTheme="minorHAnsi" w:hAnsiTheme="minorHAnsi" w:cstheme="minorHAnsi"/>
                <w:sz w:val="20"/>
                <w:szCs w:val="20"/>
              </w:rPr>
              <w:t>:</w:t>
            </w:r>
          </w:p>
          <w:p w14:paraId="18B9F7C4" w14:textId="63AF467A" w:rsidR="000C292F" w:rsidRPr="001959D4" w:rsidRDefault="00D548ED" w:rsidP="00E431E6">
            <w:pPr>
              <w:spacing w:before="0" w:beforeAutospacing="0" w:after="0" w:afterAutospacing="0"/>
              <w:ind w:right="-104"/>
              <w:jc w:val="left"/>
              <w:rPr>
                <w:rFonts w:asciiTheme="minorHAnsi" w:hAnsiTheme="minorHAnsi" w:cstheme="minorHAnsi"/>
                <w:sz w:val="20"/>
                <w:szCs w:val="20"/>
              </w:rPr>
            </w:pPr>
            <w:r>
              <w:rPr>
                <w:rFonts w:asciiTheme="minorHAnsi" w:hAnsiTheme="minorHAnsi" w:cstheme="minorHAnsi"/>
                <w:sz w:val="20"/>
                <w:szCs w:val="20"/>
              </w:rPr>
              <w:t>1-6/2018</w:t>
            </w:r>
            <w:r w:rsidR="000C292F" w:rsidRPr="001959D4">
              <w:rPr>
                <w:rFonts w:asciiTheme="minorHAnsi" w:hAnsiTheme="minorHAnsi" w:cstheme="minorHAnsi"/>
                <w:sz w:val="20"/>
                <w:szCs w:val="20"/>
              </w:rPr>
              <w:t xml:space="preserve">: </w:t>
            </w:r>
            <w:r w:rsidR="00AF6E81">
              <w:rPr>
                <w:rFonts w:asciiTheme="minorHAnsi" w:hAnsiTheme="minorHAnsi" w:cstheme="minorHAnsi"/>
                <w:sz w:val="20"/>
                <w:szCs w:val="20"/>
              </w:rPr>
              <w:t>0 + 3</w:t>
            </w:r>
            <w:r>
              <w:rPr>
                <w:rFonts w:asciiTheme="minorHAnsi" w:hAnsiTheme="minorHAnsi" w:cstheme="minorHAnsi"/>
                <w:sz w:val="20"/>
                <w:szCs w:val="20"/>
              </w:rPr>
              <w:t> 944,5</w:t>
            </w:r>
            <w:r w:rsidR="00AF6E81">
              <w:rPr>
                <w:rFonts w:asciiTheme="minorHAnsi" w:hAnsiTheme="minorHAnsi" w:cstheme="minorHAnsi"/>
                <w:sz w:val="20"/>
                <w:szCs w:val="20"/>
              </w:rPr>
              <w:t xml:space="preserve"> </w:t>
            </w:r>
            <w:r>
              <w:rPr>
                <w:rFonts w:asciiTheme="minorHAnsi" w:hAnsiTheme="minorHAnsi" w:cstheme="minorHAnsi"/>
                <w:sz w:val="20"/>
                <w:szCs w:val="20"/>
              </w:rPr>
              <w:t>+ 2 301,9</w:t>
            </w:r>
            <w:r w:rsidR="00AF6E81">
              <w:rPr>
                <w:rFonts w:asciiTheme="minorHAnsi" w:hAnsiTheme="minorHAnsi" w:cstheme="minorHAnsi"/>
                <w:sz w:val="20"/>
                <w:szCs w:val="20"/>
              </w:rPr>
              <w:t xml:space="preserve"> – 1</w:t>
            </w:r>
            <w:r>
              <w:rPr>
                <w:rFonts w:asciiTheme="minorHAnsi" w:hAnsiTheme="minorHAnsi" w:cstheme="minorHAnsi"/>
                <w:sz w:val="20"/>
                <w:szCs w:val="20"/>
              </w:rPr>
              <w:t> 476,7</w:t>
            </w:r>
            <w:r w:rsidR="00AF6E81">
              <w:rPr>
                <w:rFonts w:asciiTheme="minorHAnsi" w:hAnsiTheme="minorHAnsi" w:cstheme="minorHAnsi"/>
                <w:sz w:val="20"/>
                <w:szCs w:val="20"/>
              </w:rPr>
              <w:t xml:space="preserve"> </w:t>
            </w:r>
            <w:r w:rsidR="000C292F" w:rsidRPr="001959D4">
              <w:rPr>
                <w:rFonts w:asciiTheme="minorHAnsi" w:hAnsiTheme="minorHAnsi" w:cstheme="minorHAnsi"/>
                <w:sz w:val="20"/>
                <w:szCs w:val="20"/>
              </w:rPr>
              <w:t xml:space="preserve">= </w:t>
            </w:r>
            <w:r>
              <w:rPr>
                <w:rFonts w:asciiTheme="minorHAnsi" w:hAnsiTheme="minorHAnsi" w:cstheme="minorHAnsi"/>
                <w:sz w:val="20"/>
                <w:szCs w:val="20"/>
              </w:rPr>
              <w:t>4 769,7</w:t>
            </w:r>
          </w:p>
          <w:p w14:paraId="3162E848" w14:textId="180DB6CC" w:rsidR="000C292F" w:rsidRPr="001959D4" w:rsidRDefault="00D548ED" w:rsidP="00AF6E81">
            <w:pPr>
              <w:spacing w:before="0" w:beforeAutospacing="0" w:after="0" w:afterAutospacing="0"/>
              <w:ind w:right="-104"/>
              <w:jc w:val="left"/>
              <w:rPr>
                <w:rFonts w:asciiTheme="minorHAnsi" w:hAnsiTheme="minorHAnsi" w:cstheme="minorHAnsi"/>
                <w:sz w:val="20"/>
                <w:szCs w:val="20"/>
              </w:rPr>
            </w:pPr>
            <w:r>
              <w:rPr>
                <w:rFonts w:asciiTheme="minorHAnsi" w:hAnsiTheme="minorHAnsi" w:cstheme="minorHAnsi"/>
                <w:sz w:val="20"/>
                <w:szCs w:val="20"/>
              </w:rPr>
              <w:t>4-6/</w:t>
            </w:r>
            <w:r w:rsidR="000C292F" w:rsidRPr="001959D4">
              <w:rPr>
                <w:rFonts w:asciiTheme="minorHAnsi" w:hAnsiTheme="minorHAnsi" w:cstheme="minorHAnsi"/>
                <w:sz w:val="20"/>
                <w:szCs w:val="20"/>
              </w:rPr>
              <w:t>201</w:t>
            </w:r>
            <w:r w:rsidR="00AF6E81">
              <w:rPr>
                <w:rFonts w:asciiTheme="minorHAnsi" w:hAnsiTheme="minorHAnsi" w:cstheme="minorHAnsi"/>
                <w:sz w:val="20"/>
                <w:szCs w:val="20"/>
              </w:rPr>
              <w:t>8</w:t>
            </w:r>
            <w:r w:rsidR="000C292F" w:rsidRPr="001959D4">
              <w:rPr>
                <w:rFonts w:asciiTheme="minorHAnsi" w:hAnsiTheme="minorHAnsi" w:cstheme="minorHAnsi"/>
                <w:sz w:val="20"/>
                <w:szCs w:val="20"/>
              </w:rPr>
              <w:t xml:space="preserve">: </w:t>
            </w:r>
            <w:r>
              <w:rPr>
                <w:rFonts w:asciiTheme="minorHAnsi" w:hAnsiTheme="minorHAnsi" w:cstheme="minorHAnsi"/>
                <w:sz w:val="20"/>
                <w:szCs w:val="20"/>
              </w:rPr>
              <w:t xml:space="preserve">0 + 3 944,5 + 2 301,9 – 1 476,7 </w:t>
            </w:r>
            <w:r w:rsidRPr="001959D4">
              <w:rPr>
                <w:rFonts w:asciiTheme="minorHAnsi" w:hAnsiTheme="minorHAnsi" w:cstheme="minorHAnsi"/>
                <w:sz w:val="20"/>
                <w:szCs w:val="20"/>
              </w:rPr>
              <w:t xml:space="preserve">= </w:t>
            </w:r>
            <w:r>
              <w:rPr>
                <w:rFonts w:asciiTheme="minorHAnsi" w:hAnsiTheme="minorHAnsi" w:cstheme="minorHAnsi"/>
                <w:sz w:val="20"/>
                <w:szCs w:val="20"/>
              </w:rPr>
              <w:t>4 769,7</w:t>
            </w:r>
          </w:p>
        </w:tc>
      </w:tr>
      <w:tr w:rsidR="000C292F" w:rsidRPr="006C048C" w14:paraId="37099929" w14:textId="77777777" w:rsidTr="00E431E6">
        <w:tc>
          <w:tcPr>
            <w:tcW w:w="638" w:type="pct"/>
          </w:tcPr>
          <w:p w14:paraId="54B857AD" w14:textId="77777777" w:rsidR="000C292F" w:rsidRPr="006C048C" w:rsidRDefault="000C292F" w:rsidP="00E431E6">
            <w:pPr>
              <w:jc w:val="left"/>
              <w:rPr>
                <w:rFonts w:asciiTheme="minorHAnsi" w:hAnsiTheme="minorHAnsi" w:cstheme="minorHAnsi"/>
                <w:b/>
                <w:bCs/>
                <w:sz w:val="20"/>
                <w:szCs w:val="20"/>
              </w:rPr>
            </w:pPr>
            <w:r w:rsidRPr="006C048C">
              <w:rPr>
                <w:rFonts w:asciiTheme="minorHAnsi" w:hAnsiTheme="minorHAnsi" w:cstheme="minorHAnsi"/>
                <w:b/>
                <w:bCs/>
                <w:sz w:val="20"/>
                <w:szCs w:val="20"/>
              </w:rPr>
              <w:t>Čistý dluh/ EBITDA</w:t>
            </w:r>
          </w:p>
        </w:tc>
        <w:tc>
          <w:tcPr>
            <w:tcW w:w="1454" w:type="pct"/>
          </w:tcPr>
          <w:p w14:paraId="3F0867FB" w14:textId="77777777" w:rsidR="000C292F" w:rsidRPr="006C048C" w:rsidRDefault="000C292F" w:rsidP="00E431E6">
            <w:pPr>
              <w:jc w:val="left"/>
              <w:rPr>
                <w:rFonts w:asciiTheme="minorHAnsi" w:hAnsiTheme="minorHAnsi" w:cstheme="minorHAnsi"/>
                <w:bCs/>
                <w:sz w:val="20"/>
                <w:szCs w:val="20"/>
              </w:rPr>
            </w:pPr>
            <w:r w:rsidRPr="006C048C">
              <w:rPr>
                <w:rFonts w:asciiTheme="minorHAnsi" w:hAnsiTheme="minorHAnsi" w:cstheme="minorHAnsi"/>
                <w:sz w:val="20"/>
                <w:szCs w:val="20"/>
              </w:rPr>
              <w:t>Čistý dluh/EBITDA, přičemž u EBITDA se používá klouzavá hodnota za posledních 12 měsíců.</w:t>
            </w:r>
          </w:p>
        </w:tc>
        <w:tc>
          <w:tcPr>
            <w:tcW w:w="1454" w:type="pct"/>
          </w:tcPr>
          <w:p w14:paraId="4089E3BF"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Vyjadřuje schopnost Společnosti snižovat a splácet svůj dluh a na druhou stranu také její možnosti přijmout další dluh pro rozvoj podnikání. Ukazatel přibližně vyjadřuje, za jak dlouho je Společnost schopna splatit své dluhy ze svého primárního zdroje provozního cash flow.</w:t>
            </w:r>
          </w:p>
        </w:tc>
        <w:tc>
          <w:tcPr>
            <w:tcW w:w="1454" w:type="pct"/>
          </w:tcPr>
          <w:p w14:paraId="04F2EEE2" w14:textId="7B5DEB5B" w:rsidR="000C292F" w:rsidRPr="001959D4" w:rsidRDefault="000C292F"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 xml:space="preserve">Viz </w:t>
            </w:r>
            <w:r w:rsidR="002E3A91" w:rsidRPr="001959D4">
              <w:rPr>
                <w:rFonts w:asciiTheme="minorHAnsi" w:hAnsiTheme="minorHAnsi" w:cstheme="minorHAnsi"/>
                <w:sz w:val="20"/>
                <w:szCs w:val="20"/>
              </w:rPr>
              <w:t xml:space="preserve">Finanční výsledky za první pololetí 2018 – Peníze a zadluženost </w:t>
            </w:r>
            <w:r w:rsidRPr="001959D4">
              <w:rPr>
                <w:rFonts w:asciiTheme="minorHAnsi" w:hAnsiTheme="minorHAnsi" w:cstheme="minorHAnsi"/>
                <w:sz w:val="20"/>
                <w:szCs w:val="20"/>
              </w:rPr>
              <w:t xml:space="preserve">v mil. </w:t>
            </w:r>
            <w:r w:rsidR="002E3A91" w:rsidRPr="001959D4">
              <w:rPr>
                <w:rFonts w:asciiTheme="minorHAnsi" w:hAnsiTheme="minorHAnsi" w:cstheme="minorHAnsi"/>
                <w:sz w:val="20"/>
                <w:szCs w:val="20"/>
              </w:rPr>
              <w:t>Kč</w:t>
            </w:r>
            <w:r w:rsidRPr="001959D4">
              <w:rPr>
                <w:rFonts w:asciiTheme="minorHAnsi" w:hAnsiTheme="minorHAnsi" w:cstheme="minorHAnsi"/>
                <w:sz w:val="20"/>
                <w:szCs w:val="20"/>
              </w:rPr>
              <w:t>:</w:t>
            </w:r>
          </w:p>
          <w:p w14:paraId="30408A62" w14:textId="5EEC1A34" w:rsidR="000C292F" w:rsidRPr="001959D4" w:rsidRDefault="000C292F" w:rsidP="00F867CA">
            <w:pPr>
              <w:spacing w:before="0" w:beforeAutospacing="0" w:after="24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201</w:t>
            </w:r>
            <w:r w:rsidR="00D548ED">
              <w:rPr>
                <w:rFonts w:asciiTheme="minorHAnsi" w:hAnsiTheme="minorHAnsi" w:cstheme="minorHAnsi"/>
                <w:sz w:val="20"/>
                <w:szCs w:val="20"/>
              </w:rPr>
              <w:t>8</w:t>
            </w:r>
            <w:r w:rsidRPr="001959D4">
              <w:rPr>
                <w:rFonts w:asciiTheme="minorHAnsi" w:hAnsiTheme="minorHAnsi" w:cstheme="minorHAnsi"/>
                <w:sz w:val="20"/>
                <w:szCs w:val="20"/>
              </w:rPr>
              <w:t xml:space="preserve">: </w:t>
            </w:r>
            <w:r w:rsidR="00D548ED">
              <w:rPr>
                <w:rFonts w:asciiTheme="minorHAnsi" w:hAnsiTheme="minorHAnsi" w:cstheme="minorHAnsi"/>
                <w:sz w:val="20"/>
                <w:szCs w:val="20"/>
              </w:rPr>
              <w:t>4 769,7</w:t>
            </w:r>
            <w:r w:rsidRPr="001959D4">
              <w:rPr>
                <w:rFonts w:asciiTheme="minorHAnsi" w:hAnsiTheme="minorHAnsi" w:cstheme="minorHAnsi"/>
                <w:sz w:val="20"/>
                <w:szCs w:val="20"/>
              </w:rPr>
              <w:t xml:space="preserve"> / </w:t>
            </w:r>
            <w:r w:rsidR="00F867CA">
              <w:rPr>
                <w:rFonts w:asciiTheme="minorHAnsi" w:hAnsiTheme="minorHAnsi" w:cstheme="minorHAnsi"/>
                <w:sz w:val="20"/>
                <w:szCs w:val="20"/>
              </w:rPr>
              <w:t>1 282,8</w:t>
            </w:r>
            <w:r w:rsidRPr="001959D4">
              <w:rPr>
                <w:rFonts w:asciiTheme="minorHAnsi" w:hAnsiTheme="minorHAnsi" w:cstheme="minorHAnsi"/>
                <w:sz w:val="20"/>
                <w:szCs w:val="20"/>
              </w:rPr>
              <w:t xml:space="preserve"> = </w:t>
            </w:r>
            <w:r w:rsidR="00F867CA">
              <w:rPr>
                <w:rFonts w:asciiTheme="minorHAnsi" w:hAnsiTheme="minorHAnsi" w:cstheme="minorHAnsi"/>
                <w:sz w:val="20"/>
                <w:szCs w:val="20"/>
              </w:rPr>
              <w:t>3,72</w:t>
            </w:r>
          </w:p>
        </w:tc>
      </w:tr>
      <w:tr w:rsidR="000C292F" w:rsidRPr="006C048C" w14:paraId="0E78B555" w14:textId="77777777" w:rsidTr="00E431E6">
        <w:tc>
          <w:tcPr>
            <w:tcW w:w="638" w:type="pct"/>
          </w:tcPr>
          <w:p w14:paraId="06457F48" w14:textId="77777777" w:rsidR="000C292F" w:rsidRPr="006C048C" w:rsidRDefault="000C292F" w:rsidP="00E431E6">
            <w:pPr>
              <w:jc w:val="left"/>
              <w:rPr>
                <w:rFonts w:asciiTheme="minorHAnsi" w:hAnsiTheme="minorHAnsi" w:cstheme="minorHAnsi"/>
                <w:b/>
                <w:bCs/>
                <w:sz w:val="20"/>
                <w:szCs w:val="20"/>
              </w:rPr>
            </w:pPr>
            <w:r w:rsidRPr="006C048C">
              <w:rPr>
                <w:rFonts w:asciiTheme="minorHAnsi" w:hAnsiTheme="minorHAnsi" w:cstheme="minorHAnsi"/>
                <w:b/>
                <w:bCs/>
                <w:sz w:val="20"/>
                <w:szCs w:val="20"/>
              </w:rPr>
              <w:t xml:space="preserve">EBIT  </w:t>
            </w:r>
          </w:p>
          <w:p w14:paraId="3330A847" w14:textId="77777777" w:rsidR="000C292F" w:rsidRPr="006C048C" w:rsidRDefault="000C292F" w:rsidP="00E431E6">
            <w:pPr>
              <w:jc w:val="left"/>
              <w:rPr>
                <w:rFonts w:asciiTheme="minorHAnsi" w:hAnsiTheme="minorHAnsi" w:cstheme="minorHAnsi"/>
                <w:b/>
                <w:bCs/>
                <w:sz w:val="20"/>
                <w:szCs w:val="20"/>
              </w:rPr>
            </w:pPr>
            <w:r w:rsidRPr="006C048C">
              <w:rPr>
                <w:rFonts w:asciiTheme="minorHAnsi" w:hAnsiTheme="minorHAnsi" w:cstheme="minorHAnsi"/>
                <w:b/>
                <w:bCs/>
                <w:sz w:val="20"/>
                <w:szCs w:val="20"/>
              </w:rPr>
              <w:t>(Provozní zisk)</w:t>
            </w:r>
          </w:p>
          <w:p w14:paraId="6CB46B54" w14:textId="77777777" w:rsidR="000C292F" w:rsidRPr="006C048C" w:rsidRDefault="000C292F" w:rsidP="00E431E6">
            <w:pPr>
              <w:jc w:val="left"/>
              <w:rPr>
                <w:rFonts w:asciiTheme="minorHAnsi" w:hAnsiTheme="minorHAnsi" w:cstheme="minorHAnsi"/>
                <w:sz w:val="20"/>
                <w:szCs w:val="20"/>
              </w:rPr>
            </w:pPr>
          </w:p>
        </w:tc>
        <w:tc>
          <w:tcPr>
            <w:tcW w:w="1454" w:type="pct"/>
          </w:tcPr>
          <w:p w14:paraId="608676EA"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bCs/>
                <w:sz w:val="20"/>
                <w:szCs w:val="20"/>
              </w:rPr>
              <w:t xml:space="preserve">Zisk </w:t>
            </w:r>
            <w:r w:rsidRPr="006C048C">
              <w:rPr>
                <w:rFonts w:asciiTheme="minorHAnsi" w:hAnsiTheme="minorHAnsi" w:cstheme="minorHAnsi"/>
                <w:sz w:val="20"/>
                <w:szCs w:val="20"/>
              </w:rPr>
              <w:t>zahrnující tržby za prodané výrobky, spotřebu materiálu a ostatní spotřebu, osobní náklady, ostatní provozní výnosy/náklady, odpisy a amortizaci (před odečtením úroků a daní)</w:t>
            </w:r>
          </w:p>
        </w:tc>
        <w:tc>
          <w:tcPr>
            <w:tcW w:w="1454" w:type="pct"/>
          </w:tcPr>
          <w:p w14:paraId="218CE386" w14:textId="77777777" w:rsidR="000C292F" w:rsidRPr="006C048C" w:rsidRDefault="000C292F" w:rsidP="00E431E6">
            <w:pPr>
              <w:jc w:val="left"/>
              <w:rPr>
                <w:rFonts w:asciiTheme="minorHAnsi" w:hAnsiTheme="minorHAnsi" w:cstheme="minorHAnsi"/>
                <w:sz w:val="20"/>
                <w:szCs w:val="20"/>
                <w:highlight w:val="yellow"/>
              </w:rPr>
            </w:pPr>
            <w:r w:rsidRPr="006C048C">
              <w:rPr>
                <w:rFonts w:asciiTheme="minorHAnsi" w:hAnsiTheme="minorHAnsi" w:cstheme="minorHAnsi"/>
                <w:sz w:val="20"/>
                <w:szCs w:val="20"/>
              </w:rPr>
              <w:t>Je používán k vyjádření provozního výsledku Společnosti a současně eliminuje dopady rozdílů mezi místními daňovými systémy a různými finančními aktivitami.</w:t>
            </w:r>
          </w:p>
        </w:tc>
        <w:tc>
          <w:tcPr>
            <w:tcW w:w="1454" w:type="pct"/>
          </w:tcPr>
          <w:p w14:paraId="35015077" w14:textId="4CD47F5C" w:rsidR="000C292F" w:rsidRPr="001959D4" w:rsidRDefault="000C292F" w:rsidP="00E431E6">
            <w:pPr>
              <w:ind w:right="-104"/>
              <w:jc w:val="left"/>
              <w:rPr>
                <w:rFonts w:asciiTheme="minorHAnsi" w:hAnsiTheme="minorHAnsi" w:cstheme="minorHAnsi"/>
                <w:sz w:val="20"/>
                <w:szCs w:val="20"/>
              </w:rPr>
            </w:pPr>
            <w:r w:rsidRPr="001959D4">
              <w:rPr>
                <w:rFonts w:asciiTheme="minorHAnsi" w:hAnsiTheme="minorHAnsi" w:cstheme="minorHAnsi"/>
                <w:sz w:val="20"/>
                <w:szCs w:val="20"/>
              </w:rPr>
              <w:t xml:space="preserve">Viz </w:t>
            </w:r>
            <w:r w:rsidR="002E3A91" w:rsidRPr="001959D4">
              <w:rPr>
                <w:rFonts w:asciiTheme="minorHAnsi" w:hAnsiTheme="minorHAnsi" w:cstheme="minorHAnsi"/>
                <w:sz w:val="20"/>
                <w:szCs w:val="20"/>
              </w:rPr>
              <w:t>Konsolidovaný výkaz o úplném výsledku ve zkrácené podobě</w:t>
            </w:r>
            <w:r w:rsidRPr="001959D4">
              <w:rPr>
                <w:rFonts w:asciiTheme="minorHAnsi" w:hAnsiTheme="minorHAnsi" w:cstheme="minorHAnsi"/>
                <w:sz w:val="20"/>
                <w:szCs w:val="20"/>
              </w:rPr>
              <w:t>.</w:t>
            </w:r>
          </w:p>
        </w:tc>
      </w:tr>
      <w:tr w:rsidR="000C292F" w:rsidRPr="006C048C" w14:paraId="25476D07" w14:textId="77777777" w:rsidTr="00E431E6">
        <w:tc>
          <w:tcPr>
            <w:tcW w:w="638" w:type="pct"/>
          </w:tcPr>
          <w:p w14:paraId="47D13806"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b/>
                <w:bCs/>
                <w:sz w:val="20"/>
                <w:szCs w:val="20"/>
              </w:rPr>
              <w:t>EBITDA</w:t>
            </w:r>
            <w:r w:rsidRPr="006C048C">
              <w:rPr>
                <w:rFonts w:asciiTheme="minorHAnsi" w:hAnsiTheme="minorHAnsi" w:cstheme="minorHAnsi"/>
                <w:sz w:val="20"/>
                <w:szCs w:val="20"/>
              </w:rPr>
              <w:t xml:space="preserve"> </w:t>
            </w:r>
          </w:p>
          <w:p w14:paraId="405F1639" w14:textId="77777777" w:rsidR="000C292F" w:rsidRPr="006C048C" w:rsidRDefault="000C292F" w:rsidP="00E431E6">
            <w:pPr>
              <w:jc w:val="left"/>
              <w:rPr>
                <w:rFonts w:asciiTheme="minorHAnsi" w:hAnsiTheme="minorHAnsi" w:cstheme="minorHAnsi"/>
                <w:sz w:val="20"/>
                <w:szCs w:val="20"/>
              </w:rPr>
            </w:pPr>
          </w:p>
        </w:tc>
        <w:tc>
          <w:tcPr>
            <w:tcW w:w="1454" w:type="pct"/>
          </w:tcPr>
          <w:p w14:paraId="1AE44C98"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 xml:space="preserve">Finanční ukazatel, který určuje provozní marži společnosti před odečtením úroků, daní, odpisů a amortizace. Počítáno jako </w:t>
            </w:r>
            <w:r w:rsidRPr="006C048C">
              <w:rPr>
                <w:rFonts w:asciiTheme="minorHAnsi" w:hAnsiTheme="minorHAnsi" w:cstheme="minorHAnsi"/>
                <w:sz w:val="20"/>
                <w:szCs w:val="20"/>
              </w:rPr>
              <w:lastRenderedPageBreak/>
              <w:t>čistý zisk před zdaněním, nákladové úroky, úrokové výnosy, kurzové změny, ostatní finanční výnosy/náklady a odpisy a amortizace, tedy provozní zisk + odpisy a amortizace.</w:t>
            </w:r>
          </w:p>
        </w:tc>
        <w:tc>
          <w:tcPr>
            <w:tcW w:w="1454" w:type="pct"/>
          </w:tcPr>
          <w:p w14:paraId="435B2C6C"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lastRenderedPageBreak/>
              <w:t xml:space="preserve">Vzhledem k tomu, že neobsahuje finanční a daňové ukazatele nebo účetní náklady nezahrnující odliv, je používán </w:t>
            </w:r>
            <w:r w:rsidRPr="006C048C">
              <w:rPr>
                <w:rFonts w:asciiTheme="minorHAnsi" w:hAnsiTheme="minorHAnsi" w:cstheme="minorHAnsi"/>
                <w:sz w:val="20"/>
                <w:szCs w:val="20"/>
              </w:rPr>
              <w:lastRenderedPageBreak/>
              <w:t>managementem pro vyhodnocení výsledků Společnosti v průběhu času.</w:t>
            </w:r>
          </w:p>
        </w:tc>
        <w:tc>
          <w:tcPr>
            <w:tcW w:w="1454" w:type="pct"/>
          </w:tcPr>
          <w:p w14:paraId="1BC416D5" w14:textId="52ACA348" w:rsidR="000C292F" w:rsidRPr="001959D4" w:rsidRDefault="001B57A9"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lastRenderedPageBreak/>
              <w:t>Viz Konsolidovaný výkaz o úplném výsledku ve zkrácené podobě</w:t>
            </w:r>
            <w:r>
              <w:rPr>
                <w:rFonts w:asciiTheme="minorHAnsi" w:hAnsiTheme="minorHAnsi" w:cstheme="minorHAnsi"/>
                <w:sz w:val="20"/>
                <w:szCs w:val="20"/>
              </w:rPr>
              <w:t xml:space="preserve"> za období šesti měsíců</w:t>
            </w:r>
            <w:r w:rsidR="00AE2774">
              <w:rPr>
                <w:rFonts w:asciiTheme="minorHAnsi" w:hAnsiTheme="minorHAnsi" w:cstheme="minorHAnsi"/>
                <w:sz w:val="20"/>
                <w:szCs w:val="20"/>
              </w:rPr>
              <w:t>, v mil</w:t>
            </w:r>
            <w:r w:rsidR="000C292F" w:rsidRPr="001959D4">
              <w:rPr>
                <w:rFonts w:asciiTheme="minorHAnsi" w:hAnsiTheme="minorHAnsi" w:cstheme="minorHAnsi"/>
                <w:sz w:val="20"/>
                <w:szCs w:val="20"/>
              </w:rPr>
              <w:t xml:space="preserve">. </w:t>
            </w:r>
            <w:r w:rsidR="002E3A91" w:rsidRPr="001959D4">
              <w:rPr>
                <w:rFonts w:asciiTheme="minorHAnsi" w:hAnsiTheme="minorHAnsi" w:cstheme="minorHAnsi"/>
                <w:sz w:val="20"/>
                <w:szCs w:val="20"/>
              </w:rPr>
              <w:t>Kč</w:t>
            </w:r>
            <w:r w:rsidR="000C292F" w:rsidRPr="001959D4">
              <w:rPr>
                <w:rFonts w:asciiTheme="minorHAnsi" w:hAnsiTheme="minorHAnsi" w:cstheme="minorHAnsi"/>
                <w:sz w:val="20"/>
                <w:szCs w:val="20"/>
              </w:rPr>
              <w:t>:</w:t>
            </w:r>
          </w:p>
          <w:p w14:paraId="4CACBCEC" w14:textId="7954085D" w:rsidR="000C292F" w:rsidRPr="001959D4" w:rsidRDefault="000C292F"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201</w:t>
            </w:r>
            <w:r w:rsidR="001B57A9">
              <w:rPr>
                <w:rFonts w:asciiTheme="minorHAnsi" w:hAnsiTheme="minorHAnsi" w:cstheme="minorHAnsi"/>
                <w:sz w:val="20"/>
                <w:szCs w:val="20"/>
              </w:rPr>
              <w:t>7</w:t>
            </w:r>
            <w:r w:rsidRPr="001959D4">
              <w:rPr>
                <w:rFonts w:asciiTheme="minorHAnsi" w:hAnsiTheme="minorHAnsi" w:cstheme="minorHAnsi"/>
                <w:sz w:val="20"/>
                <w:szCs w:val="20"/>
              </w:rPr>
              <w:t xml:space="preserve">: </w:t>
            </w:r>
            <w:r w:rsidR="001B57A9">
              <w:rPr>
                <w:rFonts w:asciiTheme="minorHAnsi" w:hAnsiTheme="minorHAnsi" w:cstheme="minorHAnsi"/>
                <w:sz w:val="20"/>
                <w:szCs w:val="20"/>
              </w:rPr>
              <w:t>332,8</w:t>
            </w:r>
            <w:r w:rsidRPr="001959D4">
              <w:rPr>
                <w:rFonts w:asciiTheme="minorHAnsi" w:hAnsiTheme="minorHAnsi" w:cstheme="minorHAnsi"/>
                <w:sz w:val="20"/>
                <w:szCs w:val="20"/>
              </w:rPr>
              <w:t xml:space="preserve"> + </w:t>
            </w:r>
            <w:r w:rsidR="001B57A9">
              <w:rPr>
                <w:rFonts w:asciiTheme="minorHAnsi" w:hAnsiTheme="minorHAnsi" w:cstheme="minorHAnsi"/>
                <w:sz w:val="20"/>
                <w:szCs w:val="20"/>
              </w:rPr>
              <w:t>222,2</w:t>
            </w:r>
            <w:r w:rsidRPr="001959D4">
              <w:rPr>
                <w:rFonts w:asciiTheme="minorHAnsi" w:hAnsiTheme="minorHAnsi" w:cstheme="minorHAnsi"/>
                <w:sz w:val="20"/>
                <w:szCs w:val="20"/>
              </w:rPr>
              <w:t xml:space="preserve"> = </w:t>
            </w:r>
            <w:r w:rsidR="001B57A9">
              <w:rPr>
                <w:rFonts w:asciiTheme="minorHAnsi" w:hAnsiTheme="minorHAnsi" w:cstheme="minorHAnsi"/>
                <w:sz w:val="20"/>
                <w:szCs w:val="20"/>
              </w:rPr>
              <w:t>554,9</w:t>
            </w:r>
          </w:p>
          <w:p w14:paraId="19D897E2" w14:textId="44C31F83" w:rsidR="000C292F" w:rsidRPr="001959D4" w:rsidRDefault="000C292F" w:rsidP="001B57A9">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lastRenderedPageBreak/>
              <w:t>201</w:t>
            </w:r>
            <w:r w:rsidR="001B57A9">
              <w:rPr>
                <w:rFonts w:asciiTheme="minorHAnsi" w:hAnsiTheme="minorHAnsi" w:cstheme="minorHAnsi"/>
                <w:sz w:val="20"/>
                <w:szCs w:val="20"/>
              </w:rPr>
              <w:t>8</w:t>
            </w:r>
            <w:r w:rsidRPr="001959D4">
              <w:rPr>
                <w:rFonts w:asciiTheme="minorHAnsi" w:hAnsiTheme="minorHAnsi" w:cstheme="minorHAnsi"/>
                <w:sz w:val="20"/>
                <w:szCs w:val="20"/>
              </w:rPr>
              <w:t xml:space="preserve">: </w:t>
            </w:r>
            <w:r w:rsidR="001B57A9">
              <w:rPr>
                <w:rFonts w:asciiTheme="minorHAnsi" w:hAnsiTheme="minorHAnsi" w:cstheme="minorHAnsi"/>
                <w:sz w:val="20"/>
                <w:szCs w:val="20"/>
              </w:rPr>
              <w:t>431,0</w:t>
            </w:r>
            <w:r w:rsidRPr="001959D4">
              <w:rPr>
                <w:rFonts w:asciiTheme="minorHAnsi" w:hAnsiTheme="minorHAnsi" w:cstheme="minorHAnsi"/>
                <w:sz w:val="20"/>
                <w:szCs w:val="20"/>
              </w:rPr>
              <w:t xml:space="preserve"> + </w:t>
            </w:r>
            <w:r w:rsidR="001B57A9">
              <w:rPr>
                <w:rFonts w:asciiTheme="minorHAnsi" w:hAnsiTheme="minorHAnsi" w:cstheme="minorHAnsi"/>
                <w:sz w:val="20"/>
                <w:szCs w:val="20"/>
              </w:rPr>
              <w:t>231,1</w:t>
            </w:r>
            <w:r w:rsidRPr="001959D4">
              <w:rPr>
                <w:rFonts w:asciiTheme="minorHAnsi" w:hAnsiTheme="minorHAnsi" w:cstheme="minorHAnsi"/>
                <w:sz w:val="20"/>
                <w:szCs w:val="20"/>
              </w:rPr>
              <w:t xml:space="preserve"> = </w:t>
            </w:r>
            <w:r w:rsidR="00AE2774">
              <w:rPr>
                <w:rFonts w:asciiTheme="minorHAnsi" w:hAnsiTheme="minorHAnsi" w:cstheme="minorHAnsi"/>
                <w:sz w:val="20"/>
                <w:szCs w:val="20"/>
              </w:rPr>
              <w:t>662,1</w:t>
            </w:r>
          </w:p>
        </w:tc>
      </w:tr>
      <w:tr w:rsidR="000C292F" w:rsidRPr="006C048C" w14:paraId="33ABCF16" w14:textId="77777777" w:rsidTr="00E431E6">
        <w:trPr>
          <w:trHeight w:val="577"/>
        </w:trPr>
        <w:tc>
          <w:tcPr>
            <w:tcW w:w="638" w:type="pct"/>
          </w:tcPr>
          <w:p w14:paraId="402E7AA9" w14:textId="77777777" w:rsidR="000C292F" w:rsidRPr="006C048C" w:rsidRDefault="000C292F" w:rsidP="00E431E6">
            <w:pPr>
              <w:jc w:val="left"/>
              <w:rPr>
                <w:rFonts w:asciiTheme="minorHAnsi" w:hAnsiTheme="minorHAnsi" w:cstheme="minorHAnsi"/>
                <w:b/>
                <w:bCs/>
                <w:color w:val="000000"/>
                <w:sz w:val="20"/>
                <w:szCs w:val="20"/>
              </w:rPr>
            </w:pPr>
            <w:r w:rsidRPr="006C048C">
              <w:rPr>
                <w:rFonts w:asciiTheme="minorHAnsi" w:hAnsiTheme="minorHAnsi" w:cstheme="minorHAnsi"/>
                <w:b/>
                <w:color w:val="000000"/>
                <w:sz w:val="20"/>
                <w:szCs w:val="20"/>
              </w:rPr>
              <w:lastRenderedPageBreak/>
              <w:t>Marže čistého zisku</w:t>
            </w:r>
          </w:p>
        </w:tc>
        <w:tc>
          <w:tcPr>
            <w:tcW w:w="1454" w:type="pct"/>
          </w:tcPr>
          <w:p w14:paraId="52248C6C" w14:textId="77777777" w:rsidR="000C292F" w:rsidRPr="006C048C" w:rsidRDefault="000C292F" w:rsidP="00E431E6">
            <w:pPr>
              <w:autoSpaceDE w:val="0"/>
              <w:autoSpaceDN w:val="0"/>
              <w:adjustRightInd w:val="0"/>
              <w:spacing w:line="240" w:lineRule="atLeast"/>
              <w:jc w:val="left"/>
              <w:rPr>
                <w:rFonts w:asciiTheme="minorHAnsi" w:hAnsiTheme="minorHAnsi" w:cstheme="minorHAnsi"/>
                <w:color w:val="000000"/>
                <w:sz w:val="20"/>
                <w:szCs w:val="20"/>
              </w:rPr>
            </w:pPr>
            <w:r w:rsidRPr="006C048C">
              <w:rPr>
                <w:rFonts w:asciiTheme="minorHAnsi" w:hAnsiTheme="minorHAnsi" w:cstheme="minorHAnsi"/>
                <w:color w:val="000000"/>
                <w:sz w:val="20"/>
                <w:szCs w:val="20"/>
              </w:rPr>
              <w:t>Procentní marže je počítána jako čistý zisk po zdanění a před rozdělením akcionářů/celkové tržby.</w:t>
            </w:r>
          </w:p>
        </w:tc>
        <w:tc>
          <w:tcPr>
            <w:tcW w:w="1454" w:type="pct"/>
          </w:tcPr>
          <w:p w14:paraId="5F2BDBB5"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Používá se k vyjádření, jak dobře Společnost přeměňuje tržby v zisk dostupný pro akcionáře.</w:t>
            </w:r>
          </w:p>
        </w:tc>
        <w:tc>
          <w:tcPr>
            <w:tcW w:w="1454" w:type="pct"/>
          </w:tcPr>
          <w:p w14:paraId="30988BBE" w14:textId="55878869" w:rsidR="000C292F" w:rsidRPr="001959D4" w:rsidRDefault="000C292F"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 xml:space="preserve">Viz </w:t>
            </w:r>
            <w:r w:rsidR="008C71E0" w:rsidRPr="001959D4">
              <w:rPr>
                <w:rFonts w:asciiTheme="minorHAnsi" w:hAnsiTheme="minorHAnsi" w:cstheme="minorHAnsi"/>
                <w:sz w:val="20"/>
                <w:szCs w:val="20"/>
              </w:rPr>
              <w:t>Hlavní údaje za první pololetí 2018</w:t>
            </w:r>
            <w:r w:rsidRPr="001959D4">
              <w:rPr>
                <w:rFonts w:asciiTheme="minorHAnsi" w:hAnsiTheme="minorHAnsi" w:cstheme="minorHAnsi"/>
                <w:sz w:val="20"/>
                <w:szCs w:val="20"/>
              </w:rPr>
              <w:t xml:space="preserve"> v mil. </w:t>
            </w:r>
            <w:r w:rsidR="008C71E0" w:rsidRPr="001959D4">
              <w:rPr>
                <w:rFonts w:asciiTheme="minorHAnsi" w:hAnsiTheme="minorHAnsi" w:cstheme="minorHAnsi"/>
                <w:sz w:val="20"/>
                <w:szCs w:val="20"/>
              </w:rPr>
              <w:t>Kč</w:t>
            </w:r>
            <w:r w:rsidRPr="001959D4">
              <w:rPr>
                <w:rFonts w:asciiTheme="minorHAnsi" w:hAnsiTheme="minorHAnsi" w:cstheme="minorHAnsi"/>
                <w:sz w:val="20"/>
                <w:szCs w:val="20"/>
              </w:rPr>
              <w:t>:</w:t>
            </w:r>
          </w:p>
          <w:p w14:paraId="7FB1AF6C" w14:textId="2A36A7DC" w:rsidR="00AE2774" w:rsidRPr="001959D4" w:rsidRDefault="00AE2774" w:rsidP="00AE2774">
            <w:pPr>
              <w:spacing w:before="0" w:beforeAutospacing="0" w:after="0" w:afterAutospacing="0"/>
              <w:ind w:right="-104"/>
              <w:jc w:val="left"/>
              <w:rPr>
                <w:rFonts w:asciiTheme="minorHAnsi" w:hAnsiTheme="minorHAnsi" w:cstheme="minorHAnsi"/>
                <w:sz w:val="20"/>
                <w:szCs w:val="20"/>
              </w:rPr>
            </w:pPr>
            <w:r>
              <w:rPr>
                <w:rFonts w:asciiTheme="minorHAnsi" w:hAnsiTheme="minorHAnsi" w:cstheme="minorHAnsi"/>
                <w:sz w:val="20"/>
                <w:szCs w:val="20"/>
              </w:rPr>
              <w:t>1-6/2018</w:t>
            </w:r>
            <w:r w:rsidRPr="001959D4">
              <w:rPr>
                <w:rFonts w:asciiTheme="minorHAnsi" w:hAnsiTheme="minorHAnsi" w:cstheme="minorHAnsi"/>
                <w:sz w:val="20"/>
                <w:szCs w:val="20"/>
              </w:rPr>
              <w:t xml:space="preserve">: </w:t>
            </w:r>
            <w:r w:rsidR="00A6035A">
              <w:rPr>
                <w:rFonts w:asciiTheme="minorHAnsi" w:hAnsiTheme="minorHAnsi" w:cstheme="minorHAnsi"/>
                <w:sz w:val="20"/>
                <w:szCs w:val="20"/>
              </w:rPr>
              <w:t>279,7</w:t>
            </w:r>
            <w:r>
              <w:rPr>
                <w:rFonts w:asciiTheme="minorHAnsi" w:hAnsiTheme="minorHAnsi" w:cstheme="minorHAnsi"/>
                <w:sz w:val="20"/>
                <w:szCs w:val="20"/>
              </w:rPr>
              <w:t xml:space="preserve"> / 2 984,2 </w:t>
            </w:r>
            <w:r w:rsidRPr="001959D4">
              <w:rPr>
                <w:rFonts w:asciiTheme="minorHAnsi" w:hAnsiTheme="minorHAnsi" w:cstheme="minorHAnsi"/>
                <w:sz w:val="20"/>
                <w:szCs w:val="20"/>
              </w:rPr>
              <w:t xml:space="preserve">= </w:t>
            </w:r>
            <w:r>
              <w:rPr>
                <w:rFonts w:asciiTheme="minorHAnsi" w:hAnsiTheme="minorHAnsi" w:cstheme="minorHAnsi"/>
                <w:sz w:val="20"/>
                <w:szCs w:val="20"/>
              </w:rPr>
              <w:t>9,4 %</w:t>
            </w:r>
          </w:p>
          <w:p w14:paraId="136563A1" w14:textId="5F4293EC" w:rsidR="000C292F" w:rsidRPr="001959D4" w:rsidRDefault="00AE2774">
            <w:pPr>
              <w:spacing w:before="0" w:beforeAutospacing="0" w:after="0" w:afterAutospacing="0"/>
              <w:ind w:right="-104"/>
              <w:jc w:val="left"/>
              <w:rPr>
                <w:rFonts w:asciiTheme="minorHAnsi" w:hAnsiTheme="minorHAnsi" w:cstheme="minorHAnsi"/>
                <w:sz w:val="20"/>
                <w:szCs w:val="20"/>
              </w:rPr>
            </w:pPr>
            <w:r>
              <w:rPr>
                <w:rFonts w:asciiTheme="minorHAnsi" w:hAnsiTheme="minorHAnsi" w:cstheme="minorHAnsi"/>
                <w:sz w:val="20"/>
                <w:szCs w:val="20"/>
              </w:rPr>
              <w:t>4-6/</w:t>
            </w:r>
            <w:r w:rsidRPr="001959D4">
              <w:rPr>
                <w:rFonts w:asciiTheme="minorHAnsi" w:hAnsiTheme="minorHAnsi" w:cstheme="minorHAnsi"/>
                <w:sz w:val="20"/>
                <w:szCs w:val="20"/>
              </w:rPr>
              <w:t>201</w:t>
            </w:r>
            <w:r>
              <w:rPr>
                <w:rFonts w:asciiTheme="minorHAnsi" w:hAnsiTheme="minorHAnsi" w:cstheme="minorHAnsi"/>
                <w:sz w:val="20"/>
                <w:szCs w:val="20"/>
              </w:rPr>
              <w:t>8</w:t>
            </w:r>
            <w:r w:rsidRPr="001959D4">
              <w:rPr>
                <w:rFonts w:asciiTheme="minorHAnsi" w:hAnsiTheme="minorHAnsi" w:cstheme="minorHAnsi"/>
                <w:sz w:val="20"/>
                <w:szCs w:val="20"/>
              </w:rPr>
              <w:t xml:space="preserve">: </w:t>
            </w:r>
            <w:r>
              <w:rPr>
                <w:rFonts w:asciiTheme="minorHAnsi" w:hAnsiTheme="minorHAnsi" w:cstheme="minorHAnsi"/>
                <w:sz w:val="20"/>
                <w:szCs w:val="20"/>
              </w:rPr>
              <w:t>17</w:t>
            </w:r>
            <w:r w:rsidR="00A6035A">
              <w:rPr>
                <w:rFonts w:asciiTheme="minorHAnsi" w:hAnsiTheme="minorHAnsi" w:cstheme="minorHAnsi"/>
                <w:sz w:val="20"/>
                <w:szCs w:val="20"/>
              </w:rPr>
              <w:t>1,7</w:t>
            </w:r>
            <w:r>
              <w:rPr>
                <w:rFonts w:asciiTheme="minorHAnsi" w:hAnsiTheme="minorHAnsi" w:cstheme="minorHAnsi"/>
                <w:sz w:val="20"/>
                <w:szCs w:val="20"/>
              </w:rPr>
              <w:t xml:space="preserve"> / 1 523,9 = 11,</w:t>
            </w:r>
            <w:r w:rsidR="00A6035A">
              <w:rPr>
                <w:rFonts w:asciiTheme="minorHAnsi" w:hAnsiTheme="minorHAnsi" w:cstheme="minorHAnsi"/>
                <w:sz w:val="20"/>
                <w:szCs w:val="20"/>
              </w:rPr>
              <w:t>3</w:t>
            </w:r>
            <w:r>
              <w:rPr>
                <w:rFonts w:asciiTheme="minorHAnsi" w:hAnsiTheme="minorHAnsi" w:cstheme="minorHAnsi"/>
                <w:sz w:val="20"/>
                <w:szCs w:val="20"/>
              </w:rPr>
              <w:t xml:space="preserve"> %</w:t>
            </w:r>
          </w:p>
        </w:tc>
      </w:tr>
      <w:tr w:rsidR="000C292F" w:rsidRPr="006C048C" w14:paraId="45883370" w14:textId="77777777" w:rsidTr="00E431E6">
        <w:trPr>
          <w:trHeight w:val="577"/>
        </w:trPr>
        <w:tc>
          <w:tcPr>
            <w:tcW w:w="638" w:type="pct"/>
          </w:tcPr>
          <w:p w14:paraId="6134504A"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b/>
                <w:bCs/>
                <w:color w:val="000000"/>
                <w:sz w:val="20"/>
                <w:szCs w:val="20"/>
              </w:rPr>
              <w:t>Marže provozního zisku</w:t>
            </w:r>
          </w:p>
        </w:tc>
        <w:tc>
          <w:tcPr>
            <w:tcW w:w="1454" w:type="pct"/>
          </w:tcPr>
          <w:p w14:paraId="2EF903CC" w14:textId="77777777" w:rsidR="000C292F" w:rsidRPr="006C048C" w:rsidRDefault="000C292F" w:rsidP="00E431E6">
            <w:pPr>
              <w:autoSpaceDE w:val="0"/>
              <w:autoSpaceDN w:val="0"/>
              <w:adjustRightInd w:val="0"/>
              <w:spacing w:line="240" w:lineRule="atLeast"/>
              <w:jc w:val="left"/>
              <w:rPr>
                <w:rFonts w:asciiTheme="minorHAnsi" w:hAnsiTheme="minorHAnsi" w:cstheme="minorHAnsi"/>
                <w:color w:val="000000"/>
                <w:sz w:val="20"/>
                <w:szCs w:val="20"/>
              </w:rPr>
            </w:pPr>
            <w:r w:rsidRPr="006C048C">
              <w:rPr>
                <w:rFonts w:asciiTheme="minorHAnsi" w:hAnsiTheme="minorHAnsi" w:cstheme="minorHAnsi"/>
                <w:color w:val="000000"/>
                <w:sz w:val="20"/>
                <w:szCs w:val="20"/>
              </w:rPr>
              <w:t>Procentní marže je počítána jako EBIT/celkové tržby.</w:t>
            </w:r>
          </w:p>
        </w:tc>
        <w:tc>
          <w:tcPr>
            <w:tcW w:w="1454" w:type="pct"/>
          </w:tcPr>
          <w:p w14:paraId="22136594"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Používá se k posouzení provozní výkonnosti Společnosti.</w:t>
            </w:r>
          </w:p>
        </w:tc>
        <w:tc>
          <w:tcPr>
            <w:tcW w:w="1454" w:type="pct"/>
          </w:tcPr>
          <w:p w14:paraId="5D2CA8A5" w14:textId="58184FB9" w:rsidR="000C292F" w:rsidRPr="001959D4" w:rsidRDefault="000C292F"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 xml:space="preserve">Viz </w:t>
            </w:r>
            <w:r w:rsidR="008C71E0" w:rsidRPr="001959D4">
              <w:rPr>
                <w:rFonts w:asciiTheme="minorHAnsi" w:hAnsiTheme="minorHAnsi" w:cstheme="minorHAnsi"/>
                <w:sz w:val="20"/>
                <w:szCs w:val="20"/>
              </w:rPr>
              <w:t>Hlavní údaje za první pololetí 2018</w:t>
            </w:r>
            <w:r w:rsidRPr="001959D4">
              <w:rPr>
                <w:rFonts w:asciiTheme="minorHAnsi" w:hAnsiTheme="minorHAnsi" w:cstheme="minorHAnsi"/>
                <w:sz w:val="20"/>
                <w:szCs w:val="20"/>
              </w:rPr>
              <w:t xml:space="preserve">. v mil. </w:t>
            </w:r>
            <w:r w:rsidR="008C71E0" w:rsidRPr="001959D4">
              <w:rPr>
                <w:rFonts w:asciiTheme="minorHAnsi" w:hAnsiTheme="minorHAnsi" w:cstheme="minorHAnsi"/>
                <w:sz w:val="20"/>
                <w:szCs w:val="20"/>
              </w:rPr>
              <w:t>Kč</w:t>
            </w:r>
            <w:r w:rsidRPr="001959D4">
              <w:rPr>
                <w:rFonts w:asciiTheme="minorHAnsi" w:hAnsiTheme="minorHAnsi" w:cstheme="minorHAnsi"/>
                <w:sz w:val="20"/>
                <w:szCs w:val="20"/>
              </w:rPr>
              <w:t>:</w:t>
            </w:r>
          </w:p>
          <w:p w14:paraId="30DE332B" w14:textId="6452291B" w:rsidR="00AE2774" w:rsidRPr="001959D4" w:rsidRDefault="00AE2774" w:rsidP="00AE2774">
            <w:pPr>
              <w:spacing w:before="0" w:beforeAutospacing="0" w:after="0" w:afterAutospacing="0"/>
              <w:ind w:right="-104"/>
              <w:jc w:val="left"/>
              <w:rPr>
                <w:rFonts w:asciiTheme="minorHAnsi" w:hAnsiTheme="minorHAnsi" w:cstheme="minorHAnsi"/>
                <w:sz w:val="20"/>
                <w:szCs w:val="20"/>
              </w:rPr>
            </w:pPr>
            <w:r>
              <w:rPr>
                <w:rFonts w:asciiTheme="minorHAnsi" w:hAnsiTheme="minorHAnsi" w:cstheme="minorHAnsi"/>
                <w:sz w:val="20"/>
                <w:szCs w:val="20"/>
              </w:rPr>
              <w:t>1-6/2018</w:t>
            </w:r>
            <w:r w:rsidRPr="001959D4">
              <w:rPr>
                <w:rFonts w:asciiTheme="minorHAnsi" w:hAnsiTheme="minorHAnsi" w:cstheme="minorHAnsi"/>
                <w:sz w:val="20"/>
                <w:szCs w:val="20"/>
              </w:rPr>
              <w:t xml:space="preserve">: </w:t>
            </w:r>
            <w:r>
              <w:rPr>
                <w:rFonts w:asciiTheme="minorHAnsi" w:hAnsiTheme="minorHAnsi" w:cstheme="minorHAnsi"/>
                <w:sz w:val="20"/>
                <w:szCs w:val="20"/>
              </w:rPr>
              <w:t xml:space="preserve">431,0 / 2 984,2 </w:t>
            </w:r>
            <w:r w:rsidRPr="001959D4">
              <w:rPr>
                <w:rFonts w:asciiTheme="minorHAnsi" w:hAnsiTheme="minorHAnsi" w:cstheme="minorHAnsi"/>
                <w:sz w:val="20"/>
                <w:szCs w:val="20"/>
              </w:rPr>
              <w:t xml:space="preserve">= </w:t>
            </w:r>
            <w:r>
              <w:rPr>
                <w:rFonts w:asciiTheme="minorHAnsi" w:hAnsiTheme="minorHAnsi" w:cstheme="minorHAnsi"/>
                <w:sz w:val="20"/>
                <w:szCs w:val="20"/>
              </w:rPr>
              <w:t>14,4 %</w:t>
            </w:r>
          </w:p>
          <w:p w14:paraId="044AD2DE" w14:textId="244A162C" w:rsidR="000C292F" w:rsidRPr="001959D4" w:rsidRDefault="00AE2774" w:rsidP="00AE2774">
            <w:pPr>
              <w:spacing w:before="0" w:beforeAutospacing="0"/>
              <w:ind w:right="-104"/>
              <w:jc w:val="left"/>
              <w:rPr>
                <w:rFonts w:asciiTheme="minorHAnsi" w:hAnsiTheme="minorHAnsi" w:cstheme="minorHAnsi"/>
                <w:sz w:val="20"/>
                <w:szCs w:val="20"/>
              </w:rPr>
            </w:pPr>
            <w:r>
              <w:rPr>
                <w:rFonts w:asciiTheme="minorHAnsi" w:hAnsiTheme="minorHAnsi" w:cstheme="minorHAnsi"/>
                <w:sz w:val="20"/>
                <w:szCs w:val="20"/>
              </w:rPr>
              <w:t>4-6/</w:t>
            </w:r>
            <w:r w:rsidRPr="001959D4">
              <w:rPr>
                <w:rFonts w:asciiTheme="minorHAnsi" w:hAnsiTheme="minorHAnsi" w:cstheme="minorHAnsi"/>
                <w:sz w:val="20"/>
                <w:szCs w:val="20"/>
              </w:rPr>
              <w:t>201</w:t>
            </w:r>
            <w:r>
              <w:rPr>
                <w:rFonts w:asciiTheme="minorHAnsi" w:hAnsiTheme="minorHAnsi" w:cstheme="minorHAnsi"/>
                <w:sz w:val="20"/>
                <w:szCs w:val="20"/>
              </w:rPr>
              <w:t>8</w:t>
            </w:r>
            <w:r w:rsidRPr="001959D4">
              <w:rPr>
                <w:rFonts w:asciiTheme="minorHAnsi" w:hAnsiTheme="minorHAnsi" w:cstheme="minorHAnsi"/>
                <w:sz w:val="20"/>
                <w:szCs w:val="20"/>
              </w:rPr>
              <w:t xml:space="preserve">: </w:t>
            </w:r>
            <w:r>
              <w:rPr>
                <w:rFonts w:asciiTheme="minorHAnsi" w:hAnsiTheme="minorHAnsi" w:cstheme="minorHAnsi"/>
                <w:sz w:val="20"/>
                <w:szCs w:val="20"/>
              </w:rPr>
              <w:t>218,9 / 1 523,9 = 14,4 %</w:t>
            </w:r>
          </w:p>
        </w:tc>
      </w:tr>
      <w:tr w:rsidR="000C292F" w:rsidRPr="006C048C" w14:paraId="528AD4EB" w14:textId="77777777" w:rsidTr="00E431E6">
        <w:tc>
          <w:tcPr>
            <w:tcW w:w="638" w:type="pct"/>
          </w:tcPr>
          <w:p w14:paraId="152A30A6"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b/>
                <w:bCs/>
                <w:sz w:val="20"/>
                <w:szCs w:val="20"/>
              </w:rPr>
              <w:t>Marže EBITDA</w:t>
            </w:r>
          </w:p>
        </w:tc>
        <w:tc>
          <w:tcPr>
            <w:tcW w:w="1454" w:type="pct"/>
          </w:tcPr>
          <w:p w14:paraId="0E99056F"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Procentní marže je počítána jako EBITDA/celkové tržby.</w:t>
            </w:r>
          </w:p>
        </w:tc>
        <w:tc>
          <w:tcPr>
            <w:tcW w:w="1454" w:type="pct"/>
          </w:tcPr>
          <w:p w14:paraId="1F721E7C"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sz w:val="20"/>
                <w:szCs w:val="20"/>
              </w:rPr>
              <w:t>Používá se k vyjádření ziskovosti Společnosti.</w:t>
            </w:r>
          </w:p>
        </w:tc>
        <w:tc>
          <w:tcPr>
            <w:tcW w:w="1454" w:type="pct"/>
          </w:tcPr>
          <w:p w14:paraId="5C710F88" w14:textId="77777777" w:rsidR="00AE2774" w:rsidRPr="001959D4" w:rsidRDefault="00AE2774" w:rsidP="00AE2774">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Viz Konsolidovaný výkaz o úplném výsledku ve zkrácené podobě</w:t>
            </w:r>
            <w:r>
              <w:rPr>
                <w:rFonts w:asciiTheme="minorHAnsi" w:hAnsiTheme="minorHAnsi" w:cstheme="minorHAnsi"/>
                <w:sz w:val="20"/>
                <w:szCs w:val="20"/>
              </w:rPr>
              <w:t xml:space="preserve"> za období šesti měsíců</w:t>
            </w:r>
            <w:r w:rsidRPr="001959D4">
              <w:rPr>
                <w:rFonts w:asciiTheme="minorHAnsi" w:hAnsiTheme="minorHAnsi" w:cstheme="minorHAnsi"/>
                <w:sz w:val="20"/>
                <w:szCs w:val="20"/>
              </w:rPr>
              <w:t>, v mil. Kč:</w:t>
            </w:r>
          </w:p>
          <w:p w14:paraId="708572F7" w14:textId="599E4BE7" w:rsidR="000C292F" w:rsidRPr="001959D4" w:rsidRDefault="000C292F" w:rsidP="00E431E6">
            <w:pPr>
              <w:spacing w:before="0" w:beforeAutospacing="0" w:after="0" w:afterAutospacing="0"/>
              <w:ind w:right="-104"/>
              <w:jc w:val="left"/>
              <w:rPr>
                <w:rFonts w:asciiTheme="minorHAnsi" w:hAnsiTheme="minorHAnsi" w:cstheme="minorHAnsi"/>
                <w:sz w:val="20"/>
                <w:szCs w:val="20"/>
              </w:rPr>
            </w:pPr>
            <w:r w:rsidRPr="001959D4">
              <w:rPr>
                <w:rFonts w:asciiTheme="minorHAnsi" w:hAnsiTheme="minorHAnsi" w:cstheme="minorHAnsi"/>
                <w:sz w:val="20"/>
                <w:szCs w:val="20"/>
              </w:rPr>
              <w:t>201</w:t>
            </w:r>
            <w:r w:rsidR="00AE2774">
              <w:rPr>
                <w:rFonts w:asciiTheme="minorHAnsi" w:hAnsiTheme="minorHAnsi" w:cstheme="minorHAnsi"/>
                <w:sz w:val="20"/>
                <w:szCs w:val="20"/>
              </w:rPr>
              <w:t>7</w:t>
            </w:r>
            <w:r w:rsidRPr="001959D4">
              <w:rPr>
                <w:rFonts w:asciiTheme="minorHAnsi" w:hAnsiTheme="minorHAnsi" w:cstheme="minorHAnsi"/>
                <w:sz w:val="20"/>
                <w:szCs w:val="20"/>
              </w:rPr>
              <w:t xml:space="preserve">: </w:t>
            </w:r>
            <w:r w:rsidR="00AE2774">
              <w:rPr>
                <w:rFonts w:asciiTheme="minorHAnsi" w:hAnsiTheme="minorHAnsi" w:cstheme="minorHAnsi"/>
                <w:sz w:val="20"/>
                <w:szCs w:val="20"/>
              </w:rPr>
              <w:t>554,9</w:t>
            </w:r>
            <w:r w:rsidRPr="001959D4">
              <w:rPr>
                <w:rFonts w:asciiTheme="minorHAnsi" w:hAnsiTheme="minorHAnsi" w:cstheme="minorHAnsi"/>
                <w:sz w:val="20"/>
                <w:szCs w:val="20"/>
              </w:rPr>
              <w:t xml:space="preserve"> / </w:t>
            </w:r>
            <w:r w:rsidR="00AE2774">
              <w:rPr>
                <w:rFonts w:asciiTheme="minorHAnsi" w:hAnsiTheme="minorHAnsi" w:cstheme="minorHAnsi"/>
                <w:sz w:val="20"/>
                <w:szCs w:val="20"/>
              </w:rPr>
              <w:t>2 992,4</w:t>
            </w:r>
            <w:r w:rsidRPr="001959D4">
              <w:rPr>
                <w:rFonts w:asciiTheme="minorHAnsi" w:hAnsiTheme="minorHAnsi" w:cstheme="minorHAnsi"/>
                <w:sz w:val="20"/>
                <w:szCs w:val="20"/>
              </w:rPr>
              <w:t xml:space="preserve"> = </w:t>
            </w:r>
            <w:r w:rsidR="00AE2774">
              <w:rPr>
                <w:rFonts w:asciiTheme="minorHAnsi" w:hAnsiTheme="minorHAnsi" w:cstheme="minorHAnsi"/>
                <w:sz w:val="20"/>
                <w:szCs w:val="20"/>
              </w:rPr>
              <w:t>18,6</w:t>
            </w:r>
            <w:r w:rsidRPr="001959D4">
              <w:rPr>
                <w:rFonts w:asciiTheme="minorHAnsi" w:hAnsiTheme="minorHAnsi" w:cstheme="minorHAnsi"/>
                <w:sz w:val="20"/>
                <w:szCs w:val="20"/>
              </w:rPr>
              <w:t xml:space="preserve"> %</w:t>
            </w:r>
          </w:p>
          <w:p w14:paraId="4A985F3F" w14:textId="1E886BA8" w:rsidR="000C292F" w:rsidRPr="001959D4" w:rsidRDefault="000C292F" w:rsidP="00AE2774">
            <w:pPr>
              <w:spacing w:before="0" w:beforeAutospacing="0"/>
              <w:ind w:right="-104"/>
              <w:jc w:val="left"/>
              <w:rPr>
                <w:rFonts w:asciiTheme="minorHAnsi" w:hAnsiTheme="minorHAnsi" w:cstheme="minorHAnsi"/>
                <w:sz w:val="20"/>
                <w:szCs w:val="20"/>
              </w:rPr>
            </w:pPr>
            <w:r w:rsidRPr="001959D4">
              <w:rPr>
                <w:rFonts w:asciiTheme="minorHAnsi" w:hAnsiTheme="minorHAnsi" w:cstheme="minorHAnsi"/>
                <w:sz w:val="20"/>
                <w:szCs w:val="20"/>
              </w:rPr>
              <w:t>201</w:t>
            </w:r>
            <w:r w:rsidR="00AE2774">
              <w:rPr>
                <w:rFonts w:asciiTheme="minorHAnsi" w:hAnsiTheme="minorHAnsi" w:cstheme="minorHAnsi"/>
                <w:sz w:val="20"/>
                <w:szCs w:val="20"/>
              </w:rPr>
              <w:t>8</w:t>
            </w:r>
            <w:r w:rsidRPr="001959D4">
              <w:rPr>
                <w:rFonts w:asciiTheme="minorHAnsi" w:hAnsiTheme="minorHAnsi" w:cstheme="minorHAnsi"/>
                <w:sz w:val="20"/>
                <w:szCs w:val="20"/>
              </w:rPr>
              <w:t xml:space="preserve">: </w:t>
            </w:r>
            <w:r w:rsidR="00AE2774">
              <w:rPr>
                <w:rFonts w:asciiTheme="minorHAnsi" w:hAnsiTheme="minorHAnsi" w:cstheme="minorHAnsi"/>
                <w:sz w:val="20"/>
                <w:szCs w:val="20"/>
              </w:rPr>
              <w:t>662,1</w:t>
            </w:r>
            <w:r w:rsidRPr="001959D4">
              <w:rPr>
                <w:rFonts w:asciiTheme="minorHAnsi" w:hAnsiTheme="minorHAnsi" w:cstheme="minorHAnsi"/>
                <w:sz w:val="20"/>
                <w:szCs w:val="20"/>
              </w:rPr>
              <w:t xml:space="preserve"> / </w:t>
            </w:r>
            <w:r w:rsidR="00AE2774">
              <w:rPr>
                <w:rFonts w:asciiTheme="minorHAnsi" w:hAnsiTheme="minorHAnsi" w:cstheme="minorHAnsi"/>
                <w:sz w:val="20"/>
                <w:szCs w:val="20"/>
              </w:rPr>
              <w:t>2 984,2 = 22</w:t>
            </w:r>
            <w:r w:rsidRPr="001959D4">
              <w:rPr>
                <w:rFonts w:asciiTheme="minorHAnsi" w:hAnsiTheme="minorHAnsi" w:cstheme="minorHAnsi"/>
                <w:sz w:val="20"/>
                <w:szCs w:val="20"/>
              </w:rPr>
              <w:t>,2 %</w:t>
            </w:r>
          </w:p>
        </w:tc>
      </w:tr>
      <w:tr w:rsidR="000C292F" w:rsidRPr="006C048C" w14:paraId="43F24E3D" w14:textId="77777777" w:rsidTr="00E431E6">
        <w:tc>
          <w:tcPr>
            <w:tcW w:w="638" w:type="pct"/>
          </w:tcPr>
          <w:p w14:paraId="33171DD4"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b/>
                <w:bCs/>
                <w:sz w:val="20"/>
                <w:szCs w:val="20"/>
              </w:rPr>
              <w:t>Plánovaná EBITDA</w:t>
            </w:r>
          </w:p>
        </w:tc>
        <w:tc>
          <w:tcPr>
            <w:tcW w:w="1454" w:type="pct"/>
          </w:tcPr>
          <w:p w14:paraId="18E01B6B" w14:textId="77777777" w:rsidR="000C292F" w:rsidRPr="006C048C" w:rsidRDefault="000C292F" w:rsidP="00E431E6">
            <w:pPr>
              <w:jc w:val="left"/>
              <w:rPr>
                <w:rFonts w:asciiTheme="minorHAnsi" w:hAnsiTheme="minorHAnsi" w:cstheme="minorHAnsi"/>
                <w:sz w:val="20"/>
                <w:szCs w:val="20"/>
              </w:rPr>
            </w:pPr>
            <w:r w:rsidRPr="006C048C">
              <w:rPr>
                <w:rFonts w:asciiTheme="minorHAnsi" w:hAnsiTheme="minorHAnsi" w:cstheme="minorHAnsi"/>
                <w:bCs/>
                <w:sz w:val="20"/>
                <w:szCs w:val="20"/>
              </w:rPr>
              <w:t>Finanční ukazatel definovaný jako výnosy minus náklady na prodané zboží a ostatní prodejní a administrativní náklady.</w:t>
            </w:r>
          </w:p>
        </w:tc>
        <w:tc>
          <w:tcPr>
            <w:tcW w:w="1454" w:type="pct"/>
          </w:tcPr>
          <w:p w14:paraId="6888A3B2" w14:textId="77777777" w:rsidR="000C292F" w:rsidRPr="006C048C" w:rsidRDefault="000C292F" w:rsidP="00E431E6">
            <w:pPr>
              <w:jc w:val="left"/>
              <w:rPr>
                <w:rFonts w:asciiTheme="minorHAnsi" w:hAnsiTheme="minorHAnsi" w:cstheme="minorHAnsi"/>
                <w:bCs/>
                <w:sz w:val="20"/>
                <w:szCs w:val="20"/>
              </w:rPr>
            </w:pPr>
            <w:r w:rsidRPr="006C048C">
              <w:rPr>
                <w:rFonts w:asciiTheme="minorHAnsi" w:hAnsiTheme="minorHAnsi" w:cstheme="minorHAnsi"/>
                <w:bCs/>
                <w:sz w:val="20"/>
                <w:szCs w:val="20"/>
              </w:rPr>
              <w:t>Je použitý v obchodním plánu Společnosti jako benchmarková hodnota pro ohodnocení výkonnosti v manažerském bonusovém plánu.</w:t>
            </w:r>
          </w:p>
        </w:tc>
        <w:tc>
          <w:tcPr>
            <w:tcW w:w="1454" w:type="pct"/>
          </w:tcPr>
          <w:p w14:paraId="5CFCDCF9" w14:textId="2F253B2E" w:rsidR="000C292F" w:rsidRPr="001959D4" w:rsidRDefault="000C292F" w:rsidP="00E431E6">
            <w:pPr>
              <w:spacing w:after="0" w:afterAutospacing="0"/>
              <w:ind w:right="-104"/>
              <w:jc w:val="left"/>
              <w:rPr>
                <w:rFonts w:asciiTheme="minorHAnsi" w:hAnsiTheme="minorHAnsi" w:cstheme="minorHAnsi"/>
                <w:bCs/>
                <w:sz w:val="20"/>
                <w:szCs w:val="20"/>
              </w:rPr>
            </w:pPr>
            <w:r w:rsidRPr="001959D4">
              <w:rPr>
                <w:rFonts w:asciiTheme="minorHAnsi" w:hAnsiTheme="minorHAnsi" w:cstheme="minorHAnsi"/>
                <w:bCs/>
                <w:sz w:val="20"/>
                <w:szCs w:val="20"/>
              </w:rPr>
              <w:t xml:space="preserve">Viz </w:t>
            </w:r>
            <w:r w:rsidR="008C71E0" w:rsidRPr="001959D4">
              <w:rPr>
                <w:rFonts w:asciiTheme="minorHAnsi" w:hAnsiTheme="minorHAnsi" w:cstheme="minorHAnsi"/>
                <w:bCs/>
                <w:sz w:val="20"/>
                <w:szCs w:val="20"/>
              </w:rPr>
              <w:t>Potvrzení výhledu hospodaření na rok 2018</w:t>
            </w:r>
            <w:r w:rsidRPr="001959D4">
              <w:rPr>
                <w:rFonts w:asciiTheme="minorHAnsi" w:hAnsiTheme="minorHAnsi" w:cstheme="minorHAnsi"/>
                <w:bCs/>
                <w:sz w:val="20"/>
                <w:szCs w:val="20"/>
              </w:rPr>
              <w:t xml:space="preserve">: </w:t>
            </w:r>
          </w:p>
          <w:p w14:paraId="6BB61937" w14:textId="77777777" w:rsidR="000C292F" w:rsidRPr="001959D4" w:rsidRDefault="000C292F" w:rsidP="00E431E6">
            <w:pPr>
              <w:spacing w:before="0" w:beforeAutospacing="0"/>
              <w:ind w:right="-104"/>
              <w:jc w:val="left"/>
              <w:rPr>
                <w:rFonts w:asciiTheme="minorHAnsi" w:hAnsiTheme="minorHAnsi" w:cstheme="minorHAnsi"/>
                <w:bCs/>
                <w:sz w:val="20"/>
                <w:szCs w:val="20"/>
              </w:rPr>
            </w:pPr>
            <w:r w:rsidRPr="001959D4">
              <w:rPr>
                <w:rFonts w:asciiTheme="minorHAnsi" w:hAnsiTheme="minorHAnsi" w:cstheme="minorHAnsi"/>
                <w:bCs/>
                <w:sz w:val="20"/>
                <w:szCs w:val="20"/>
              </w:rPr>
              <w:t>Stanoveno jako kvalifikovaný odhad vedení Společnosti.</w:t>
            </w:r>
          </w:p>
        </w:tc>
      </w:tr>
    </w:tbl>
    <w:p w14:paraId="41B04C5B" w14:textId="77777777" w:rsidR="000C292F" w:rsidRPr="006C048C" w:rsidRDefault="000C292F" w:rsidP="000C292F"/>
    <w:p w14:paraId="236E22DD" w14:textId="77777777" w:rsidR="000C292F" w:rsidRPr="006C048C" w:rsidRDefault="000C292F" w:rsidP="000C292F"/>
    <w:p w14:paraId="533C5006" w14:textId="77777777" w:rsidR="000C292F" w:rsidRPr="006C048C" w:rsidRDefault="000C292F" w:rsidP="000C292F"/>
    <w:p w14:paraId="4BD6EAEB" w14:textId="77777777" w:rsidR="000C292F" w:rsidRPr="006C048C" w:rsidRDefault="000C292F" w:rsidP="000C292F">
      <w:pPr>
        <w:sectPr w:rsidR="000C292F" w:rsidRPr="006C048C">
          <w:pgSz w:w="11906" w:h="16838"/>
          <w:pgMar w:top="1417" w:right="1417" w:bottom="1417" w:left="1417" w:header="720" w:footer="720" w:gutter="0"/>
          <w:cols w:space="720"/>
          <w:docGrid w:linePitch="360"/>
        </w:sectPr>
      </w:pPr>
    </w:p>
    <w:p w14:paraId="0EFF1310" w14:textId="77777777" w:rsidR="000C292F" w:rsidRPr="006C048C" w:rsidRDefault="000C292F" w:rsidP="000C292F">
      <w:pPr>
        <w:pStyle w:val="Nadpis1"/>
      </w:pPr>
      <w:bookmarkStart w:id="116" w:name="_Toc269907507"/>
      <w:bookmarkStart w:id="117" w:name="_Toc522086625"/>
      <w:bookmarkStart w:id="118" w:name="_Toc165188467"/>
      <w:r w:rsidRPr="006C048C">
        <w:lastRenderedPageBreak/>
        <w:t>Ostatní informace</w:t>
      </w:r>
      <w:bookmarkEnd w:id="116"/>
      <w:bookmarkEnd w:id="117"/>
    </w:p>
    <w:p w14:paraId="6A8B108C" w14:textId="77777777" w:rsidR="000C292F" w:rsidRPr="006C048C" w:rsidRDefault="000C292F" w:rsidP="000C292F"/>
    <w:p w14:paraId="7406AC7D" w14:textId="77777777" w:rsidR="000C292F" w:rsidRPr="006C048C" w:rsidRDefault="000C292F" w:rsidP="000C292F">
      <w:pPr>
        <w:pStyle w:val="Nadpis4"/>
        <w:sectPr w:rsidR="000C292F" w:rsidRPr="006C048C" w:rsidSect="00E431E6">
          <w:pgSz w:w="11906" w:h="16838"/>
          <w:pgMar w:top="1417" w:right="1417" w:bottom="1417" w:left="1417" w:header="708" w:footer="708" w:gutter="0"/>
          <w:cols w:space="708"/>
          <w:docGrid w:linePitch="360"/>
        </w:sectPr>
      </w:pPr>
    </w:p>
    <w:p w14:paraId="3F142B40" w14:textId="77777777" w:rsidR="000C292F" w:rsidRPr="006C048C" w:rsidRDefault="000C292F" w:rsidP="000C292F">
      <w:pPr>
        <w:pStyle w:val="Nadpis4"/>
      </w:pPr>
      <w:r w:rsidRPr="006C048C">
        <w:lastRenderedPageBreak/>
        <w:t>Základní údaje o Společnosti</w:t>
      </w:r>
      <w:bookmarkEnd w:id="118"/>
    </w:p>
    <w:p w14:paraId="03CC0933" w14:textId="77777777" w:rsidR="000C292F" w:rsidRPr="006C048C" w:rsidRDefault="000C292F" w:rsidP="000C292F">
      <w:pPr>
        <w:spacing w:before="0" w:beforeAutospacing="0" w:after="0" w:afterAutospacing="0"/>
        <w:rPr>
          <w:b/>
        </w:rPr>
      </w:pPr>
      <w:r w:rsidRPr="006C048C">
        <w:rPr>
          <w:b/>
        </w:rPr>
        <w:t>Obchodní firma</w:t>
      </w:r>
    </w:p>
    <w:p w14:paraId="45899FED" w14:textId="77777777" w:rsidR="000C292F" w:rsidRPr="006C048C" w:rsidRDefault="000C292F" w:rsidP="000C292F">
      <w:pPr>
        <w:spacing w:before="0" w:beforeAutospacing="0" w:after="0" w:afterAutospacing="0"/>
      </w:pPr>
      <w:r w:rsidRPr="006C048C">
        <w:t>PFNonwovens a.s.</w:t>
      </w:r>
    </w:p>
    <w:p w14:paraId="4BC91BFE" w14:textId="77777777" w:rsidR="000C292F" w:rsidRPr="006C048C" w:rsidRDefault="000C292F" w:rsidP="000C292F">
      <w:pPr>
        <w:spacing w:before="0" w:beforeAutospacing="0" w:after="0" w:afterAutospacing="0"/>
      </w:pPr>
    </w:p>
    <w:p w14:paraId="7D43B164" w14:textId="77777777" w:rsidR="000C292F" w:rsidRPr="006C048C" w:rsidRDefault="000C292F" w:rsidP="000C292F">
      <w:pPr>
        <w:spacing w:before="0" w:beforeAutospacing="0" w:after="0" w:afterAutospacing="0"/>
        <w:rPr>
          <w:b/>
        </w:rPr>
      </w:pPr>
      <w:r w:rsidRPr="006C048C">
        <w:rPr>
          <w:b/>
        </w:rPr>
        <w:t>Sídlo</w:t>
      </w:r>
    </w:p>
    <w:p w14:paraId="28F94C88" w14:textId="77777777" w:rsidR="000C292F" w:rsidRPr="006C048C" w:rsidRDefault="000C292F" w:rsidP="000C292F">
      <w:pPr>
        <w:spacing w:before="0" w:beforeAutospacing="0" w:after="0" w:afterAutospacing="0"/>
      </w:pPr>
      <w:r w:rsidRPr="006C048C">
        <w:t>Hradčanské náměstí 67/8</w:t>
      </w:r>
    </w:p>
    <w:p w14:paraId="7EF9B2FA" w14:textId="77777777" w:rsidR="000C292F" w:rsidRPr="006C048C" w:rsidRDefault="000C292F" w:rsidP="000C292F">
      <w:pPr>
        <w:spacing w:before="0" w:beforeAutospacing="0" w:after="0" w:afterAutospacing="0"/>
      </w:pPr>
      <w:r w:rsidRPr="006C048C">
        <w:t xml:space="preserve">118 00 Praha 1 – Hradčany </w:t>
      </w:r>
    </w:p>
    <w:p w14:paraId="4C541C27" w14:textId="77777777" w:rsidR="000C292F" w:rsidRPr="006C048C" w:rsidRDefault="000C292F" w:rsidP="000C292F">
      <w:pPr>
        <w:spacing w:before="0" w:beforeAutospacing="0" w:after="0" w:afterAutospacing="0"/>
      </w:pPr>
      <w:r w:rsidRPr="006C048C">
        <w:t>Česká republika</w:t>
      </w:r>
    </w:p>
    <w:p w14:paraId="51C8DD68" w14:textId="77777777" w:rsidR="000C292F" w:rsidRPr="006C048C" w:rsidRDefault="000C292F" w:rsidP="000C292F">
      <w:pPr>
        <w:spacing w:before="0" w:beforeAutospacing="0" w:after="0" w:afterAutospacing="0"/>
      </w:pPr>
      <w:r w:rsidRPr="006C048C">
        <w:t>Tel: +420 515 262 411</w:t>
      </w:r>
    </w:p>
    <w:p w14:paraId="21E2C56F" w14:textId="77777777" w:rsidR="000C292F" w:rsidRPr="006C048C" w:rsidRDefault="000C292F" w:rsidP="000C292F">
      <w:pPr>
        <w:spacing w:before="0" w:beforeAutospacing="0" w:after="0" w:afterAutospacing="0"/>
      </w:pPr>
    </w:p>
    <w:p w14:paraId="13BD0752" w14:textId="77777777" w:rsidR="000C292F" w:rsidRPr="006C048C" w:rsidRDefault="000C292F" w:rsidP="000C292F">
      <w:pPr>
        <w:spacing w:before="0" w:beforeAutospacing="0" w:after="0" w:afterAutospacing="0"/>
        <w:rPr>
          <w:b/>
        </w:rPr>
      </w:pPr>
      <w:r w:rsidRPr="006C048C">
        <w:rPr>
          <w:b/>
        </w:rPr>
        <w:t>Rejstřík a registrační číslo</w:t>
      </w:r>
    </w:p>
    <w:p w14:paraId="55CEA004" w14:textId="77777777" w:rsidR="000C292F" w:rsidRPr="006C048C" w:rsidRDefault="000C292F" w:rsidP="000C292F">
      <w:pPr>
        <w:spacing w:before="0" w:beforeAutospacing="0" w:after="0" w:afterAutospacing="0"/>
      </w:pPr>
      <w:r w:rsidRPr="006C048C">
        <w:t>Společnost je zapsána v obchodním rejstříku vedeném Městským soudem v Praze pod číslem B 23154.</w:t>
      </w:r>
    </w:p>
    <w:p w14:paraId="72DDA160" w14:textId="77777777" w:rsidR="000C292F" w:rsidRPr="006C048C" w:rsidRDefault="000C292F" w:rsidP="000C292F">
      <w:pPr>
        <w:spacing w:before="0" w:beforeAutospacing="0" w:after="0" w:afterAutospacing="0"/>
      </w:pPr>
    </w:p>
    <w:p w14:paraId="3B84DD9B" w14:textId="77777777" w:rsidR="000C292F" w:rsidRPr="006C048C" w:rsidRDefault="000C292F" w:rsidP="000C292F">
      <w:pPr>
        <w:spacing w:before="0" w:beforeAutospacing="0" w:after="0" w:afterAutospacing="0"/>
        <w:rPr>
          <w:b/>
        </w:rPr>
      </w:pPr>
      <w:r w:rsidRPr="006C048C">
        <w:rPr>
          <w:b/>
        </w:rPr>
        <w:t>Vznik</w:t>
      </w:r>
    </w:p>
    <w:p w14:paraId="7336555A" w14:textId="77777777" w:rsidR="000C292F" w:rsidRPr="006C048C" w:rsidRDefault="000C292F" w:rsidP="000C292F">
      <w:pPr>
        <w:spacing w:before="0" w:beforeAutospacing="0" w:after="0" w:afterAutospacing="0"/>
      </w:pPr>
      <w:r w:rsidRPr="006C048C">
        <w:t>18. listopadu 2005, pod původním jménem Pamplona PE Holdco 2 SA</w:t>
      </w:r>
    </w:p>
    <w:p w14:paraId="067559EE" w14:textId="77777777" w:rsidR="000C292F" w:rsidRPr="006C048C" w:rsidRDefault="000C292F" w:rsidP="000C292F">
      <w:pPr>
        <w:spacing w:before="0" w:beforeAutospacing="0" w:after="0" w:afterAutospacing="0"/>
      </w:pPr>
    </w:p>
    <w:p w14:paraId="5F07B93B" w14:textId="77777777" w:rsidR="000C292F" w:rsidRPr="006C048C" w:rsidRDefault="000C292F" w:rsidP="000C292F">
      <w:pPr>
        <w:spacing w:before="0" w:beforeAutospacing="0" w:after="0" w:afterAutospacing="0"/>
        <w:rPr>
          <w:b/>
        </w:rPr>
      </w:pPr>
      <w:r w:rsidRPr="006C048C">
        <w:rPr>
          <w:b/>
        </w:rPr>
        <w:t>Jurisdikce</w:t>
      </w:r>
    </w:p>
    <w:p w14:paraId="4659E7FF" w14:textId="77777777" w:rsidR="000C292F" w:rsidRPr="006C048C" w:rsidRDefault="000C292F" w:rsidP="000C292F">
      <w:pPr>
        <w:spacing w:before="0" w:beforeAutospacing="0" w:after="0" w:afterAutospacing="0"/>
      </w:pPr>
      <w:r w:rsidRPr="006C048C">
        <w:t>Česká republika</w:t>
      </w:r>
    </w:p>
    <w:p w14:paraId="0225FA22" w14:textId="4E638618" w:rsidR="000C292F" w:rsidRPr="006C048C" w:rsidRDefault="000C292F" w:rsidP="000C292F">
      <w:pPr>
        <w:pStyle w:val="Normlnweb"/>
      </w:pPr>
      <w:r w:rsidRPr="006C048C">
        <w:t>Společnost byla založena v Lucembursku jako veřejná společnost s ručením omezeným („société anonyme“) na dobu neurčitou 18. listopadu 2005 jako Pamplona PE Holdco 2 SA a byla zapsána v Rejstříku obchodu a společností v Lucembursku pod číslem B 112.044. V</w:t>
      </w:r>
      <w:r w:rsidR="00F76E9D">
        <w:t> </w:t>
      </w:r>
      <w:r w:rsidRPr="006C048C">
        <w:t xml:space="preserve">roce 2006 Společnost změnila svůj název na PEGAS NONWOVENS SA. </w:t>
      </w:r>
    </w:p>
    <w:p w14:paraId="05F98B53" w14:textId="77777777" w:rsidR="000C292F" w:rsidRPr="006C048C" w:rsidRDefault="000C292F" w:rsidP="000C292F">
      <w:pPr>
        <w:pStyle w:val="Normlnweb"/>
      </w:pPr>
      <w:r w:rsidRPr="006C048C">
        <w:t xml:space="preserve">Mimořádná valná hromada Společnosti rozhodla dne 18. prosince 2017 o přemístění sídla do České republiky a změnila příslušnost (statut) Společnosti z lucemburské na českou. Zároveň mimořádná valná hromada přijala nové znění stanov Společnosti a změnila název Společnosti na PEGAS NONWOVENS a.s. </w:t>
      </w:r>
    </w:p>
    <w:p w14:paraId="51629FA2" w14:textId="77777777" w:rsidR="000C292F" w:rsidRPr="006C048C" w:rsidRDefault="000C292F" w:rsidP="000C292F">
      <w:pPr>
        <w:pStyle w:val="Normlnweb"/>
      </w:pPr>
      <w:r w:rsidRPr="006C048C">
        <w:lastRenderedPageBreak/>
        <w:t>V důsledku přemístění sídla Společnosti nedošlo k zániku lucemburské společnosti PEGAS NONWOVENS SA ani ke vzniku nové právnické osoby, ale pouze ke změně právní formy na akciovou společnost dle českého práva. PEGAS NONWOVENS a.s. byla zapsána do českého obchodního rejstříku s účinností od 1. ledna 2018. Sídlem Společnosti je Hradčanské náměstí 67/8, Hradčany, 118 00 Praha 1, Česká republika.</w:t>
      </w:r>
    </w:p>
    <w:p w14:paraId="4F92E853" w14:textId="77777777" w:rsidR="000C292F" w:rsidRPr="006C048C" w:rsidRDefault="000C292F" w:rsidP="000C292F">
      <w:pPr>
        <w:pStyle w:val="Normlnweb"/>
      </w:pPr>
      <w:r w:rsidRPr="006C048C">
        <w:t>Dne 15. června 2018 rozhodla řádná valná hromada Společnosti o změně obchodní firmy Společnosti na PFNonwovens a.s. a zároveň schválila odpovídající změny prvního odstavce článku 1 Stanov Společnosti. Změna obchodní firmy na PFNonwovens a.s. byla zapsána do obchodního rejstříku s účinností od 19. června 2018.</w:t>
      </w:r>
    </w:p>
    <w:p w14:paraId="51E7AAF1" w14:textId="77777777" w:rsidR="000C292F" w:rsidRPr="006C048C" w:rsidRDefault="000C292F" w:rsidP="000C292F">
      <w:pPr>
        <w:pStyle w:val="Normlnweb"/>
      </w:pPr>
    </w:p>
    <w:p w14:paraId="3F95C3E1" w14:textId="77777777" w:rsidR="000C292F" w:rsidRPr="006C048C" w:rsidRDefault="000C292F" w:rsidP="000C292F">
      <w:pPr>
        <w:pStyle w:val="Nadpis4"/>
      </w:pPr>
      <w:r w:rsidRPr="006C048C">
        <w:t>Předmět podnikání a předmět činnosti Společnosti (dle článku 3 Stanov společnosti):</w:t>
      </w:r>
    </w:p>
    <w:p w14:paraId="6F8870E4" w14:textId="77777777" w:rsidR="000C292F" w:rsidRPr="006C048C" w:rsidRDefault="000C292F" w:rsidP="000C292F">
      <w:pPr>
        <w:spacing w:after="0" w:afterAutospacing="0"/>
        <w:rPr>
          <w:b/>
        </w:rPr>
      </w:pPr>
      <w:r w:rsidRPr="006C048C">
        <w:rPr>
          <w:b/>
        </w:rPr>
        <w:t>Předmětem podnikání Společnosti je:</w:t>
      </w:r>
    </w:p>
    <w:p w14:paraId="605FD915" w14:textId="77777777" w:rsidR="000C292F" w:rsidRPr="006C048C" w:rsidRDefault="000C292F" w:rsidP="000C292F">
      <w:pPr>
        <w:pStyle w:val="Odstavecseseznamem"/>
        <w:numPr>
          <w:ilvl w:val="0"/>
          <w:numId w:val="27"/>
        </w:numPr>
        <w:spacing w:before="0" w:beforeAutospacing="0"/>
        <w:ind w:left="540"/>
      </w:pPr>
      <w:r w:rsidRPr="006C048C">
        <w:t>Výroba, obchod a služby neuvedené v přílohách 1 a 3 živnostenského zákona</w:t>
      </w:r>
    </w:p>
    <w:p w14:paraId="5817D704" w14:textId="77777777" w:rsidR="000C292F" w:rsidRPr="006C048C" w:rsidRDefault="000C292F" w:rsidP="000C292F">
      <w:pPr>
        <w:spacing w:after="0" w:afterAutospacing="0"/>
        <w:rPr>
          <w:b/>
        </w:rPr>
      </w:pPr>
      <w:r w:rsidRPr="006C048C">
        <w:rPr>
          <w:b/>
        </w:rPr>
        <w:t>Předmětem činnosti Společnosti je:</w:t>
      </w:r>
    </w:p>
    <w:p w14:paraId="25A08CDF" w14:textId="77777777" w:rsidR="000C292F" w:rsidRPr="006C048C" w:rsidRDefault="000C292F" w:rsidP="000C292F">
      <w:pPr>
        <w:pStyle w:val="Odstavecseseznamem"/>
        <w:numPr>
          <w:ilvl w:val="0"/>
          <w:numId w:val="27"/>
        </w:numPr>
        <w:spacing w:before="0" w:beforeAutospacing="0"/>
        <w:ind w:left="540"/>
      </w:pPr>
      <w:r w:rsidRPr="006C048C">
        <w:t>Správa vlastního majetku</w:t>
      </w:r>
    </w:p>
    <w:p w14:paraId="1B490761" w14:textId="77777777" w:rsidR="000C292F" w:rsidRPr="006C048C" w:rsidRDefault="000C292F" w:rsidP="000C292F">
      <w:pPr>
        <w:rPr>
          <w:b/>
        </w:rPr>
      </w:pPr>
    </w:p>
    <w:p w14:paraId="5BACC8D6" w14:textId="77777777" w:rsidR="000C292F" w:rsidRPr="006C048C" w:rsidRDefault="000C292F" w:rsidP="000C292F">
      <w:pPr>
        <w:pStyle w:val="AODocTxt"/>
        <w:rPr>
          <w:lang w:val="cs-CZ"/>
        </w:rPr>
      </w:pPr>
    </w:p>
    <w:p w14:paraId="0EA1A737" w14:textId="77777777" w:rsidR="00E431E6" w:rsidRPr="006C048C" w:rsidRDefault="00E431E6"/>
    <w:sectPr w:rsidR="00E431E6" w:rsidRPr="006C048C" w:rsidSect="00E431E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06C70" w14:textId="77777777" w:rsidR="00BE7891" w:rsidRDefault="00BE7891" w:rsidP="000C292F">
      <w:pPr>
        <w:spacing w:before="0" w:after="0"/>
      </w:pPr>
      <w:r>
        <w:separator/>
      </w:r>
    </w:p>
  </w:endnote>
  <w:endnote w:type="continuationSeparator" w:id="0">
    <w:p w14:paraId="1816738D" w14:textId="77777777" w:rsidR="00BE7891" w:rsidRDefault="00BE7891" w:rsidP="000C2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EurostileTEEBla">
    <w:altName w:val="EurostileTEEBl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8D1B" w14:textId="77777777" w:rsidR="00BE7891" w:rsidRDefault="00BE7891" w:rsidP="00E431E6">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11490BD8" w14:textId="77777777" w:rsidR="00BE7891" w:rsidRDefault="00BE7891" w:rsidP="00E431E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E58A7" w14:textId="5B5F2A4D" w:rsidR="00BE7891" w:rsidRDefault="00BE7891" w:rsidP="00E431E6">
    <w:pPr>
      <w:pStyle w:val="Zpat"/>
      <w:rPr>
        <w:rStyle w:val="slostrnky"/>
      </w:rPr>
    </w:pPr>
    <w:r>
      <w:rPr>
        <w:rStyle w:val="slostrnky"/>
      </w:rPr>
      <w:tab/>
    </w:r>
    <w:r>
      <w:rPr>
        <w:rStyle w:val="slostrnky"/>
      </w:rPr>
      <w:fldChar w:fldCharType="begin"/>
    </w:r>
    <w:r>
      <w:rPr>
        <w:rStyle w:val="slostrnky"/>
      </w:rPr>
      <w:instrText xml:space="preserve">PAGE  </w:instrText>
    </w:r>
    <w:r>
      <w:rPr>
        <w:rStyle w:val="slostrnky"/>
      </w:rPr>
      <w:fldChar w:fldCharType="separate"/>
    </w:r>
    <w:r w:rsidR="00A057DA">
      <w:rPr>
        <w:rStyle w:val="slostrnky"/>
        <w:noProof/>
      </w:rPr>
      <w:t>37</w:t>
    </w:r>
    <w:r>
      <w:rPr>
        <w:rStyle w:val="slostrnky"/>
      </w:rPr>
      <w:fldChar w:fldCharType="end"/>
    </w:r>
  </w:p>
  <w:p w14:paraId="1B8BE1F3" w14:textId="77777777" w:rsidR="00BE7891" w:rsidRDefault="00BE7891" w:rsidP="00E431E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55EDC" w14:textId="77777777" w:rsidR="00BE7891" w:rsidRDefault="00BE7891" w:rsidP="000C292F">
      <w:pPr>
        <w:spacing w:before="0" w:after="0"/>
      </w:pPr>
      <w:r>
        <w:separator/>
      </w:r>
    </w:p>
  </w:footnote>
  <w:footnote w:type="continuationSeparator" w:id="0">
    <w:p w14:paraId="27D43DF6" w14:textId="77777777" w:rsidR="00BE7891" w:rsidRDefault="00BE7891" w:rsidP="000C292F">
      <w:pPr>
        <w:spacing w:before="0" w:after="0"/>
      </w:pPr>
      <w:r>
        <w:continuationSeparator/>
      </w:r>
    </w:p>
  </w:footnote>
  <w:footnote w:id="1">
    <w:p w14:paraId="4BC37FB0" w14:textId="77777777" w:rsidR="00BE7891" w:rsidRPr="009361D0" w:rsidRDefault="00BE7891" w:rsidP="000C292F">
      <w:pPr>
        <w:pStyle w:val="Textpoznpodarou"/>
      </w:pPr>
      <w:r w:rsidRPr="009361D0">
        <w:rPr>
          <w:rStyle w:val="Znakapoznpodarou"/>
        </w:rPr>
        <w:footnoteRef/>
      </w:r>
      <w:r w:rsidRPr="009361D0">
        <w:t xml:space="preserve"> Rozdělení dle geografie urč</w:t>
      </w:r>
      <w:r>
        <w:t>eno</w:t>
      </w:r>
      <w:r w:rsidRPr="009361D0">
        <w:t xml:space="preserve"> místem dodání zboží.</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51BBE6"/>
    <w:multiLevelType w:val="hybridMultilevel"/>
    <w:tmpl w:val="D87C55E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20BCB"/>
    <w:multiLevelType w:val="multilevel"/>
    <w:tmpl w:val="04050025"/>
    <w:lvl w:ilvl="0">
      <w:start w:val="1"/>
      <w:numFmt w:val="decimal"/>
      <w:lvlText w:val="%1"/>
      <w:lvlJc w:val="left"/>
      <w:pPr>
        <w:tabs>
          <w:tab w:val="num" w:pos="2276"/>
        </w:tabs>
        <w:ind w:left="2276"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15:restartNumberingAfterBreak="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15:restartNumberingAfterBreak="0">
    <w:nsid w:val="14773F3D"/>
    <w:multiLevelType w:val="hybridMultilevel"/>
    <w:tmpl w:val="8B0E2CB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9BA177E"/>
    <w:multiLevelType w:val="hybridMultilevel"/>
    <w:tmpl w:val="BE6A806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2490861"/>
    <w:multiLevelType w:val="hybridMultilevel"/>
    <w:tmpl w:val="28F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6D9"/>
    <w:multiLevelType w:val="hybridMultilevel"/>
    <w:tmpl w:val="ADC844D2"/>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E5059"/>
    <w:multiLevelType w:val="hybridMultilevel"/>
    <w:tmpl w:val="6A441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15:restartNumberingAfterBreak="0">
    <w:nsid w:val="36CD219B"/>
    <w:multiLevelType w:val="hybridMultilevel"/>
    <w:tmpl w:val="E49E3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A86711B"/>
    <w:multiLevelType w:val="hybridMultilevel"/>
    <w:tmpl w:val="F0B60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EE4787"/>
    <w:multiLevelType w:val="hybridMultilevel"/>
    <w:tmpl w:val="1C589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762436"/>
    <w:multiLevelType w:val="hybridMultilevel"/>
    <w:tmpl w:val="A440B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5B3203"/>
    <w:multiLevelType w:val="multilevel"/>
    <w:tmpl w:val="6096DEFC"/>
    <w:name w:val="AODoc"/>
    <w:lvl w:ilvl="0">
      <w:start w:val="1"/>
      <w:numFmt w:val="none"/>
      <w:pStyle w:val="AODocTxtCharChar"/>
      <w:suff w:val="nothing"/>
      <w:lvlText w:val=""/>
      <w:lvlJc w:val="left"/>
      <w:pPr>
        <w:ind w:left="0" w:firstLine="0"/>
      </w:pPr>
    </w:lvl>
    <w:lvl w:ilvl="1">
      <w:start w:val="1"/>
      <w:numFmt w:val="none"/>
      <w:pStyle w:val="AODocTxt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4" w15:restartNumberingAfterBreak="0">
    <w:nsid w:val="48FD5A48"/>
    <w:multiLevelType w:val="hybridMultilevel"/>
    <w:tmpl w:val="9196A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CFE7B09"/>
    <w:multiLevelType w:val="multilevel"/>
    <w:tmpl w:val="94F29B5C"/>
    <w:lvl w:ilvl="0">
      <w:start w:val="1"/>
      <w:numFmt w:val="decimal"/>
      <w:pStyle w:val="AO1"/>
      <w:lvlText w:val="(%1)"/>
      <w:lvlJc w:val="left"/>
      <w:pPr>
        <w:tabs>
          <w:tab w:val="num" w:pos="1710"/>
        </w:tabs>
        <w:ind w:left="1710" w:hanging="720"/>
      </w:pPr>
    </w:lvl>
    <w:lvl w:ilvl="1">
      <w:start w:val="1"/>
      <w:numFmt w:val="none"/>
      <w:lvlRestart w:val="0"/>
      <w:suff w:val="nothing"/>
      <w:lvlText w:val=""/>
      <w:lvlJc w:val="left"/>
      <w:pPr>
        <w:ind w:left="990" w:firstLine="0"/>
      </w:pPr>
    </w:lvl>
    <w:lvl w:ilvl="2">
      <w:start w:val="1"/>
      <w:numFmt w:val="none"/>
      <w:lvlRestart w:val="0"/>
      <w:suff w:val="nothing"/>
      <w:lvlText w:val=""/>
      <w:lvlJc w:val="left"/>
      <w:pPr>
        <w:ind w:left="990" w:firstLine="0"/>
      </w:pPr>
    </w:lvl>
    <w:lvl w:ilvl="3">
      <w:start w:val="1"/>
      <w:numFmt w:val="none"/>
      <w:lvlRestart w:val="0"/>
      <w:suff w:val="nothing"/>
      <w:lvlText w:val=""/>
      <w:lvlJc w:val="left"/>
      <w:pPr>
        <w:ind w:left="990" w:firstLine="0"/>
      </w:pPr>
    </w:lvl>
    <w:lvl w:ilvl="4">
      <w:start w:val="1"/>
      <w:numFmt w:val="none"/>
      <w:lvlRestart w:val="0"/>
      <w:suff w:val="nothing"/>
      <w:lvlText w:val=""/>
      <w:lvlJc w:val="left"/>
      <w:pPr>
        <w:ind w:left="990" w:firstLine="0"/>
      </w:pPr>
    </w:lvl>
    <w:lvl w:ilvl="5">
      <w:start w:val="1"/>
      <w:numFmt w:val="none"/>
      <w:lvlRestart w:val="0"/>
      <w:suff w:val="nothing"/>
      <w:lvlText w:val=""/>
      <w:lvlJc w:val="left"/>
      <w:pPr>
        <w:ind w:left="990" w:firstLine="0"/>
      </w:pPr>
    </w:lvl>
    <w:lvl w:ilvl="6">
      <w:start w:val="1"/>
      <w:numFmt w:val="none"/>
      <w:lvlRestart w:val="0"/>
      <w:suff w:val="nothing"/>
      <w:lvlText w:val=""/>
      <w:lvlJc w:val="left"/>
      <w:pPr>
        <w:ind w:left="990" w:firstLine="0"/>
      </w:pPr>
    </w:lvl>
    <w:lvl w:ilvl="7">
      <w:start w:val="1"/>
      <w:numFmt w:val="none"/>
      <w:lvlRestart w:val="0"/>
      <w:suff w:val="nothing"/>
      <w:lvlText w:val=""/>
      <w:lvlJc w:val="left"/>
      <w:pPr>
        <w:ind w:left="990" w:firstLine="0"/>
      </w:pPr>
    </w:lvl>
    <w:lvl w:ilvl="8">
      <w:start w:val="1"/>
      <w:numFmt w:val="none"/>
      <w:lvlRestart w:val="0"/>
      <w:suff w:val="nothing"/>
      <w:lvlText w:val=""/>
      <w:lvlJc w:val="left"/>
      <w:pPr>
        <w:ind w:left="990" w:firstLine="0"/>
      </w:pPr>
    </w:lvl>
  </w:abstractNum>
  <w:abstractNum w:abstractNumId="16" w15:restartNumberingAfterBreak="0">
    <w:nsid w:val="4E4B4E3E"/>
    <w:multiLevelType w:val="multilevel"/>
    <w:tmpl w:val="83A01EB8"/>
    <w:name w:val="AOHead"/>
    <w:lvl w:ilvl="0">
      <w:start w:val="1"/>
      <w:numFmt w:val="decimal"/>
      <w:pStyle w:val="AOHead1"/>
      <w:lvlText w:val="%1."/>
      <w:lvlJc w:val="left"/>
      <w:pPr>
        <w:tabs>
          <w:tab w:val="num" w:pos="720"/>
        </w:tabs>
        <w:ind w:left="720" w:hanging="720"/>
      </w:pPr>
    </w:lvl>
    <w:lvl w:ilvl="1">
      <w:start w:val="1"/>
      <w:numFmt w:val="decimal"/>
      <w:pStyle w:val="AOHead1"/>
      <w:lvlText w:val="%1.%2"/>
      <w:lvlJc w:val="left"/>
      <w:pPr>
        <w:tabs>
          <w:tab w:val="num" w:pos="862"/>
        </w:tabs>
        <w:ind w:left="862" w:hanging="720"/>
      </w:pPr>
      <w:rPr>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15:restartNumberingAfterBreak="0">
    <w:nsid w:val="510E4548"/>
    <w:multiLevelType w:val="hybridMultilevel"/>
    <w:tmpl w:val="16B6A29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12836C1"/>
    <w:multiLevelType w:val="hybridMultilevel"/>
    <w:tmpl w:val="851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71E657F"/>
    <w:multiLevelType w:val="hybridMultilevel"/>
    <w:tmpl w:val="0B1A5370"/>
    <w:lvl w:ilvl="0" w:tplc="093CBC5C">
      <w:start w:val="1"/>
      <w:numFmt w:val="lowerLetter"/>
      <w:lvlText w:val="%1)"/>
      <w:lvlJc w:val="left"/>
      <w:pPr>
        <w:tabs>
          <w:tab w:val="num" w:pos="600"/>
        </w:tabs>
        <w:ind w:left="600" w:hanging="360"/>
      </w:pPr>
      <w:rPr>
        <w:rFonts w:cs="Times New Roman" w:hint="default"/>
        <w:b/>
        <w:i w:val="0"/>
      </w:rPr>
    </w:lvl>
    <w:lvl w:ilvl="1" w:tplc="5688F60C">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C03674"/>
    <w:multiLevelType w:val="hybridMultilevel"/>
    <w:tmpl w:val="A15E3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E116E82"/>
    <w:multiLevelType w:val="hybridMultilevel"/>
    <w:tmpl w:val="7528D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EA00BC"/>
    <w:multiLevelType w:val="hybridMultilevel"/>
    <w:tmpl w:val="CC36D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71322B"/>
    <w:multiLevelType w:val="hybridMultilevel"/>
    <w:tmpl w:val="D19A7B8A"/>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4" w15:restartNumberingAfterBreak="0">
    <w:nsid w:val="776A759B"/>
    <w:multiLevelType w:val="hybridMultilevel"/>
    <w:tmpl w:val="293AF0F8"/>
    <w:lvl w:ilvl="0" w:tplc="C6AC6EB6">
      <w:start w:val="1"/>
      <w:numFmt w:val="decimal"/>
      <w:pStyle w:val="Ne1"/>
      <w:lvlText w:val="%1."/>
      <w:lvlJc w:val="left"/>
      <w:pPr>
        <w:tabs>
          <w:tab w:val="num" w:pos="540"/>
        </w:tabs>
        <w:ind w:left="540" w:hanging="540"/>
      </w:pPr>
      <w:rPr>
        <w:rFonts w:hint="default"/>
      </w:rPr>
    </w:lvl>
    <w:lvl w:ilvl="1" w:tplc="0409000F">
      <w:start w:val="1"/>
      <w:numFmt w:val="decimal"/>
      <w:lvlText w:val="%2."/>
      <w:lvlJc w:val="left"/>
      <w:pPr>
        <w:tabs>
          <w:tab w:val="num" w:pos="1440"/>
        </w:tabs>
        <w:ind w:left="1440" w:hanging="360"/>
      </w:pPr>
      <w:rPr>
        <w:rFonts w:hint="default"/>
      </w:rPr>
    </w:lvl>
    <w:lvl w:ilvl="2" w:tplc="E82C7B68">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79EC1C0D"/>
    <w:multiLevelType w:val="hybridMultilevel"/>
    <w:tmpl w:val="089A7802"/>
    <w:lvl w:ilvl="0" w:tplc="74E29BD8">
      <w:start w:val="1"/>
      <w:numFmt w:val="lowerLetter"/>
      <w:pStyle w:val="Nadpis5"/>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2"/>
  </w:num>
  <w:num w:numId="4">
    <w:abstractNumId w:val="8"/>
  </w:num>
  <w:num w:numId="5">
    <w:abstractNumId w:val="24"/>
  </w:num>
  <w:num w:numId="6">
    <w:abstractNumId w:val="15"/>
  </w:num>
  <w:num w:numId="7">
    <w:abstractNumId w:val="16"/>
  </w:num>
  <w:num w:numId="8">
    <w:abstractNumId w:val="11"/>
  </w:num>
  <w:num w:numId="9">
    <w:abstractNumId w:val="6"/>
  </w:num>
  <w:num w:numId="10">
    <w:abstractNumId w:val="22"/>
  </w:num>
  <w:num w:numId="11">
    <w:abstractNumId w:val="4"/>
  </w:num>
  <w:num w:numId="12">
    <w:abstractNumId w:val="12"/>
  </w:num>
  <w:num w:numId="13">
    <w:abstractNumId w:val="20"/>
  </w:num>
  <w:num w:numId="14">
    <w:abstractNumId w:val="17"/>
  </w:num>
  <w:num w:numId="15">
    <w:abstractNumId w:val="3"/>
  </w:num>
  <w:num w:numId="16">
    <w:abstractNumId w:val="7"/>
  </w:num>
  <w:num w:numId="17">
    <w:abstractNumId w:val="0"/>
  </w:num>
  <w:num w:numId="18">
    <w:abstractNumId w:val="25"/>
  </w:num>
  <w:num w:numId="19">
    <w:abstractNumId w:val="19"/>
  </w:num>
  <w:num w:numId="20">
    <w:abstractNumId w:val="21"/>
  </w:num>
  <w:num w:numId="21">
    <w:abstractNumId w:val="1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2F"/>
    <w:rsid w:val="000205B4"/>
    <w:rsid w:val="000270D1"/>
    <w:rsid w:val="000546B5"/>
    <w:rsid w:val="000561B4"/>
    <w:rsid w:val="00070630"/>
    <w:rsid w:val="00086BD4"/>
    <w:rsid w:val="000B2A24"/>
    <w:rsid w:val="000C10BD"/>
    <w:rsid w:val="000C292F"/>
    <w:rsid w:val="000E4F25"/>
    <w:rsid w:val="000F1DFC"/>
    <w:rsid w:val="00190491"/>
    <w:rsid w:val="001959D4"/>
    <w:rsid w:val="001B2228"/>
    <w:rsid w:val="001B447B"/>
    <w:rsid w:val="001B57A9"/>
    <w:rsid w:val="001C48FB"/>
    <w:rsid w:val="001E3FEE"/>
    <w:rsid w:val="001E730F"/>
    <w:rsid w:val="001F1DFE"/>
    <w:rsid w:val="001F7732"/>
    <w:rsid w:val="001F7F70"/>
    <w:rsid w:val="0021624F"/>
    <w:rsid w:val="002275BF"/>
    <w:rsid w:val="00257702"/>
    <w:rsid w:val="00261661"/>
    <w:rsid w:val="00263ADB"/>
    <w:rsid w:val="00283207"/>
    <w:rsid w:val="002A485E"/>
    <w:rsid w:val="002A79BE"/>
    <w:rsid w:val="002C5238"/>
    <w:rsid w:val="002E3A91"/>
    <w:rsid w:val="002F5F6C"/>
    <w:rsid w:val="00300C21"/>
    <w:rsid w:val="003253FE"/>
    <w:rsid w:val="003405CE"/>
    <w:rsid w:val="003D573E"/>
    <w:rsid w:val="003E44B9"/>
    <w:rsid w:val="003F7BFD"/>
    <w:rsid w:val="00401D77"/>
    <w:rsid w:val="004150DD"/>
    <w:rsid w:val="00435B3E"/>
    <w:rsid w:val="0043795F"/>
    <w:rsid w:val="004620EA"/>
    <w:rsid w:val="00497D37"/>
    <w:rsid w:val="004C18D4"/>
    <w:rsid w:val="0052686C"/>
    <w:rsid w:val="00530840"/>
    <w:rsid w:val="00570190"/>
    <w:rsid w:val="005771FD"/>
    <w:rsid w:val="00594046"/>
    <w:rsid w:val="005A54C3"/>
    <w:rsid w:val="005C3F64"/>
    <w:rsid w:val="005D2F51"/>
    <w:rsid w:val="005D3EFB"/>
    <w:rsid w:val="006476F6"/>
    <w:rsid w:val="00665CE4"/>
    <w:rsid w:val="0068553C"/>
    <w:rsid w:val="00695D22"/>
    <w:rsid w:val="006A75D4"/>
    <w:rsid w:val="006C048C"/>
    <w:rsid w:val="006C7FB6"/>
    <w:rsid w:val="006D391C"/>
    <w:rsid w:val="00714AD4"/>
    <w:rsid w:val="00736620"/>
    <w:rsid w:val="00761F85"/>
    <w:rsid w:val="007749FD"/>
    <w:rsid w:val="007903EC"/>
    <w:rsid w:val="007967D3"/>
    <w:rsid w:val="007A4D87"/>
    <w:rsid w:val="007B0350"/>
    <w:rsid w:val="007B298D"/>
    <w:rsid w:val="007D7000"/>
    <w:rsid w:val="007E06C4"/>
    <w:rsid w:val="007F212A"/>
    <w:rsid w:val="00803DB8"/>
    <w:rsid w:val="00816250"/>
    <w:rsid w:val="008636B9"/>
    <w:rsid w:val="00872463"/>
    <w:rsid w:val="00894B01"/>
    <w:rsid w:val="008C71E0"/>
    <w:rsid w:val="008D1D7A"/>
    <w:rsid w:val="008D3D4B"/>
    <w:rsid w:val="008E0DD6"/>
    <w:rsid w:val="00932138"/>
    <w:rsid w:val="00940821"/>
    <w:rsid w:val="00943D10"/>
    <w:rsid w:val="009566C6"/>
    <w:rsid w:val="009602F7"/>
    <w:rsid w:val="009603DE"/>
    <w:rsid w:val="009A2369"/>
    <w:rsid w:val="009A70CA"/>
    <w:rsid w:val="00A057DA"/>
    <w:rsid w:val="00A12AA2"/>
    <w:rsid w:val="00A1545C"/>
    <w:rsid w:val="00A370FC"/>
    <w:rsid w:val="00A6035A"/>
    <w:rsid w:val="00A722A4"/>
    <w:rsid w:val="00A7486A"/>
    <w:rsid w:val="00A9481B"/>
    <w:rsid w:val="00AB6449"/>
    <w:rsid w:val="00AC0DB1"/>
    <w:rsid w:val="00AC6311"/>
    <w:rsid w:val="00AE2774"/>
    <w:rsid w:val="00AF0D63"/>
    <w:rsid w:val="00AF6E81"/>
    <w:rsid w:val="00B05CBE"/>
    <w:rsid w:val="00B10965"/>
    <w:rsid w:val="00B25107"/>
    <w:rsid w:val="00B3605A"/>
    <w:rsid w:val="00B43B2C"/>
    <w:rsid w:val="00BA5DD9"/>
    <w:rsid w:val="00BD28D6"/>
    <w:rsid w:val="00BE7891"/>
    <w:rsid w:val="00BF3A56"/>
    <w:rsid w:val="00BF3C3D"/>
    <w:rsid w:val="00C1376F"/>
    <w:rsid w:val="00C21A90"/>
    <w:rsid w:val="00C325FC"/>
    <w:rsid w:val="00C643AC"/>
    <w:rsid w:val="00C77130"/>
    <w:rsid w:val="00C838A4"/>
    <w:rsid w:val="00C84F6F"/>
    <w:rsid w:val="00CA1AF7"/>
    <w:rsid w:val="00CE23ED"/>
    <w:rsid w:val="00CF36F5"/>
    <w:rsid w:val="00CF50C2"/>
    <w:rsid w:val="00D40CA6"/>
    <w:rsid w:val="00D548ED"/>
    <w:rsid w:val="00D614A5"/>
    <w:rsid w:val="00D62F44"/>
    <w:rsid w:val="00D63F98"/>
    <w:rsid w:val="00D800A9"/>
    <w:rsid w:val="00DB07EF"/>
    <w:rsid w:val="00E01C7B"/>
    <w:rsid w:val="00E03E6E"/>
    <w:rsid w:val="00E149E8"/>
    <w:rsid w:val="00E431E6"/>
    <w:rsid w:val="00E9713C"/>
    <w:rsid w:val="00E9781D"/>
    <w:rsid w:val="00EC762C"/>
    <w:rsid w:val="00ED611C"/>
    <w:rsid w:val="00F0747D"/>
    <w:rsid w:val="00F22097"/>
    <w:rsid w:val="00F369AA"/>
    <w:rsid w:val="00F521E5"/>
    <w:rsid w:val="00F7306C"/>
    <w:rsid w:val="00F74781"/>
    <w:rsid w:val="00F76E9D"/>
    <w:rsid w:val="00F82151"/>
    <w:rsid w:val="00F867CA"/>
    <w:rsid w:val="00F94906"/>
    <w:rsid w:val="00FA48FD"/>
    <w:rsid w:val="00FA5E46"/>
    <w:rsid w:val="00FB6777"/>
    <w:rsid w:val="00FC7758"/>
    <w:rsid w:val="00FE1C91"/>
    <w:rsid w:val="00FF0C95"/>
    <w:rsid w:val="00FF5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4171"/>
  <w15:chartTrackingRefBased/>
  <w15:docId w15:val="{27F111A3-DBA8-46EF-A5B7-57DAF88E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C292F"/>
    <w:pPr>
      <w:spacing w:before="100" w:beforeAutospacing="1" w:after="100" w:afterAutospacing="1" w:line="240" w:lineRule="auto"/>
      <w:jc w:val="both"/>
    </w:pPr>
    <w:rPr>
      <w:rFonts w:eastAsia="Times New Roman" w:cs="Times New Roman"/>
      <w:sz w:val="24"/>
      <w:szCs w:val="24"/>
      <w:lang w:eastAsia="cs-CZ"/>
    </w:rPr>
  </w:style>
  <w:style w:type="paragraph" w:styleId="Nadpis1">
    <w:name w:val="heading 1"/>
    <w:basedOn w:val="Normln"/>
    <w:next w:val="Normln"/>
    <w:link w:val="Nadpis1Char"/>
    <w:qFormat/>
    <w:rsid w:val="000C292F"/>
    <w:pPr>
      <w:keepNext/>
      <w:spacing w:before="0" w:beforeAutospacing="0" w:after="120" w:afterAutospacing="0"/>
      <w:outlineLvl w:val="0"/>
    </w:pPr>
    <w:rPr>
      <w:b/>
      <w:bCs/>
      <w:kern w:val="32"/>
      <w:sz w:val="48"/>
      <w:szCs w:val="48"/>
    </w:rPr>
  </w:style>
  <w:style w:type="paragraph" w:styleId="Nadpis2">
    <w:name w:val="heading 2"/>
    <w:basedOn w:val="Nadpis1"/>
    <w:next w:val="Normln"/>
    <w:link w:val="Nadpis2Char"/>
    <w:qFormat/>
    <w:rsid w:val="000C292F"/>
    <w:pPr>
      <w:outlineLvl w:val="1"/>
    </w:pPr>
    <w:rPr>
      <w:sz w:val="28"/>
      <w:szCs w:val="28"/>
    </w:rPr>
  </w:style>
  <w:style w:type="paragraph" w:styleId="Nadpis3">
    <w:name w:val="heading 3"/>
    <w:basedOn w:val="Normln"/>
    <w:next w:val="Normln"/>
    <w:link w:val="Nadpis3Char"/>
    <w:qFormat/>
    <w:rsid w:val="00F7306C"/>
    <w:pPr>
      <w:outlineLvl w:val="2"/>
    </w:pPr>
    <w:rPr>
      <w:b/>
      <w:color w:val="2A7FC6"/>
    </w:rPr>
  </w:style>
  <w:style w:type="paragraph" w:styleId="Nadpis4">
    <w:name w:val="heading 4"/>
    <w:basedOn w:val="Nadpis3"/>
    <w:next w:val="Normln"/>
    <w:link w:val="Nadpis4Char"/>
    <w:qFormat/>
    <w:rsid w:val="000C292F"/>
    <w:pPr>
      <w:outlineLvl w:val="3"/>
    </w:pPr>
  </w:style>
  <w:style w:type="paragraph" w:styleId="Nadpis5">
    <w:name w:val="heading 5"/>
    <w:basedOn w:val="Odstavecseseznamem1"/>
    <w:next w:val="Normln"/>
    <w:link w:val="Nadpis5Char"/>
    <w:qFormat/>
    <w:rsid w:val="00F7306C"/>
    <w:pPr>
      <w:numPr>
        <w:numId w:val="18"/>
      </w:numPr>
      <w:ind w:left="360"/>
      <w:outlineLvl w:val="4"/>
    </w:pPr>
    <w:rPr>
      <w:color w:val="2A7FC6"/>
      <w:sz w:val="24"/>
      <w:szCs w:val="24"/>
    </w:rPr>
  </w:style>
  <w:style w:type="paragraph" w:styleId="Nadpis6">
    <w:name w:val="heading 6"/>
    <w:basedOn w:val="Normln"/>
    <w:next w:val="Normln"/>
    <w:link w:val="Nadpis6Char"/>
    <w:qFormat/>
    <w:rsid w:val="000C292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0C292F"/>
    <w:pPr>
      <w:numPr>
        <w:ilvl w:val="6"/>
        <w:numId w:val="1"/>
      </w:numPr>
      <w:spacing w:before="240" w:after="60"/>
      <w:outlineLvl w:val="6"/>
    </w:pPr>
  </w:style>
  <w:style w:type="paragraph" w:styleId="Nadpis8">
    <w:name w:val="heading 8"/>
    <w:basedOn w:val="Normln"/>
    <w:next w:val="Normln"/>
    <w:link w:val="Nadpis8Char"/>
    <w:qFormat/>
    <w:rsid w:val="000C292F"/>
    <w:pPr>
      <w:numPr>
        <w:ilvl w:val="7"/>
        <w:numId w:val="1"/>
      </w:numPr>
      <w:spacing w:before="240" w:after="60"/>
      <w:outlineLvl w:val="7"/>
    </w:pPr>
    <w:rPr>
      <w:i/>
      <w:iCs/>
    </w:rPr>
  </w:style>
  <w:style w:type="paragraph" w:styleId="Nadpis9">
    <w:name w:val="heading 9"/>
    <w:basedOn w:val="Normln"/>
    <w:next w:val="Normln"/>
    <w:link w:val="Nadpis9Char"/>
    <w:qFormat/>
    <w:rsid w:val="000C292F"/>
    <w:pPr>
      <w:numPr>
        <w:ilvl w:val="8"/>
        <w:numId w:val="1"/>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292F"/>
    <w:rPr>
      <w:rFonts w:eastAsia="Times New Roman" w:cs="Times New Roman"/>
      <w:b/>
      <w:bCs/>
      <w:kern w:val="32"/>
      <w:sz w:val="48"/>
      <w:szCs w:val="48"/>
      <w:lang w:eastAsia="cs-CZ"/>
    </w:rPr>
  </w:style>
  <w:style w:type="character" w:customStyle="1" w:styleId="Nadpis2Char">
    <w:name w:val="Nadpis 2 Char"/>
    <w:basedOn w:val="Standardnpsmoodstavce"/>
    <w:link w:val="Nadpis2"/>
    <w:rsid w:val="000C292F"/>
    <w:rPr>
      <w:rFonts w:eastAsia="Times New Roman" w:cs="Times New Roman"/>
      <w:b/>
      <w:bCs/>
      <w:kern w:val="32"/>
      <w:sz w:val="28"/>
      <w:szCs w:val="28"/>
      <w:lang w:eastAsia="cs-CZ"/>
    </w:rPr>
  </w:style>
  <w:style w:type="character" w:customStyle="1" w:styleId="Nadpis3Char">
    <w:name w:val="Nadpis 3 Char"/>
    <w:basedOn w:val="Standardnpsmoodstavce"/>
    <w:link w:val="Nadpis3"/>
    <w:rsid w:val="00F7306C"/>
    <w:rPr>
      <w:rFonts w:eastAsia="Times New Roman" w:cs="Times New Roman"/>
      <w:b/>
      <w:color w:val="2A7FC6"/>
      <w:sz w:val="24"/>
      <w:szCs w:val="24"/>
      <w:lang w:eastAsia="cs-CZ"/>
    </w:rPr>
  </w:style>
  <w:style w:type="character" w:customStyle="1" w:styleId="Nadpis4Char">
    <w:name w:val="Nadpis 4 Char"/>
    <w:basedOn w:val="Standardnpsmoodstavce"/>
    <w:link w:val="Nadpis4"/>
    <w:rsid w:val="000C292F"/>
    <w:rPr>
      <w:rFonts w:eastAsia="Times New Roman" w:cs="Times New Roman"/>
      <w:b/>
      <w:color w:val="E2001C"/>
      <w:sz w:val="24"/>
      <w:szCs w:val="24"/>
      <w:lang w:eastAsia="cs-CZ"/>
    </w:rPr>
  </w:style>
  <w:style w:type="character" w:customStyle="1" w:styleId="Nadpis5Char">
    <w:name w:val="Nadpis 5 Char"/>
    <w:basedOn w:val="Standardnpsmoodstavce"/>
    <w:link w:val="Nadpis5"/>
    <w:rsid w:val="00F7306C"/>
    <w:rPr>
      <w:rFonts w:ascii="Calibri" w:eastAsia="Times New Roman" w:hAnsi="Calibri" w:cs="Times New Roman"/>
      <w:color w:val="2A7FC6"/>
      <w:sz w:val="24"/>
      <w:szCs w:val="24"/>
    </w:rPr>
  </w:style>
  <w:style w:type="character" w:customStyle="1" w:styleId="Nadpis6Char">
    <w:name w:val="Nadpis 6 Char"/>
    <w:basedOn w:val="Standardnpsmoodstavce"/>
    <w:link w:val="Nadpis6"/>
    <w:rsid w:val="000C292F"/>
    <w:rPr>
      <w:rFonts w:eastAsia="Times New Roman" w:cs="Times New Roman"/>
      <w:b/>
      <w:bCs/>
      <w:lang w:eastAsia="cs-CZ"/>
    </w:rPr>
  </w:style>
  <w:style w:type="character" w:customStyle="1" w:styleId="Nadpis7Char">
    <w:name w:val="Nadpis 7 Char"/>
    <w:basedOn w:val="Standardnpsmoodstavce"/>
    <w:link w:val="Nadpis7"/>
    <w:rsid w:val="000C292F"/>
    <w:rPr>
      <w:rFonts w:eastAsia="Times New Roman" w:cs="Times New Roman"/>
      <w:sz w:val="24"/>
      <w:szCs w:val="24"/>
      <w:lang w:eastAsia="cs-CZ"/>
    </w:rPr>
  </w:style>
  <w:style w:type="character" w:customStyle="1" w:styleId="Nadpis8Char">
    <w:name w:val="Nadpis 8 Char"/>
    <w:basedOn w:val="Standardnpsmoodstavce"/>
    <w:link w:val="Nadpis8"/>
    <w:rsid w:val="000C292F"/>
    <w:rPr>
      <w:rFonts w:eastAsia="Times New Roman" w:cs="Times New Roman"/>
      <w:i/>
      <w:iCs/>
      <w:sz w:val="24"/>
      <w:szCs w:val="24"/>
      <w:lang w:eastAsia="cs-CZ"/>
    </w:rPr>
  </w:style>
  <w:style w:type="character" w:customStyle="1" w:styleId="Nadpis9Char">
    <w:name w:val="Nadpis 9 Char"/>
    <w:basedOn w:val="Standardnpsmoodstavce"/>
    <w:link w:val="Nadpis9"/>
    <w:rsid w:val="000C292F"/>
    <w:rPr>
      <w:rFonts w:ascii="Arial" w:eastAsia="Times New Roman" w:hAnsi="Arial" w:cs="Arial"/>
      <w:lang w:eastAsia="cs-CZ"/>
    </w:rPr>
  </w:style>
  <w:style w:type="paragraph" w:styleId="Textbubliny">
    <w:name w:val="Balloon Text"/>
    <w:basedOn w:val="Normln"/>
    <w:link w:val="TextbublinyChar"/>
    <w:semiHidden/>
    <w:rsid w:val="000C292F"/>
    <w:rPr>
      <w:rFonts w:ascii="Tahoma" w:hAnsi="Tahoma" w:cs="Tahoma"/>
      <w:sz w:val="16"/>
      <w:szCs w:val="16"/>
    </w:rPr>
  </w:style>
  <w:style w:type="character" w:customStyle="1" w:styleId="TextbublinyChar">
    <w:name w:val="Text bubliny Char"/>
    <w:basedOn w:val="Standardnpsmoodstavce"/>
    <w:link w:val="Textbubliny"/>
    <w:semiHidden/>
    <w:rsid w:val="000C292F"/>
    <w:rPr>
      <w:rFonts w:ascii="Tahoma" w:eastAsia="Times New Roman" w:hAnsi="Tahoma" w:cs="Tahoma"/>
      <w:sz w:val="16"/>
      <w:szCs w:val="16"/>
      <w:lang w:eastAsia="cs-CZ"/>
    </w:rPr>
  </w:style>
  <w:style w:type="paragraph" w:styleId="Zpat">
    <w:name w:val="footer"/>
    <w:basedOn w:val="Normln"/>
    <w:link w:val="ZpatChar"/>
    <w:rsid w:val="000C292F"/>
    <w:pPr>
      <w:tabs>
        <w:tab w:val="center" w:pos="4536"/>
        <w:tab w:val="right" w:pos="9072"/>
      </w:tabs>
    </w:pPr>
  </w:style>
  <w:style w:type="character" w:customStyle="1" w:styleId="ZpatChar">
    <w:name w:val="Zápatí Char"/>
    <w:basedOn w:val="Standardnpsmoodstavce"/>
    <w:link w:val="Zpat"/>
    <w:rsid w:val="000C292F"/>
    <w:rPr>
      <w:rFonts w:eastAsia="Times New Roman" w:cs="Times New Roman"/>
      <w:sz w:val="24"/>
      <w:szCs w:val="24"/>
      <w:lang w:eastAsia="cs-CZ"/>
    </w:rPr>
  </w:style>
  <w:style w:type="character" w:styleId="slostrnky">
    <w:name w:val="page number"/>
    <w:basedOn w:val="Standardnpsmoodstavce"/>
    <w:rsid w:val="000C292F"/>
  </w:style>
  <w:style w:type="character" w:styleId="Hypertextovodkaz">
    <w:name w:val="Hyperlink"/>
    <w:basedOn w:val="Standardnpsmoodstavce"/>
    <w:uiPriority w:val="99"/>
    <w:rsid w:val="000C292F"/>
    <w:rPr>
      <w:color w:val="0000FF"/>
      <w:u w:val="single"/>
    </w:rPr>
  </w:style>
  <w:style w:type="paragraph" w:styleId="Obsah1">
    <w:name w:val="toc 1"/>
    <w:basedOn w:val="Normln"/>
    <w:next w:val="Normln"/>
    <w:autoRedefine/>
    <w:uiPriority w:val="39"/>
    <w:rsid w:val="000C292F"/>
    <w:pPr>
      <w:tabs>
        <w:tab w:val="left" w:pos="480"/>
        <w:tab w:val="right" w:leader="dot" w:pos="9062"/>
      </w:tabs>
    </w:pPr>
    <w:rPr>
      <w:b/>
      <w:noProof/>
      <w:lang w:val="en-GB"/>
    </w:rPr>
  </w:style>
  <w:style w:type="paragraph" w:styleId="Obsah2">
    <w:name w:val="toc 2"/>
    <w:basedOn w:val="Normln"/>
    <w:next w:val="Normln"/>
    <w:autoRedefine/>
    <w:uiPriority w:val="39"/>
    <w:rsid w:val="000C292F"/>
    <w:pPr>
      <w:ind w:left="240"/>
    </w:pPr>
  </w:style>
  <w:style w:type="paragraph" w:styleId="Obsah3">
    <w:name w:val="toc 3"/>
    <w:basedOn w:val="Normln"/>
    <w:next w:val="Normln"/>
    <w:autoRedefine/>
    <w:uiPriority w:val="39"/>
    <w:rsid w:val="000C292F"/>
    <w:pPr>
      <w:ind w:left="480"/>
    </w:pPr>
  </w:style>
  <w:style w:type="paragraph" w:styleId="Normlnweb">
    <w:name w:val="Normal (Web)"/>
    <w:basedOn w:val="Normln"/>
    <w:link w:val="NormlnwebChar"/>
    <w:rsid w:val="000C292F"/>
  </w:style>
  <w:style w:type="character" w:customStyle="1" w:styleId="NormlnwebChar">
    <w:name w:val="Normální (web) Char"/>
    <w:basedOn w:val="Standardnpsmoodstavce"/>
    <w:link w:val="Normlnweb"/>
    <w:rsid w:val="000C292F"/>
    <w:rPr>
      <w:rFonts w:eastAsia="Times New Roman" w:cs="Times New Roman"/>
      <w:sz w:val="24"/>
      <w:szCs w:val="24"/>
      <w:lang w:eastAsia="cs-CZ"/>
    </w:rPr>
  </w:style>
  <w:style w:type="character" w:styleId="Siln">
    <w:name w:val="Strong"/>
    <w:basedOn w:val="Standardnpsmoodstavce"/>
    <w:qFormat/>
    <w:rsid w:val="000C292F"/>
    <w:rPr>
      <w:b/>
      <w:bCs/>
    </w:rPr>
  </w:style>
  <w:style w:type="character" w:styleId="Zdraznn">
    <w:name w:val="Emphasis"/>
    <w:basedOn w:val="Standardnpsmoodstavce"/>
    <w:qFormat/>
    <w:rsid w:val="000C292F"/>
    <w:rPr>
      <w:i/>
      <w:iCs/>
    </w:rPr>
  </w:style>
  <w:style w:type="paragraph" w:styleId="Textpoznpodarou">
    <w:name w:val="footnote text"/>
    <w:basedOn w:val="Normln"/>
    <w:link w:val="TextpoznpodarouChar"/>
    <w:semiHidden/>
    <w:rsid w:val="000C292F"/>
    <w:rPr>
      <w:sz w:val="20"/>
      <w:szCs w:val="20"/>
    </w:rPr>
  </w:style>
  <w:style w:type="character" w:customStyle="1" w:styleId="TextpoznpodarouChar">
    <w:name w:val="Text pozn. pod čarou Char"/>
    <w:basedOn w:val="Standardnpsmoodstavce"/>
    <w:link w:val="Textpoznpodarou"/>
    <w:semiHidden/>
    <w:rsid w:val="000C292F"/>
    <w:rPr>
      <w:rFonts w:eastAsia="Times New Roman" w:cs="Times New Roman"/>
      <w:sz w:val="20"/>
      <w:szCs w:val="20"/>
      <w:lang w:eastAsia="cs-CZ"/>
    </w:rPr>
  </w:style>
  <w:style w:type="character" w:styleId="Znakapoznpodarou">
    <w:name w:val="footnote reference"/>
    <w:basedOn w:val="Standardnpsmoodstavce"/>
    <w:semiHidden/>
    <w:rsid w:val="000C292F"/>
    <w:rPr>
      <w:vertAlign w:val="superscript"/>
    </w:rPr>
  </w:style>
  <w:style w:type="table" w:styleId="Mkatabulky">
    <w:name w:val="Table Grid"/>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ln"/>
    <w:link w:val="AODocTxtCharCharChar"/>
    <w:rsid w:val="000C292F"/>
    <w:pPr>
      <w:numPr>
        <w:ilvl w:val="1"/>
        <w:numId w:val="2"/>
      </w:numPr>
      <w:spacing w:before="240" w:line="260" w:lineRule="atLeast"/>
      <w:ind w:left="0"/>
    </w:pPr>
    <w:rPr>
      <w:rFonts w:eastAsia="SimSun"/>
      <w:sz w:val="22"/>
      <w:szCs w:val="22"/>
      <w:lang w:val="en-GB" w:eastAsia="en-US"/>
    </w:rPr>
  </w:style>
  <w:style w:type="character" w:customStyle="1" w:styleId="AODocTxtCharCharChar">
    <w:name w:val="AODocTxt Char Char Char"/>
    <w:basedOn w:val="Standardnpsmoodstavce"/>
    <w:link w:val="AODocTxtCharChar"/>
    <w:rsid w:val="000C292F"/>
    <w:rPr>
      <w:rFonts w:eastAsia="SimSun" w:cs="Times New Roman"/>
      <w:lang w:val="en-GB"/>
    </w:rPr>
  </w:style>
  <w:style w:type="paragraph" w:customStyle="1" w:styleId="AODocTxtL1">
    <w:name w:val="AODocTxtL1"/>
    <w:basedOn w:val="AODocTxtCharChar"/>
    <w:rsid w:val="000C292F"/>
    <w:pPr>
      <w:numPr>
        <w:ilvl w:val="3"/>
      </w:numPr>
      <w:tabs>
        <w:tab w:val="num" w:pos="643"/>
      </w:tabs>
      <w:ind w:left="643" w:hanging="360"/>
    </w:pPr>
  </w:style>
  <w:style w:type="paragraph" w:customStyle="1" w:styleId="AODocTxtL2">
    <w:name w:val="AODocTxtL2"/>
    <w:basedOn w:val="AODocTxtCharChar"/>
    <w:rsid w:val="000C292F"/>
    <w:pPr>
      <w:numPr>
        <w:ilvl w:val="4"/>
      </w:numPr>
      <w:tabs>
        <w:tab w:val="num" w:pos="643"/>
      </w:tabs>
      <w:ind w:left="643" w:hanging="360"/>
    </w:pPr>
  </w:style>
  <w:style w:type="paragraph" w:customStyle="1" w:styleId="AODocTxtL3">
    <w:name w:val="AODocTxtL3"/>
    <w:basedOn w:val="AODocTxtCharChar"/>
    <w:rsid w:val="000C292F"/>
    <w:pPr>
      <w:numPr>
        <w:ilvl w:val="0"/>
        <w:numId w:val="0"/>
      </w:numPr>
      <w:tabs>
        <w:tab w:val="num" w:pos="643"/>
      </w:tabs>
      <w:ind w:left="643" w:hanging="360"/>
    </w:pPr>
  </w:style>
  <w:style w:type="paragraph" w:customStyle="1" w:styleId="AODocTxtL4">
    <w:name w:val="AODocTxtL4"/>
    <w:basedOn w:val="AODocTxtCharChar"/>
    <w:rsid w:val="000C292F"/>
    <w:pPr>
      <w:numPr>
        <w:ilvl w:val="0"/>
        <w:numId w:val="0"/>
      </w:numPr>
      <w:tabs>
        <w:tab w:val="num" w:pos="643"/>
      </w:tabs>
      <w:ind w:left="643" w:hanging="360"/>
    </w:pPr>
  </w:style>
  <w:style w:type="paragraph" w:customStyle="1" w:styleId="AODocTxtL5">
    <w:name w:val="AODocTxtL5"/>
    <w:basedOn w:val="AODocTxtCharChar"/>
    <w:rsid w:val="000C292F"/>
    <w:pPr>
      <w:numPr>
        <w:ilvl w:val="0"/>
        <w:numId w:val="0"/>
      </w:numPr>
      <w:tabs>
        <w:tab w:val="num" w:pos="643"/>
      </w:tabs>
      <w:ind w:left="643" w:hanging="360"/>
    </w:pPr>
  </w:style>
  <w:style w:type="paragraph" w:customStyle="1" w:styleId="AODocTxtL6">
    <w:name w:val="AODocTxtL6"/>
    <w:basedOn w:val="AODocTxtCharChar"/>
    <w:rsid w:val="000C292F"/>
    <w:pPr>
      <w:numPr>
        <w:ilvl w:val="0"/>
        <w:numId w:val="0"/>
      </w:numPr>
      <w:tabs>
        <w:tab w:val="num" w:pos="643"/>
      </w:tabs>
      <w:ind w:left="643" w:hanging="360"/>
    </w:pPr>
  </w:style>
  <w:style w:type="paragraph" w:customStyle="1" w:styleId="AODocTxtL7">
    <w:name w:val="AODocTxtL7"/>
    <w:basedOn w:val="AODocTxtCharChar"/>
    <w:rsid w:val="000C292F"/>
    <w:pPr>
      <w:numPr>
        <w:ilvl w:val="0"/>
        <w:numId w:val="0"/>
      </w:numPr>
      <w:tabs>
        <w:tab w:val="num" w:pos="643"/>
      </w:tabs>
      <w:ind w:left="643" w:hanging="360"/>
    </w:pPr>
  </w:style>
  <w:style w:type="paragraph" w:customStyle="1" w:styleId="AODocTxtL8">
    <w:name w:val="AODocTxtL8"/>
    <w:basedOn w:val="AODocTxtCharChar"/>
    <w:rsid w:val="000C292F"/>
    <w:pPr>
      <w:numPr>
        <w:ilvl w:val="0"/>
        <w:numId w:val="0"/>
      </w:numPr>
      <w:tabs>
        <w:tab w:val="num" w:pos="643"/>
      </w:tabs>
      <w:ind w:left="643" w:hanging="360"/>
    </w:pPr>
  </w:style>
  <w:style w:type="paragraph" w:customStyle="1" w:styleId="AOHeading2">
    <w:name w:val="AOHeading2"/>
    <w:basedOn w:val="Normln"/>
    <w:next w:val="Normln"/>
    <w:rsid w:val="000C292F"/>
    <w:pPr>
      <w:keepNext/>
      <w:spacing w:before="240" w:line="260" w:lineRule="atLeast"/>
      <w:outlineLvl w:val="1"/>
    </w:pPr>
    <w:rPr>
      <w:rFonts w:eastAsia="SimSun"/>
      <w:b/>
      <w:sz w:val="22"/>
      <w:szCs w:val="22"/>
      <w:lang w:val="en-GB" w:eastAsia="en-US"/>
    </w:rPr>
  </w:style>
  <w:style w:type="paragraph" w:customStyle="1" w:styleId="AOHeading6">
    <w:name w:val="AOHeading6"/>
    <w:basedOn w:val="Normln"/>
    <w:next w:val="Normln"/>
    <w:rsid w:val="000C292F"/>
    <w:pPr>
      <w:keepNext/>
      <w:spacing w:before="240" w:line="260" w:lineRule="atLeast"/>
      <w:outlineLvl w:val="5"/>
    </w:pPr>
    <w:rPr>
      <w:rFonts w:eastAsia="SimSun"/>
      <w:b/>
      <w:i/>
      <w:sz w:val="22"/>
      <w:szCs w:val="22"/>
      <w:lang w:val="en-GB" w:eastAsia="en-US"/>
    </w:rPr>
  </w:style>
  <w:style w:type="paragraph" w:customStyle="1" w:styleId="AODocTxt">
    <w:name w:val="AODocTxt"/>
    <w:basedOn w:val="Normln"/>
    <w:rsid w:val="000C292F"/>
    <w:pPr>
      <w:spacing w:before="240" w:line="260" w:lineRule="atLeast"/>
    </w:pPr>
    <w:rPr>
      <w:rFonts w:eastAsia="SimSun"/>
      <w:sz w:val="22"/>
      <w:szCs w:val="22"/>
      <w:lang w:val="en-GB" w:eastAsia="en-US"/>
    </w:rPr>
  </w:style>
  <w:style w:type="paragraph" w:customStyle="1" w:styleId="AONormal">
    <w:name w:val="AONormal"/>
    <w:rsid w:val="000C292F"/>
    <w:pPr>
      <w:spacing w:after="0" w:line="260" w:lineRule="atLeast"/>
    </w:pPr>
    <w:rPr>
      <w:rFonts w:ascii="Times New Roman" w:eastAsia="SimSun" w:hAnsi="Times New Roman" w:cs="Times New Roman"/>
      <w:lang w:val="en-GB"/>
    </w:rPr>
  </w:style>
  <w:style w:type="paragraph" w:customStyle="1" w:styleId="AOListNumber">
    <w:name w:val="AOListNumber"/>
    <w:basedOn w:val="Normln"/>
    <w:rsid w:val="000C292F"/>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ln"/>
    <w:rsid w:val="000C292F"/>
    <w:pPr>
      <w:numPr>
        <w:numId w:val="4"/>
      </w:numPr>
      <w:spacing w:before="240" w:line="260" w:lineRule="atLeast"/>
    </w:pPr>
    <w:rPr>
      <w:rFonts w:eastAsia="SimSun"/>
      <w:sz w:val="22"/>
      <w:szCs w:val="22"/>
      <w:lang w:val="en-GB" w:eastAsia="en-US"/>
    </w:rPr>
  </w:style>
  <w:style w:type="paragraph" w:customStyle="1" w:styleId="AOHeading4">
    <w:name w:val="AOHeading4"/>
    <w:basedOn w:val="Normln"/>
    <w:next w:val="AODocTxt"/>
    <w:rsid w:val="000C292F"/>
    <w:pPr>
      <w:keepNext/>
      <w:spacing w:before="240" w:line="260" w:lineRule="atLeast"/>
      <w:outlineLvl w:val="3"/>
    </w:pPr>
    <w:rPr>
      <w:rFonts w:eastAsia="SimSun"/>
      <w:i/>
      <w:sz w:val="22"/>
      <w:szCs w:val="22"/>
      <w:lang w:val="en-GB" w:eastAsia="en-US"/>
    </w:rPr>
  </w:style>
  <w:style w:type="paragraph" w:styleId="Obsah4">
    <w:name w:val="toc 4"/>
    <w:basedOn w:val="Normln"/>
    <w:next w:val="Normln"/>
    <w:autoRedefine/>
    <w:uiPriority w:val="39"/>
    <w:rsid w:val="000C292F"/>
    <w:pPr>
      <w:ind w:left="720"/>
    </w:pPr>
  </w:style>
  <w:style w:type="character" w:customStyle="1" w:styleId="platne1">
    <w:name w:val="platne1"/>
    <w:basedOn w:val="Standardnpsmoodstavce"/>
    <w:rsid w:val="000C292F"/>
  </w:style>
  <w:style w:type="paragraph" w:styleId="Zkladntext">
    <w:name w:val="Body Text"/>
    <w:basedOn w:val="Normln"/>
    <w:link w:val="ZkladntextChar"/>
    <w:rsid w:val="000C292F"/>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character" w:customStyle="1" w:styleId="ZkladntextChar">
    <w:name w:val="Základní text Char"/>
    <w:basedOn w:val="Standardnpsmoodstavce"/>
    <w:link w:val="Zkladntext"/>
    <w:rsid w:val="000C292F"/>
    <w:rPr>
      <w:rFonts w:ascii="Courier" w:eastAsia="Times New Roman" w:hAnsi="Courier" w:cs="Times New Roman"/>
      <w:spacing w:val="-3"/>
      <w:sz w:val="24"/>
      <w:szCs w:val="24"/>
    </w:rPr>
  </w:style>
  <w:style w:type="paragraph" w:customStyle="1" w:styleId="euroheading">
    <w:name w:val="euro heading"/>
    <w:basedOn w:val="Normln"/>
    <w:rsid w:val="000C292F"/>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ln"/>
    <w:rsid w:val="000C292F"/>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ln"/>
    <w:rsid w:val="000C292F"/>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ln"/>
    <w:rsid w:val="000C292F"/>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ln"/>
    <w:rsid w:val="000C292F"/>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Zhlav">
    <w:name w:val="header"/>
    <w:basedOn w:val="Normln"/>
    <w:link w:val="ZhlavChar"/>
    <w:rsid w:val="000C292F"/>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character" w:customStyle="1" w:styleId="ZhlavChar">
    <w:name w:val="Záhlaví Char"/>
    <w:basedOn w:val="Standardnpsmoodstavce"/>
    <w:link w:val="Zhlav"/>
    <w:rsid w:val="000C292F"/>
    <w:rPr>
      <w:rFonts w:eastAsia="Times New Roman" w:cs="Times New Roman"/>
      <w:sz w:val="20"/>
      <w:szCs w:val="20"/>
      <w:lang w:val="en-GB"/>
    </w:rPr>
  </w:style>
  <w:style w:type="paragraph" w:styleId="Zkladntextodsazen">
    <w:name w:val="Body Text Indent"/>
    <w:basedOn w:val="Normln"/>
    <w:link w:val="ZkladntextodsazenChar"/>
    <w:rsid w:val="000C292F"/>
    <w:pPr>
      <w:spacing w:after="120"/>
      <w:ind w:left="283"/>
    </w:pPr>
  </w:style>
  <w:style w:type="character" w:customStyle="1" w:styleId="ZkladntextodsazenChar">
    <w:name w:val="Základní text odsazený Char"/>
    <w:basedOn w:val="Standardnpsmoodstavce"/>
    <w:link w:val="Zkladntextodsazen"/>
    <w:rsid w:val="000C292F"/>
    <w:rPr>
      <w:rFonts w:eastAsia="Times New Roman" w:cs="Times New Roman"/>
      <w:sz w:val="24"/>
      <w:szCs w:val="24"/>
      <w:lang w:eastAsia="cs-CZ"/>
    </w:rPr>
  </w:style>
  <w:style w:type="paragraph" w:customStyle="1" w:styleId="Ne1">
    <w:name w:val="Ne1"/>
    <w:basedOn w:val="Normln"/>
    <w:next w:val="Ne2"/>
    <w:autoRedefine/>
    <w:rsid w:val="000C292F"/>
    <w:pPr>
      <w:keepNext/>
      <w:keepLines/>
      <w:numPr>
        <w:numId w:val="5"/>
      </w:numPr>
      <w:tabs>
        <w:tab w:val="left" w:pos="8640"/>
      </w:tabs>
      <w:overflowPunct w:val="0"/>
      <w:autoSpaceDE w:val="0"/>
      <w:autoSpaceDN w:val="0"/>
      <w:adjustRightInd w:val="0"/>
      <w:textAlignment w:val="baseline"/>
    </w:pPr>
    <w:rPr>
      <w:rFonts w:ascii="Arial" w:hAnsi="Arial" w:cs="Arial"/>
      <w:b/>
      <w:lang w:eastAsia="en-US"/>
    </w:rPr>
  </w:style>
  <w:style w:type="paragraph" w:customStyle="1" w:styleId="Ne2">
    <w:name w:val="Ne2"/>
    <w:basedOn w:val="Ne1"/>
    <w:next w:val="Ne3"/>
    <w:link w:val="Ne2Char"/>
    <w:rsid w:val="000C292F"/>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0C292F"/>
    <w:pPr>
      <w:tabs>
        <w:tab w:val="clear" w:pos="851"/>
        <w:tab w:val="left" w:pos="-108"/>
      </w:tabs>
      <w:ind w:left="851"/>
    </w:pPr>
  </w:style>
  <w:style w:type="character" w:customStyle="1" w:styleId="Ne2Char">
    <w:name w:val="Ne2 Char"/>
    <w:basedOn w:val="Standardnpsmoodstavce"/>
    <w:link w:val="Ne2"/>
    <w:rsid w:val="000C292F"/>
    <w:rPr>
      <w:rFonts w:ascii="Times New Roman" w:eastAsia="Times New Roman" w:hAnsi="Times New Roman" w:cs="Arial"/>
      <w:szCs w:val="24"/>
    </w:rPr>
  </w:style>
  <w:style w:type="paragraph" w:customStyle="1" w:styleId="Ne4">
    <w:name w:val="Ne4"/>
    <w:basedOn w:val="Ne2"/>
    <w:next w:val="Ne2"/>
    <w:rsid w:val="000C292F"/>
    <w:pPr>
      <w:spacing w:before="240"/>
    </w:pPr>
    <w:rPr>
      <w:i/>
      <w:iCs/>
    </w:rPr>
  </w:style>
  <w:style w:type="paragraph" w:customStyle="1" w:styleId="Ne0">
    <w:name w:val="Ne 0"/>
    <w:basedOn w:val="Ne1"/>
    <w:next w:val="Ne2"/>
    <w:autoRedefine/>
    <w:rsid w:val="000C292F"/>
    <w:pPr>
      <w:keepNext w:val="0"/>
      <w:keepLines w:val="0"/>
      <w:tabs>
        <w:tab w:val="clear" w:pos="540"/>
        <w:tab w:val="left" w:pos="480"/>
      </w:tabs>
      <w:spacing w:before="120"/>
    </w:pPr>
    <w:rPr>
      <w:bCs/>
    </w:rPr>
  </w:style>
  <w:style w:type="paragraph" w:styleId="Zkladntextodsazen2">
    <w:name w:val="Body Text Indent 2"/>
    <w:basedOn w:val="Normln"/>
    <w:link w:val="Zkladntextodsazen2Char"/>
    <w:rsid w:val="000C292F"/>
    <w:pPr>
      <w:overflowPunct w:val="0"/>
      <w:autoSpaceDE w:val="0"/>
      <w:autoSpaceDN w:val="0"/>
      <w:adjustRightInd w:val="0"/>
      <w:spacing w:before="120"/>
      <w:ind w:left="425"/>
      <w:textAlignment w:val="baseline"/>
    </w:pPr>
    <w:rPr>
      <w:rFonts w:ascii="Times" w:hAnsi="Times"/>
      <w:sz w:val="22"/>
      <w:szCs w:val="20"/>
      <w:lang w:val="en-GB" w:eastAsia="en-US"/>
    </w:rPr>
  </w:style>
  <w:style w:type="character" w:customStyle="1" w:styleId="Zkladntextodsazen2Char">
    <w:name w:val="Základní text odsazený 2 Char"/>
    <w:basedOn w:val="Standardnpsmoodstavce"/>
    <w:link w:val="Zkladntextodsazen2"/>
    <w:rsid w:val="000C292F"/>
    <w:rPr>
      <w:rFonts w:ascii="Times" w:eastAsia="Times New Roman" w:hAnsi="Times" w:cs="Times New Roman"/>
      <w:szCs w:val="20"/>
      <w:lang w:val="en-GB"/>
    </w:rPr>
  </w:style>
  <w:style w:type="paragraph" w:styleId="Zkladntextodsazen3">
    <w:name w:val="Body Text Indent 3"/>
    <w:basedOn w:val="Normln"/>
    <w:link w:val="Zkladntextodsazen3Char"/>
    <w:rsid w:val="000C292F"/>
    <w:pPr>
      <w:spacing w:before="120" w:line="240" w:lineRule="atLeast"/>
      <w:ind w:left="426"/>
    </w:pPr>
    <w:rPr>
      <w:szCs w:val="20"/>
      <w:lang w:eastAsia="en-US"/>
    </w:rPr>
  </w:style>
  <w:style w:type="character" w:customStyle="1" w:styleId="Zkladntextodsazen3Char">
    <w:name w:val="Základní text odsazený 3 Char"/>
    <w:basedOn w:val="Standardnpsmoodstavce"/>
    <w:link w:val="Zkladntextodsazen3"/>
    <w:rsid w:val="000C292F"/>
    <w:rPr>
      <w:rFonts w:eastAsia="Times New Roman" w:cs="Times New Roman"/>
      <w:sz w:val="24"/>
      <w:szCs w:val="20"/>
    </w:rPr>
  </w:style>
  <w:style w:type="paragraph" w:customStyle="1" w:styleId="CVtextheader1">
    <w:name w:val="CV text  header 1"/>
    <w:link w:val="CVtextheader1Char"/>
    <w:rsid w:val="000C292F"/>
    <w:pPr>
      <w:spacing w:before="120" w:after="0" w:line="280" w:lineRule="atLeast"/>
      <w:ind w:left="567"/>
      <w:jc w:val="both"/>
    </w:pPr>
    <w:rPr>
      <w:rFonts w:ascii="Times New Roman" w:eastAsia="Times New Roman" w:hAnsi="Times New Roman" w:cs="Times New Roman"/>
      <w:szCs w:val="24"/>
    </w:rPr>
  </w:style>
  <w:style w:type="character" w:customStyle="1" w:styleId="CVtextheader1Char">
    <w:name w:val="CV text  header 1 Char"/>
    <w:basedOn w:val="Standardnpsmoodstavce"/>
    <w:link w:val="CVtextheader1"/>
    <w:rsid w:val="000C292F"/>
    <w:rPr>
      <w:rFonts w:ascii="Times New Roman" w:eastAsia="Times New Roman" w:hAnsi="Times New Roman" w:cs="Times New Roman"/>
      <w:szCs w:val="24"/>
    </w:rPr>
  </w:style>
  <w:style w:type="table" w:customStyle="1" w:styleId="CVtable1header1">
    <w:name w:val="CV table 1 header 1"/>
    <w:basedOn w:val="Normlntabulka"/>
    <w:rsid w:val="000C292F"/>
    <w:pPr>
      <w:spacing w:before="60" w:after="60" w:line="240" w:lineRule="auto"/>
      <w:jc w:val="right"/>
    </w:pPr>
    <w:rPr>
      <w:rFonts w:ascii="Times New Roman" w:eastAsia="Times New Roman" w:hAnsi="Times New Roman" w:cs="Times New Roman"/>
      <w:sz w:val="18"/>
      <w:szCs w:val="20"/>
      <w:lang w:eastAsia="cs-CZ"/>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0C292F"/>
    <w:pPr>
      <w:spacing w:after="0" w:line="240" w:lineRule="auto"/>
    </w:pPr>
    <w:rPr>
      <w:rFonts w:ascii="Times New Roman" w:eastAsia="Times New Roman" w:hAnsi="Times New Roman" w:cs="Times New Roman"/>
      <w:sz w:val="18"/>
      <w:szCs w:val="18"/>
    </w:rPr>
  </w:style>
  <w:style w:type="paragraph" w:customStyle="1" w:styleId="CVbodytablerowheader">
    <w:name w:val="CV body table row header"/>
    <w:rsid w:val="000C292F"/>
    <w:pPr>
      <w:spacing w:after="0" w:line="240" w:lineRule="auto"/>
      <w:jc w:val="right"/>
    </w:pPr>
    <w:rPr>
      <w:rFonts w:ascii="Times New Roman" w:eastAsia="Times New Roman" w:hAnsi="Times New Roman" w:cs="Times New Roman"/>
      <w:sz w:val="18"/>
      <w:szCs w:val="18"/>
    </w:rPr>
  </w:style>
  <w:style w:type="paragraph" w:styleId="Textkomente">
    <w:name w:val="annotation text"/>
    <w:basedOn w:val="Normln"/>
    <w:link w:val="TextkomenteChar"/>
    <w:uiPriority w:val="99"/>
    <w:semiHidden/>
    <w:rsid w:val="000C292F"/>
    <w:rPr>
      <w:sz w:val="20"/>
      <w:szCs w:val="20"/>
    </w:rPr>
  </w:style>
  <w:style w:type="character" w:customStyle="1" w:styleId="TextkomenteChar">
    <w:name w:val="Text komentáře Char"/>
    <w:basedOn w:val="Standardnpsmoodstavce"/>
    <w:link w:val="Textkomente"/>
    <w:uiPriority w:val="99"/>
    <w:semiHidden/>
    <w:rsid w:val="000C292F"/>
    <w:rPr>
      <w:rFonts w:eastAsia="Times New Roman" w:cs="Times New Roman"/>
      <w:sz w:val="20"/>
      <w:szCs w:val="20"/>
      <w:lang w:eastAsia="cs-CZ"/>
    </w:rPr>
  </w:style>
  <w:style w:type="paragraph" w:customStyle="1" w:styleId="SPPbasic">
    <w:name w:val="SPP_basic"/>
    <w:basedOn w:val="Normln"/>
    <w:rsid w:val="000C292F"/>
    <w:pPr>
      <w:suppressAutoHyphens/>
      <w:spacing w:before="240"/>
      <w:ind w:left="567"/>
    </w:pPr>
    <w:rPr>
      <w:sz w:val="22"/>
      <w:szCs w:val="22"/>
      <w:lang w:eastAsia="en-US"/>
    </w:rPr>
  </w:style>
  <w:style w:type="paragraph" w:customStyle="1" w:styleId="BodyText31">
    <w:name w:val="Body Text 31"/>
    <w:basedOn w:val="Normln"/>
    <w:link w:val="BodyText31Char"/>
    <w:rsid w:val="000C292F"/>
    <w:pPr>
      <w:overflowPunct w:val="0"/>
      <w:autoSpaceDE w:val="0"/>
      <w:autoSpaceDN w:val="0"/>
      <w:adjustRightInd w:val="0"/>
      <w:spacing w:before="120" w:line="240" w:lineRule="atLeast"/>
      <w:textAlignment w:val="baseline"/>
    </w:pPr>
    <w:rPr>
      <w:rFonts w:ascii="Arial" w:hAnsi="Arial"/>
    </w:rPr>
  </w:style>
  <w:style w:type="character" w:customStyle="1" w:styleId="BodyText31Char">
    <w:name w:val="Body Text 31 Char"/>
    <w:basedOn w:val="Standardnpsmoodstavce"/>
    <w:link w:val="BodyText31"/>
    <w:rsid w:val="000C292F"/>
    <w:rPr>
      <w:rFonts w:ascii="Arial" w:eastAsia="Times New Roman" w:hAnsi="Arial" w:cs="Times New Roman"/>
      <w:sz w:val="24"/>
      <w:szCs w:val="24"/>
      <w:lang w:eastAsia="cs-CZ"/>
    </w:rPr>
  </w:style>
  <w:style w:type="character" w:styleId="Odkaznakoment">
    <w:name w:val="annotation reference"/>
    <w:basedOn w:val="Standardnpsmoodstavce"/>
    <w:semiHidden/>
    <w:rsid w:val="000C292F"/>
    <w:rPr>
      <w:sz w:val="16"/>
      <w:szCs w:val="16"/>
    </w:rPr>
  </w:style>
  <w:style w:type="character" w:customStyle="1" w:styleId="editace2">
    <w:name w:val="editace2"/>
    <w:basedOn w:val="Standardnpsmoodstavce"/>
    <w:rsid w:val="000C292F"/>
    <w:rPr>
      <w:b/>
      <w:bCs/>
      <w:strike/>
      <w:dstrike w:val="0"/>
      <w:color w:val="FF0000"/>
      <w:vertAlign w:val="baseline"/>
      <w:lang w:val="en-GB"/>
    </w:rPr>
  </w:style>
  <w:style w:type="paragraph" w:customStyle="1" w:styleId="Style1">
    <w:name w:val="Style1"/>
    <w:basedOn w:val="Normln"/>
    <w:next w:val="Normln"/>
    <w:rsid w:val="000C292F"/>
    <w:pPr>
      <w:ind w:left="600"/>
    </w:pPr>
    <w:rPr>
      <w:rFonts w:cs="Arial"/>
      <w:color w:val="000080"/>
      <w:u w:val="single"/>
      <w:lang w:val="en-GB" w:eastAsia="en-US"/>
    </w:rPr>
  </w:style>
  <w:style w:type="paragraph" w:customStyle="1" w:styleId="CVtextheader2italics">
    <w:name w:val="CV text header 2 italics"/>
    <w:rsid w:val="000C292F"/>
    <w:pPr>
      <w:spacing w:before="120" w:after="0" w:line="280" w:lineRule="atLeast"/>
      <w:ind w:left="1134"/>
      <w:jc w:val="both"/>
    </w:pPr>
    <w:rPr>
      <w:rFonts w:ascii="Times New Roman" w:eastAsia="Times New Roman" w:hAnsi="Times New Roman" w:cs="Times New Roman"/>
      <w:i/>
      <w:szCs w:val="20"/>
    </w:rPr>
  </w:style>
  <w:style w:type="paragraph" w:styleId="Pedmtkomente">
    <w:name w:val="annotation subject"/>
    <w:basedOn w:val="Textkomente"/>
    <w:next w:val="Textkomente"/>
    <w:link w:val="PedmtkomenteChar"/>
    <w:semiHidden/>
    <w:rsid w:val="000C292F"/>
    <w:rPr>
      <w:b/>
      <w:bCs/>
      <w:lang w:val="en-US" w:eastAsia="en-US"/>
    </w:rPr>
  </w:style>
  <w:style w:type="character" w:customStyle="1" w:styleId="PedmtkomenteChar">
    <w:name w:val="Předmět komentáře Char"/>
    <w:basedOn w:val="TextkomenteChar"/>
    <w:link w:val="Pedmtkomente"/>
    <w:semiHidden/>
    <w:rsid w:val="000C292F"/>
    <w:rPr>
      <w:rFonts w:eastAsia="Times New Roman" w:cs="Times New Roman"/>
      <w:b/>
      <w:bCs/>
      <w:sz w:val="20"/>
      <w:szCs w:val="20"/>
      <w:lang w:val="en-US" w:eastAsia="cs-CZ"/>
    </w:rPr>
  </w:style>
  <w:style w:type="paragraph" w:customStyle="1" w:styleId="AODocTxtChar">
    <w:name w:val="AODocTxt Char"/>
    <w:basedOn w:val="Normln"/>
    <w:rsid w:val="000C292F"/>
    <w:pPr>
      <w:spacing w:before="240" w:line="260" w:lineRule="atLeast"/>
    </w:pPr>
    <w:rPr>
      <w:rFonts w:eastAsia="SimSun"/>
      <w:sz w:val="22"/>
      <w:szCs w:val="22"/>
      <w:lang w:val="en-GB" w:eastAsia="en-US"/>
    </w:rPr>
  </w:style>
  <w:style w:type="table" w:styleId="Mkatabulky8">
    <w:name w:val="Table Grid 8"/>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ln"/>
    <w:next w:val="AODocTxt"/>
    <w:rsid w:val="000C292F"/>
    <w:pPr>
      <w:numPr>
        <w:numId w:val="6"/>
      </w:numPr>
      <w:spacing w:before="240" w:line="260" w:lineRule="atLeast"/>
    </w:pPr>
    <w:rPr>
      <w:rFonts w:eastAsia="SimSun"/>
      <w:sz w:val="22"/>
      <w:szCs w:val="22"/>
      <w:lang w:val="fr-FR" w:eastAsia="en-US"/>
    </w:rPr>
  </w:style>
  <w:style w:type="paragraph" w:customStyle="1" w:styleId="AOHead1">
    <w:name w:val="AOHead1"/>
    <w:basedOn w:val="Normln"/>
    <w:next w:val="AODocTxtL1"/>
    <w:rsid w:val="000C292F"/>
    <w:pPr>
      <w:keepNext/>
      <w:numPr>
        <w:ilvl w:val="1"/>
        <w:numId w:val="7"/>
      </w:numPr>
      <w:tabs>
        <w:tab w:val="clear" w:pos="862"/>
        <w:tab w:val="num" w:pos="720"/>
      </w:tabs>
      <w:spacing w:before="240" w:line="260" w:lineRule="atLeast"/>
      <w:ind w:left="720"/>
      <w:outlineLvl w:val="0"/>
    </w:pPr>
    <w:rPr>
      <w:rFonts w:eastAsia="SimSun"/>
      <w:b/>
      <w:caps/>
      <w:kern w:val="28"/>
      <w:sz w:val="22"/>
      <w:szCs w:val="22"/>
      <w:lang w:val="fr-FR" w:eastAsia="en-US"/>
    </w:rPr>
  </w:style>
  <w:style w:type="paragraph" w:customStyle="1" w:styleId="AOHead2">
    <w:name w:val="AOHead2"/>
    <w:basedOn w:val="Normln"/>
    <w:next w:val="AODocTxtL1"/>
    <w:rsid w:val="000C292F"/>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ln"/>
    <w:next w:val="AODocTxtL2"/>
    <w:rsid w:val="000C292F"/>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ln"/>
    <w:next w:val="AODocTxtL3"/>
    <w:rsid w:val="000C292F"/>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ln"/>
    <w:next w:val="AODocTxtL4"/>
    <w:rsid w:val="000C292F"/>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ln"/>
    <w:next w:val="AODocTxtL5"/>
    <w:rsid w:val="000C292F"/>
    <w:pPr>
      <w:tabs>
        <w:tab w:val="num" w:pos="3600"/>
      </w:tabs>
      <w:spacing w:before="240" w:line="260" w:lineRule="atLeast"/>
      <w:ind w:left="3600" w:hanging="720"/>
      <w:outlineLvl w:val="5"/>
    </w:pPr>
    <w:rPr>
      <w:rFonts w:eastAsia="SimSun"/>
      <w:sz w:val="22"/>
      <w:szCs w:val="22"/>
      <w:lang w:val="fr-FR" w:eastAsia="en-US"/>
    </w:rPr>
  </w:style>
  <w:style w:type="paragraph" w:styleId="Rozloendokumentu">
    <w:name w:val="Document Map"/>
    <w:basedOn w:val="Normln"/>
    <w:link w:val="RozloendokumentuChar"/>
    <w:semiHidden/>
    <w:rsid w:val="000C292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C292F"/>
    <w:rPr>
      <w:rFonts w:ascii="Tahoma" w:eastAsia="Times New Roman" w:hAnsi="Tahoma" w:cs="Tahoma"/>
      <w:sz w:val="24"/>
      <w:szCs w:val="24"/>
      <w:shd w:val="clear" w:color="auto" w:fill="000080"/>
      <w:lang w:eastAsia="cs-CZ"/>
    </w:rPr>
  </w:style>
  <w:style w:type="paragraph" w:customStyle="1" w:styleId="aodoctxt0">
    <w:name w:val="aodoctxt"/>
    <w:basedOn w:val="Normln"/>
    <w:rsid w:val="000C292F"/>
  </w:style>
  <w:style w:type="paragraph" w:styleId="z-Zatekformule">
    <w:name w:val="HTML Top of Form"/>
    <w:basedOn w:val="Normln"/>
    <w:next w:val="Normln"/>
    <w:link w:val="z-ZatekformuleChar"/>
    <w:hidden/>
    <w:rsid w:val="000C292F"/>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0C292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0C292F"/>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0C292F"/>
    <w:rPr>
      <w:rFonts w:ascii="Arial" w:eastAsia="Times New Roman" w:hAnsi="Arial" w:cs="Arial"/>
      <w:vanish/>
      <w:sz w:val="16"/>
      <w:szCs w:val="16"/>
      <w:lang w:eastAsia="cs-CZ"/>
    </w:rPr>
  </w:style>
  <w:style w:type="character" w:customStyle="1" w:styleId="vcblt1">
    <w:name w:val="vcb_lt1"/>
    <w:basedOn w:val="Standardnpsmoodstavce"/>
    <w:rsid w:val="000C292F"/>
    <w:rPr>
      <w:rFonts w:ascii="Arial" w:hAnsi="Arial" w:cs="Arial" w:hint="default"/>
      <w:b w:val="0"/>
      <w:bCs w:val="0"/>
      <w:strike w:val="0"/>
      <w:dstrike w:val="0"/>
      <w:color w:val="0000FF"/>
      <w:sz w:val="20"/>
      <w:szCs w:val="20"/>
      <w:u w:val="none"/>
      <w:effect w:val="none"/>
    </w:rPr>
  </w:style>
  <w:style w:type="character" w:customStyle="1" w:styleId="vcbrt1">
    <w:name w:val="vcb_rt1"/>
    <w:basedOn w:val="Standardnpsmoodstavce"/>
    <w:rsid w:val="000C292F"/>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0C292F"/>
    <w:rPr>
      <w:color w:val="0000FF"/>
      <w:spacing w:val="0"/>
      <w:u w:val="double"/>
    </w:rPr>
  </w:style>
  <w:style w:type="paragraph" w:customStyle="1" w:styleId="CM38">
    <w:name w:val="CM38"/>
    <w:basedOn w:val="Normln"/>
    <w:next w:val="Normln"/>
    <w:uiPriority w:val="99"/>
    <w:rsid w:val="000C292F"/>
    <w:pPr>
      <w:widowControl w:val="0"/>
      <w:autoSpaceDE w:val="0"/>
      <w:autoSpaceDN w:val="0"/>
      <w:adjustRightInd w:val="0"/>
    </w:pPr>
    <w:rPr>
      <w:rFonts w:ascii="EurostileTEEBla" w:hAnsi="EurostileTEEBla"/>
    </w:rPr>
  </w:style>
  <w:style w:type="paragraph" w:customStyle="1" w:styleId="CM42">
    <w:name w:val="CM42"/>
    <w:basedOn w:val="Normln"/>
    <w:next w:val="Normln"/>
    <w:uiPriority w:val="99"/>
    <w:rsid w:val="000C292F"/>
    <w:pPr>
      <w:widowControl w:val="0"/>
      <w:autoSpaceDE w:val="0"/>
      <w:autoSpaceDN w:val="0"/>
      <w:adjustRightInd w:val="0"/>
    </w:pPr>
    <w:rPr>
      <w:rFonts w:ascii="EurostileTEEBla" w:hAnsi="EurostileTEEBla"/>
    </w:rPr>
  </w:style>
  <w:style w:type="character" w:styleId="Sledovanodkaz">
    <w:name w:val="FollowedHyperlink"/>
    <w:basedOn w:val="Standardnpsmoodstavce"/>
    <w:rsid w:val="000C292F"/>
    <w:rPr>
      <w:color w:val="800080"/>
      <w:u w:val="single"/>
    </w:rPr>
  </w:style>
  <w:style w:type="paragraph" w:customStyle="1" w:styleId="Odstavecseseznamem1">
    <w:name w:val="Odstavec se seznamem1"/>
    <w:basedOn w:val="Normln"/>
    <w:rsid w:val="000C292F"/>
    <w:pPr>
      <w:spacing w:after="200" w:line="276" w:lineRule="auto"/>
      <w:ind w:left="720"/>
      <w:contextualSpacing/>
    </w:pPr>
    <w:rPr>
      <w:rFonts w:ascii="Calibri" w:hAnsi="Calibri"/>
      <w:sz w:val="22"/>
      <w:szCs w:val="22"/>
      <w:lang w:eastAsia="en-US"/>
    </w:rPr>
  </w:style>
  <w:style w:type="paragraph" w:styleId="Nadpisobsahu">
    <w:name w:val="TOC Heading"/>
    <w:basedOn w:val="Nadpis1"/>
    <w:next w:val="Normln"/>
    <w:uiPriority w:val="39"/>
    <w:unhideWhenUsed/>
    <w:qFormat/>
    <w:rsid w:val="000C292F"/>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Bezmezer">
    <w:name w:val="No Spacing"/>
    <w:link w:val="BezmezerChar"/>
    <w:uiPriority w:val="1"/>
    <w:qFormat/>
    <w:rsid w:val="000C292F"/>
    <w:pPr>
      <w:spacing w:after="0" w:line="240" w:lineRule="auto"/>
    </w:pPr>
    <w:rPr>
      <w:rFonts w:eastAsiaTheme="minorEastAsia"/>
    </w:rPr>
  </w:style>
  <w:style w:type="character" w:customStyle="1" w:styleId="BezmezerChar">
    <w:name w:val="Bez mezer Char"/>
    <w:basedOn w:val="Standardnpsmoodstavce"/>
    <w:link w:val="Bezmezer"/>
    <w:uiPriority w:val="1"/>
    <w:rsid w:val="000C292F"/>
    <w:rPr>
      <w:rFonts w:eastAsiaTheme="minorEastAsia"/>
    </w:rPr>
  </w:style>
  <w:style w:type="paragraph" w:styleId="Odstavecseseznamem">
    <w:name w:val="List Paragraph"/>
    <w:basedOn w:val="Normln"/>
    <w:uiPriority w:val="34"/>
    <w:qFormat/>
    <w:rsid w:val="000C292F"/>
    <w:pPr>
      <w:ind w:left="720"/>
      <w:contextualSpacing/>
    </w:pPr>
  </w:style>
  <w:style w:type="paragraph" w:styleId="Revize">
    <w:name w:val="Revision"/>
    <w:hidden/>
    <w:uiPriority w:val="99"/>
    <w:semiHidden/>
    <w:rsid w:val="000C292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20153">
      <w:bodyDiv w:val="1"/>
      <w:marLeft w:val="0"/>
      <w:marRight w:val="0"/>
      <w:marTop w:val="0"/>
      <w:marBottom w:val="0"/>
      <w:divBdr>
        <w:top w:val="none" w:sz="0" w:space="0" w:color="auto"/>
        <w:left w:val="none" w:sz="0" w:space="0" w:color="auto"/>
        <w:bottom w:val="none" w:sz="0" w:space="0" w:color="auto"/>
        <w:right w:val="none" w:sz="0" w:space="0" w:color="auto"/>
      </w:divBdr>
    </w:div>
    <w:div w:id="884869173">
      <w:bodyDiv w:val="1"/>
      <w:marLeft w:val="0"/>
      <w:marRight w:val="0"/>
      <w:marTop w:val="0"/>
      <w:marBottom w:val="0"/>
      <w:divBdr>
        <w:top w:val="none" w:sz="0" w:space="0" w:color="auto"/>
        <w:left w:val="none" w:sz="0" w:space="0" w:color="auto"/>
        <w:bottom w:val="none" w:sz="0" w:space="0" w:color="auto"/>
        <w:right w:val="none" w:sz="0" w:space="0" w:color="auto"/>
      </w:divBdr>
    </w:div>
    <w:div w:id="1098866791">
      <w:bodyDiv w:val="1"/>
      <w:marLeft w:val="0"/>
      <w:marRight w:val="0"/>
      <w:marTop w:val="0"/>
      <w:marBottom w:val="0"/>
      <w:divBdr>
        <w:top w:val="none" w:sz="0" w:space="0" w:color="auto"/>
        <w:left w:val="none" w:sz="0" w:space="0" w:color="auto"/>
        <w:bottom w:val="none" w:sz="0" w:space="0" w:color="auto"/>
        <w:right w:val="none" w:sz="0" w:space="0" w:color="auto"/>
      </w:divBdr>
    </w:div>
    <w:div w:id="1143087212">
      <w:bodyDiv w:val="1"/>
      <w:marLeft w:val="0"/>
      <w:marRight w:val="0"/>
      <w:marTop w:val="0"/>
      <w:marBottom w:val="0"/>
      <w:divBdr>
        <w:top w:val="none" w:sz="0" w:space="0" w:color="auto"/>
        <w:left w:val="none" w:sz="0" w:space="0" w:color="auto"/>
        <w:bottom w:val="none" w:sz="0" w:space="0" w:color="auto"/>
        <w:right w:val="none" w:sz="0" w:space="0" w:color="auto"/>
      </w:divBdr>
    </w:div>
    <w:div w:id="1575894877">
      <w:bodyDiv w:val="1"/>
      <w:marLeft w:val="0"/>
      <w:marRight w:val="0"/>
      <w:marTop w:val="0"/>
      <w:marBottom w:val="0"/>
      <w:divBdr>
        <w:top w:val="none" w:sz="0" w:space="0" w:color="auto"/>
        <w:left w:val="none" w:sz="0" w:space="0" w:color="auto"/>
        <w:bottom w:val="none" w:sz="0" w:space="0" w:color="auto"/>
        <w:right w:val="none" w:sz="0" w:space="0" w:color="auto"/>
      </w:divBdr>
    </w:div>
    <w:div w:id="1743524165">
      <w:bodyDiv w:val="1"/>
      <w:marLeft w:val="0"/>
      <w:marRight w:val="0"/>
      <w:marTop w:val="0"/>
      <w:marBottom w:val="0"/>
      <w:divBdr>
        <w:top w:val="none" w:sz="0" w:space="0" w:color="auto"/>
        <w:left w:val="none" w:sz="0" w:space="0" w:color="auto"/>
        <w:bottom w:val="none" w:sz="0" w:space="0" w:color="auto"/>
        <w:right w:val="none" w:sz="0" w:space="0" w:color="auto"/>
      </w:divBdr>
    </w:div>
    <w:div w:id="183856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D7B60-FAB6-47CF-9F44-53F1C3FD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37</Pages>
  <Words>9268</Words>
  <Characters>54685</Characters>
  <Application>Microsoft Office Word</Application>
  <DocSecurity>0</DocSecurity>
  <Lines>455</Lines>
  <Paragraphs>127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63826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Ministrova</dc:creator>
  <cp:keywords/>
  <dc:description/>
  <cp:lastModifiedBy>Lenka Ministrova</cp:lastModifiedBy>
  <cp:revision>23</cp:revision>
  <cp:lastPrinted>2018-08-22T09:48:00Z</cp:lastPrinted>
  <dcterms:created xsi:type="dcterms:W3CDTF">2018-08-15T13:03:00Z</dcterms:created>
  <dcterms:modified xsi:type="dcterms:W3CDTF">2018-08-23T05:38:00Z</dcterms:modified>
</cp:coreProperties>
</file>