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14554255"/>
        <w:docPartObj>
          <w:docPartGallery w:val="Cover Pages"/>
          <w:docPartUnique/>
        </w:docPartObj>
      </w:sdtPr>
      <w:sdtEndPr>
        <w:rPr>
          <w:b w:val="0"/>
          <w:bCs w:val="0"/>
        </w:rPr>
      </w:sdtEndPr>
      <w:sdtContent>
        <w:bookmarkStart w:id="0" w:name="_GoBack" w:displacedByCustomXml="prev"/>
        <w:bookmarkEnd w:id="0" w:displacedByCustomXml="prev"/>
        <w:p w:rsidR="007A3749" w:rsidRDefault="00B2408D" w:rsidP="00100F32">
          <w:r>
            <w:rPr>
              <w:noProof/>
              <w:lang w:val="en-US" w:eastAsia="en-US"/>
            </w:rPr>
            <w:drawing>
              <wp:anchor distT="0" distB="0" distL="114300" distR="114300" simplePos="0" relativeHeight="251665408" behindDoc="1" locked="0" layoutInCell="1" allowOverlap="1" wp14:anchorId="2FA98F2A" wp14:editId="16E60644">
                <wp:simplePos x="0" y="0"/>
                <wp:positionH relativeFrom="column">
                  <wp:posOffset>3916045</wp:posOffset>
                </wp:positionH>
                <wp:positionV relativeFrom="paragraph">
                  <wp:posOffset>-328295</wp:posOffset>
                </wp:positionV>
                <wp:extent cx="2162175" cy="504825"/>
                <wp:effectExtent l="0" t="0" r="9525" b="9525"/>
                <wp:wrapTight wrapText="bothSides">
                  <wp:wrapPolygon edited="0">
                    <wp:start x="0" y="0"/>
                    <wp:lineTo x="0" y="21192"/>
                    <wp:lineTo x="21505" y="21192"/>
                    <wp:lineTo x="21505" y="0"/>
                    <wp:lineTo x="0" y="0"/>
                  </wp:wrapPolygon>
                </wp:wrapTight>
                <wp:docPr id="3" name="Obrázek 2" descr="~212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68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749" w:rsidRDefault="007A3749" w:rsidP="00100F32"/>
        <w:p w:rsidR="007A3749" w:rsidRDefault="007A3749" w:rsidP="00100F32"/>
        <w:p w:rsidR="007A3749" w:rsidRDefault="007A3749" w:rsidP="00100F32"/>
        <w:p w:rsidR="007A3749" w:rsidRDefault="007A3749" w:rsidP="00100F32"/>
        <w:p w:rsidR="007A3749" w:rsidRDefault="007A3749" w:rsidP="00100F32"/>
        <w:p w:rsidR="007A3749" w:rsidRDefault="007A3749" w:rsidP="00100F32"/>
        <w:p w:rsidR="007A3749" w:rsidRDefault="007A3749" w:rsidP="00100F32"/>
        <w:p w:rsidR="007A3749" w:rsidRPr="00856740" w:rsidRDefault="007A3749" w:rsidP="00100F32">
          <w:pPr>
            <w:jc w:val="right"/>
            <w:rPr>
              <w:rStyle w:val="Emphasis"/>
              <w:b/>
              <w:i w:val="0"/>
              <w:sz w:val="56"/>
              <w:szCs w:val="56"/>
            </w:rPr>
          </w:pPr>
          <w:r w:rsidRPr="00856740">
            <w:rPr>
              <w:rStyle w:val="Emphasis"/>
              <w:b/>
              <w:i w:val="0"/>
              <w:sz w:val="56"/>
              <w:szCs w:val="56"/>
            </w:rPr>
            <w:t>PEGAS NONWOVENS SA</w:t>
          </w:r>
        </w:p>
        <w:p w:rsidR="007A3749" w:rsidRPr="00856740" w:rsidRDefault="007A3749" w:rsidP="00100F32">
          <w:pPr>
            <w:jc w:val="right"/>
            <w:rPr>
              <w:rStyle w:val="Emphasis"/>
              <w:b/>
              <w:i w:val="0"/>
              <w:sz w:val="40"/>
              <w:szCs w:val="40"/>
            </w:rPr>
          </w:pPr>
          <w:r w:rsidRPr="00856740">
            <w:rPr>
              <w:rStyle w:val="Emphasis"/>
              <w:b/>
              <w:i w:val="0"/>
              <w:sz w:val="40"/>
              <w:szCs w:val="40"/>
            </w:rPr>
            <w:t>POLOLETNÍ ZPRÁVA</w:t>
          </w:r>
        </w:p>
        <w:p w:rsidR="007A3749" w:rsidRPr="00856740" w:rsidRDefault="007A3749" w:rsidP="00100F32">
          <w:pPr>
            <w:jc w:val="right"/>
            <w:rPr>
              <w:rStyle w:val="Emphasis"/>
              <w:b/>
              <w:i w:val="0"/>
            </w:rPr>
          </w:pPr>
          <w:r w:rsidRPr="00856740">
            <w:rPr>
              <w:rStyle w:val="Emphasis"/>
              <w:b/>
              <w:i w:val="0"/>
              <w:sz w:val="40"/>
              <w:szCs w:val="40"/>
            </w:rPr>
            <w:t>201</w:t>
          </w:r>
          <w:r w:rsidR="001D2103">
            <w:rPr>
              <w:rStyle w:val="Emphasis"/>
              <w:b/>
              <w:i w:val="0"/>
              <w:sz w:val="40"/>
              <w:szCs w:val="40"/>
            </w:rPr>
            <w:t>7</w:t>
          </w:r>
        </w:p>
        <w:p w:rsidR="007A3749" w:rsidRDefault="007A3749" w:rsidP="00100F32">
          <w:pPr>
            <w:jc w:val="right"/>
          </w:pPr>
        </w:p>
        <w:p w:rsidR="007A3749" w:rsidRDefault="007A3749" w:rsidP="00100F32">
          <w:pPr>
            <w:jc w:val="right"/>
          </w:pPr>
        </w:p>
        <w:p w:rsidR="007A3749" w:rsidRDefault="007A3749" w:rsidP="00100F32">
          <w:pPr>
            <w:jc w:val="right"/>
          </w:pPr>
        </w:p>
        <w:p w:rsidR="007A3749" w:rsidRDefault="007A3749" w:rsidP="00100F32">
          <w:pPr>
            <w:jc w:val="right"/>
          </w:pPr>
        </w:p>
        <w:p w:rsidR="00FA0E74" w:rsidRDefault="00FA0E74" w:rsidP="00100F32">
          <w:pPr>
            <w:jc w:val="right"/>
            <w:rPr>
              <w:rFonts w:cs="Arial"/>
            </w:rPr>
          </w:pPr>
        </w:p>
        <w:p w:rsidR="00FA0E74" w:rsidRDefault="00FA0E74" w:rsidP="00100F32">
          <w:pPr>
            <w:jc w:val="right"/>
            <w:rPr>
              <w:rFonts w:cs="Arial"/>
            </w:rPr>
          </w:pPr>
        </w:p>
        <w:p w:rsidR="00FA0E74" w:rsidRDefault="00FA0E74" w:rsidP="00100F32">
          <w:pPr>
            <w:jc w:val="right"/>
            <w:rPr>
              <w:rFonts w:cs="Arial"/>
            </w:rPr>
          </w:pPr>
        </w:p>
        <w:p w:rsidR="009843DC" w:rsidRPr="00781223" w:rsidRDefault="007A3749" w:rsidP="00100F32">
          <w:pPr>
            <w:jc w:val="right"/>
          </w:pPr>
          <w:r w:rsidRPr="00781223">
            <w:rPr>
              <w:rFonts w:cs="Arial"/>
            </w:rPr>
            <w:t>2</w:t>
          </w:r>
          <w:r w:rsidR="001D2103">
            <w:t>4</w:t>
          </w:r>
          <w:r w:rsidRPr="00781223">
            <w:rPr>
              <w:rFonts w:cs="Arial"/>
            </w:rPr>
            <w:t xml:space="preserve">. </w:t>
          </w:r>
          <w:r w:rsidRPr="00781223">
            <w:t>srpna</w:t>
          </w:r>
          <w:r w:rsidRPr="00781223">
            <w:rPr>
              <w:rFonts w:cs="Arial"/>
            </w:rPr>
            <w:t xml:space="preserve"> 201</w:t>
          </w:r>
          <w:r w:rsidR="001D2103">
            <w:rPr>
              <w:rFonts w:cs="Arial"/>
            </w:rPr>
            <w:t>7</w:t>
          </w:r>
          <w:r w:rsidR="009843DC" w:rsidRPr="00781223">
            <w:br w:type="page"/>
          </w:r>
        </w:p>
      </w:sdtContent>
    </w:sdt>
    <w:p w:rsidR="001370D9" w:rsidRPr="007A542A" w:rsidRDefault="001370D9" w:rsidP="00100F32"/>
    <w:sdt>
      <w:sdtPr>
        <w:rPr>
          <w:rFonts w:asciiTheme="minorHAnsi" w:eastAsia="Times New Roman" w:hAnsiTheme="minorHAnsi" w:cs="Times New Roman"/>
          <w:b w:val="0"/>
          <w:bCs w:val="0"/>
          <w:color w:val="auto"/>
          <w:sz w:val="24"/>
          <w:szCs w:val="24"/>
          <w:lang w:eastAsia="cs-CZ"/>
        </w:rPr>
        <w:id w:val="1866167944"/>
        <w:docPartObj>
          <w:docPartGallery w:val="Table of Contents"/>
          <w:docPartUnique/>
        </w:docPartObj>
      </w:sdtPr>
      <w:sdtEndPr>
        <w:rPr>
          <w:noProof/>
        </w:rPr>
      </w:sdtEndPr>
      <w:sdtContent>
        <w:p w:rsidR="00FA0E74" w:rsidRPr="000D4294" w:rsidRDefault="00FA0E74" w:rsidP="00396F0C">
          <w:pPr>
            <w:pStyle w:val="TOCHeading"/>
            <w:rPr>
              <w:rFonts w:asciiTheme="minorHAnsi" w:hAnsiTheme="minorHAnsi"/>
              <w:color w:val="auto"/>
              <w:sz w:val="48"/>
              <w:szCs w:val="48"/>
            </w:rPr>
          </w:pPr>
          <w:r w:rsidRPr="000D4294">
            <w:rPr>
              <w:rFonts w:asciiTheme="minorHAnsi" w:hAnsiTheme="minorHAnsi"/>
              <w:color w:val="auto"/>
              <w:sz w:val="48"/>
              <w:szCs w:val="48"/>
            </w:rPr>
            <w:t>Obsah</w:t>
          </w:r>
        </w:p>
        <w:p w:rsidR="00D54B11" w:rsidRDefault="00FA0E74" w:rsidP="00D54B11">
          <w:pPr>
            <w:pStyle w:val="TOC1"/>
            <w:spacing w:before="0" w:beforeAutospacing="0" w:after="0" w:afterAutospacing="0"/>
            <w:rPr>
              <w:rFonts w:eastAsiaTheme="minorEastAsia" w:cstheme="minorBidi"/>
              <w:b w:val="0"/>
              <w:sz w:val="22"/>
              <w:szCs w:val="22"/>
              <w:lang w:val="cs-CZ"/>
            </w:rPr>
          </w:pPr>
          <w:r>
            <w:fldChar w:fldCharType="begin"/>
          </w:r>
          <w:r>
            <w:instrText xml:space="preserve"> TOC \o "1-3" \h \z \u </w:instrText>
          </w:r>
          <w:r>
            <w:fldChar w:fldCharType="separate"/>
          </w:r>
          <w:hyperlink w:anchor="_Toc487810676" w:history="1">
            <w:r w:rsidR="00D54B11" w:rsidRPr="007A5C17">
              <w:rPr>
                <w:rStyle w:val="Hyperlink"/>
              </w:rPr>
              <w:t>Úvod</w:t>
            </w:r>
            <w:r w:rsidR="00D54B11">
              <w:rPr>
                <w:webHidden/>
              </w:rPr>
              <w:tab/>
            </w:r>
            <w:r w:rsidR="00D54B11">
              <w:rPr>
                <w:webHidden/>
              </w:rPr>
              <w:fldChar w:fldCharType="begin"/>
            </w:r>
            <w:r w:rsidR="00D54B11">
              <w:rPr>
                <w:webHidden/>
              </w:rPr>
              <w:instrText xml:space="preserve"> PAGEREF _Toc487810676 \h </w:instrText>
            </w:r>
            <w:r w:rsidR="00D54B11">
              <w:rPr>
                <w:webHidden/>
              </w:rPr>
            </w:r>
            <w:r w:rsidR="00D54B11">
              <w:rPr>
                <w:webHidden/>
              </w:rPr>
              <w:fldChar w:fldCharType="separate"/>
            </w:r>
            <w:r w:rsidR="00705CA9">
              <w:rPr>
                <w:webHidden/>
              </w:rPr>
              <w:t>3</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77" w:history="1">
            <w:r w:rsidR="00D54B11" w:rsidRPr="007A5C17">
              <w:rPr>
                <w:rStyle w:val="Hyperlink"/>
              </w:rPr>
              <w:t>Hlavní údaje za první pololetí 2017</w:t>
            </w:r>
            <w:r w:rsidR="00D54B11">
              <w:rPr>
                <w:webHidden/>
              </w:rPr>
              <w:tab/>
            </w:r>
            <w:r w:rsidR="00D54B11">
              <w:rPr>
                <w:webHidden/>
              </w:rPr>
              <w:fldChar w:fldCharType="begin"/>
            </w:r>
            <w:r w:rsidR="00D54B11">
              <w:rPr>
                <w:webHidden/>
              </w:rPr>
              <w:instrText xml:space="preserve"> PAGEREF _Toc487810677 \h </w:instrText>
            </w:r>
            <w:r w:rsidR="00D54B11">
              <w:rPr>
                <w:webHidden/>
              </w:rPr>
            </w:r>
            <w:r w:rsidR="00D54B11">
              <w:rPr>
                <w:webHidden/>
              </w:rPr>
              <w:fldChar w:fldCharType="separate"/>
            </w:r>
            <w:r w:rsidR="00705CA9">
              <w:rPr>
                <w:webHidden/>
              </w:rPr>
              <w:t>4</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78" w:history="1">
            <w:r w:rsidR="00D54B11" w:rsidRPr="007A5C17">
              <w:rPr>
                <w:rStyle w:val="Hyperlink"/>
              </w:rPr>
              <w:t>Mezitímní zpráva o podnikání za první pololetí 2017</w:t>
            </w:r>
            <w:r w:rsidR="00D54B11">
              <w:rPr>
                <w:webHidden/>
              </w:rPr>
              <w:tab/>
            </w:r>
            <w:r w:rsidR="00D54B11">
              <w:rPr>
                <w:webHidden/>
              </w:rPr>
              <w:fldChar w:fldCharType="begin"/>
            </w:r>
            <w:r w:rsidR="00D54B11">
              <w:rPr>
                <w:webHidden/>
              </w:rPr>
              <w:instrText xml:space="preserve"> PAGEREF _Toc487810678 \h </w:instrText>
            </w:r>
            <w:r w:rsidR="00D54B11">
              <w:rPr>
                <w:webHidden/>
              </w:rPr>
            </w:r>
            <w:r w:rsidR="00D54B11">
              <w:rPr>
                <w:webHidden/>
              </w:rPr>
              <w:fldChar w:fldCharType="separate"/>
            </w:r>
            <w:r w:rsidR="00705CA9">
              <w:rPr>
                <w:webHidden/>
              </w:rPr>
              <w:t>6</w:t>
            </w:r>
            <w:r w:rsidR="00D54B11">
              <w:rPr>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79" w:history="1">
            <w:r w:rsidR="00D54B11" w:rsidRPr="007A5C17">
              <w:rPr>
                <w:rStyle w:val="Hyperlink"/>
                <w:noProof/>
              </w:rPr>
              <w:t>Finanční výsledky za první pololetí 2017</w:t>
            </w:r>
            <w:r w:rsidR="00D54B11">
              <w:rPr>
                <w:noProof/>
                <w:webHidden/>
              </w:rPr>
              <w:tab/>
            </w:r>
            <w:r w:rsidR="00D54B11">
              <w:rPr>
                <w:noProof/>
                <w:webHidden/>
              </w:rPr>
              <w:fldChar w:fldCharType="begin"/>
            </w:r>
            <w:r w:rsidR="00D54B11">
              <w:rPr>
                <w:noProof/>
                <w:webHidden/>
              </w:rPr>
              <w:instrText xml:space="preserve"> PAGEREF _Toc487810679 \h </w:instrText>
            </w:r>
            <w:r w:rsidR="00D54B11">
              <w:rPr>
                <w:noProof/>
                <w:webHidden/>
              </w:rPr>
            </w:r>
            <w:r w:rsidR="00D54B11">
              <w:rPr>
                <w:noProof/>
                <w:webHidden/>
              </w:rPr>
              <w:fldChar w:fldCharType="separate"/>
            </w:r>
            <w:r w:rsidR="00705CA9">
              <w:rPr>
                <w:noProof/>
                <w:webHidden/>
              </w:rPr>
              <w:t>6</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80" w:history="1">
            <w:r w:rsidR="00D54B11" w:rsidRPr="007A5C17">
              <w:rPr>
                <w:rStyle w:val="Hyperlink"/>
                <w:noProof/>
              </w:rPr>
              <w:t>Přehled hospodaření Společnosti v prvním pololetí 2017</w:t>
            </w:r>
            <w:r w:rsidR="00D54B11">
              <w:rPr>
                <w:noProof/>
                <w:webHidden/>
              </w:rPr>
              <w:tab/>
            </w:r>
            <w:r w:rsidR="00D54B11">
              <w:rPr>
                <w:noProof/>
                <w:webHidden/>
              </w:rPr>
              <w:fldChar w:fldCharType="begin"/>
            </w:r>
            <w:r w:rsidR="00D54B11">
              <w:rPr>
                <w:noProof/>
                <w:webHidden/>
              </w:rPr>
              <w:instrText xml:space="preserve"> PAGEREF _Toc487810680 \h </w:instrText>
            </w:r>
            <w:r w:rsidR="00D54B11">
              <w:rPr>
                <w:noProof/>
                <w:webHidden/>
              </w:rPr>
            </w:r>
            <w:r w:rsidR="00D54B11">
              <w:rPr>
                <w:noProof/>
                <w:webHidden/>
              </w:rPr>
              <w:fldChar w:fldCharType="separate"/>
            </w:r>
            <w:r w:rsidR="00705CA9">
              <w:rPr>
                <w:noProof/>
                <w:webHidden/>
              </w:rPr>
              <w:t>9</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81" w:history="1">
            <w:r w:rsidR="00D54B11" w:rsidRPr="007A5C17">
              <w:rPr>
                <w:rStyle w:val="Hyperlink"/>
                <w:noProof/>
              </w:rPr>
              <w:t>Výzkum a vývoj</w:t>
            </w:r>
            <w:r w:rsidR="00D54B11">
              <w:rPr>
                <w:noProof/>
                <w:webHidden/>
              </w:rPr>
              <w:tab/>
            </w:r>
            <w:r w:rsidR="00D54B11">
              <w:rPr>
                <w:noProof/>
                <w:webHidden/>
              </w:rPr>
              <w:fldChar w:fldCharType="begin"/>
            </w:r>
            <w:r w:rsidR="00D54B11">
              <w:rPr>
                <w:noProof/>
                <w:webHidden/>
              </w:rPr>
              <w:instrText xml:space="preserve"> PAGEREF _Toc487810681 \h </w:instrText>
            </w:r>
            <w:r w:rsidR="00D54B11">
              <w:rPr>
                <w:noProof/>
                <w:webHidden/>
              </w:rPr>
            </w:r>
            <w:r w:rsidR="00D54B11">
              <w:rPr>
                <w:noProof/>
                <w:webHidden/>
              </w:rPr>
              <w:fldChar w:fldCharType="separate"/>
            </w:r>
            <w:r w:rsidR="00705CA9">
              <w:rPr>
                <w:noProof/>
                <w:webHidden/>
              </w:rPr>
              <w:t>9</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82" w:history="1">
            <w:r w:rsidR="00D54B11" w:rsidRPr="007A5C17">
              <w:rPr>
                <w:rStyle w:val="Hyperlink"/>
                <w:noProof/>
              </w:rPr>
              <w:t>Strategie</w:t>
            </w:r>
            <w:r w:rsidR="00D54B11">
              <w:rPr>
                <w:noProof/>
                <w:webHidden/>
              </w:rPr>
              <w:tab/>
            </w:r>
            <w:r w:rsidR="00D54B11">
              <w:rPr>
                <w:noProof/>
                <w:webHidden/>
              </w:rPr>
              <w:fldChar w:fldCharType="begin"/>
            </w:r>
            <w:r w:rsidR="00D54B11">
              <w:rPr>
                <w:noProof/>
                <w:webHidden/>
              </w:rPr>
              <w:instrText xml:space="preserve"> PAGEREF _Toc487810682 \h </w:instrText>
            </w:r>
            <w:r w:rsidR="00D54B11">
              <w:rPr>
                <w:noProof/>
                <w:webHidden/>
              </w:rPr>
            </w:r>
            <w:r w:rsidR="00D54B11">
              <w:rPr>
                <w:noProof/>
                <w:webHidden/>
              </w:rPr>
              <w:fldChar w:fldCharType="separate"/>
            </w:r>
            <w:r w:rsidR="00705CA9">
              <w:rPr>
                <w:noProof/>
                <w:webHidden/>
              </w:rPr>
              <w:t>10</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83" w:history="1">
            <w:r w:rsidR="00D54B11" w:rsidRPr="007A5C17">
              <w:rPr>
                <w:rStyle w:val="Hyperlink"/>
                <w:noProof/>
              </w:rPr>
              <w:t>Rizikové faktory</w:t>
            </w:r>
            <w:r w:rsidR="00D54B11">
              <w:rPr>
                <w:noProof/>
                <w:webHidden/>
              </w:rPr>
              <w:tab/>
            </w:r>
            <w:r w:rsidR="00D54B11">
              <w:rPr>
                <w:noProof/>
                <w:webHidden/>
              </w:rPr>
              <w:fldChar w:fldCharType="begin"/>
            </w:r>
            <w:r w:rsidR="00D54B11">
              <w:rPr>
                <w:noProof/>
                <w:webHidden/>
              </w:rPr>
              <w:instrText xml:space="preserve"> PAGEREF _Toc487810683 \h </w:instrText>
            </w:r>
            <w:r w:rsidR="00D54B11">
              <w:rPr>
                <w:noProof/>
                <w:webHidden/>
              </w:rPr>
            </w:r>
            <w:r w:rsidR="00D54B11">
              <w:rPr>
                <w:noProof/>
                <w:webHidden/>
              </w:rPr>
              <w:fldChar w:fldCharType="separate"/>
            </w:r>
            <w:r w:rsidR="00705CA9">
              <w:rPr>
                <w:noProof/>
                <w:webHidden/>
              </w:rPr>
              <w:t>11</w:t>
            </w:r>
            <w:r w:rsidR="00D54B11">
              <w:rPr>
                <w:noProof/>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84" w:history="1">
            <w:r w:rsidR="00D54B11" w:rsidRPr="007A5C17">
              <w:rPr>
                <w:rStyle w:val="Hyperlink"/>
              </w:rPr>
              <w:t>Akcie a akcionářská struktura</w:t>
            </w:r>
            <w:r w:rsidR="00D54B11">
              <w:rPr>
                <w:webHidden/>
              </w:rPr>
              <w:tab/>
            </w:r>
            <w:r w:rsidR="00D54B11">
              <w:rPr>
                <w:webHidden/>
              </w:rPr>
              <w:fldChar w:fldCharType="begin"/>
            </w:r>
            <w:r w:rsidR="00D54B11">
              <w:rPr>
                <w:webHidden/>
              </w:rPr>
              <w:instrText xml:space="preserve"> PAGEREF _Toc487810684 \h </w:instrText>
            </w:r>
            <w:r w:rsidR="00D54B11">
              <w:rPr>
                <w:webHidden/>
              </w:rPr>
            </w:r>
            <w:r w:rsidR="00D54B11">
              <w:rPr>
                <w:webHidden/>
              </w:rPr>
              <w:fldChar w:fldCharType="separate"/>
            </w:r>
            <w:r w:rsidR="00705CA9">
              <w:rPr>
                <w:webHidden/>
              </w:rPr>
              <w:t>14</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85" w:history="1">
            <w:r w:rsidR="00D54B11" w:rsidRPr="007A5C17">
              <w:rPr>
                <w:rStyle w:val="Hyperlink"/>
              </w:rPr>
              <w:t>Dividendová politika a vyhlášení dividendy</w:t>
            </w:r>
            <w:r w:rsidR="00D54B11">
              <w:rPr>
                <w:webHidden/>
              </w:rPr>
              <w:tab/>
            </w:r>
            <w:r w:rsidR="00D54B11">
              <w:rPr>
                <w:webHidden/>
              </w:rPr>
              <w:fldChar w:fldCharType="begin"/>
            </w:r>
            <w:r w:rsidR="00D54B11">
              <w:rPr>
                <w:webHidden/>
              </w:rPr>
              <w:instrText xml:space="preserve"> PAGEREF _Toc487810685 \h </w:instrText>
            </w:r>
            <w:r w:rsidR="00D54B11">
              <w:rPr>
                <w:webHidden/>
              </w:rPr>
            </w:r>
            <w:r w:rsidR="00D54B11">
              <w:rPr>
                <w:webHidden/>
              </w:rPr>
              <w:fldChar w:fldCharType="separate"/>
            </w:r>
            <w:r w:rsidR="00705CA9">
              <w:rPr>
                <w:webHidden/>
              </w:rPr>
              <w:t>18</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86" w:history="1">
            <w:r w:rsidR="00D54B11" w:rsidRPr="007A5C17">
              <w:rPr>
                <w:rStyle w:val="Hyperlink"/>
              </w:rPr>
              <w:t>Zpráva o vztazích</w:t>
            </w:r>
            <w:r w:rsidR="00D54B11">
              <w:rPr>
                <w:webHidden/>
              </w:rPr>
              <w:tab/>
            </w:r>
            <w:r w:rsidR="00D54B11">
              <w:rPr>
                <w:webHidden/>
              </w:rPr>
              <w:fldChar w:fldCharType="begin"/>
            </w:r>
            <w:r w:rsidR="00D54B11">
              <w:rPr>
                <w:webHidden/>
              </w:rPr>
              <w:instrText xml:space="preserve"> PAGEREF _Toc487810686 \h </w:instrText>
            </w:r>
            <w:r w:rsidR="00D54B11">
              <w:rPr>
                <w:webHidden/>
              </w:rPr>
            </w:r>
            <w:r w:rsidR="00D54B11">
              <w:rPr>
                <w:webHidden/>
              </w:rPr>
              <w:fldChar w:fldCharType="separate"/>
            </w:r>
            <w:r w:rsidR="00705CA9">
              <w:rPr>
                <w:webHidden/>
              </w:rPr>
              <w:t>19</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87" w:history="1">
            <w:r w:rsidR="00D54B11" w:rsidRPr="007A5C17">
              <w:rPr>
                <w:rStyle w:val="Hyperlink"/>
              </w:rPr>
              <w:t>Správa a řízení Společnosti</w:t>
            </w:r>
            <w:r w:rsidR="00D54B11">
              <w:rPr>
                <w:webHidden/>
              </w:rPr>
              <w:tab/>
            </w:r>
            <w:r w:rsidR="00D54B11">
              <w:rPr>
                <w:webHidden/>
              </w:rPr>
              <w:fldChar w:fldCharType="begin"/>
            </w:r>
            <w:r w:rsidR="00D54B11">
              <w:rPr>
                <w:webHidden/>
              </w:rPr>
              <w:instrText xml:space="preserve"> PAGEREF _Toc487810687 \h </w:instrText>
            </w:r>
            <w:r w:rsidR="00D54B11">
              <w:rPr>
                <w:webHidden/>
              </w:rPr>
            </w:r>
            <w:r w:rsidR="00D54B11">
              <w:rPr>
                <w:webHidden/>
              </w:rPr>
              <w:fldChar w:fldCharType="separate"/>
            </w:r>
            <w:r w:rsidR="00705CA9">
              <w:rPr>
                <w:webHidden/>
              </w:rPr>
              <w:t>23</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88" w:history="1">
            <w:r w:rsidR="00D54B11" w:rsidRPr="007A5C17">
              <w:rPr>
                <w:rStyle w:val="Hyperlink"/>
              </w:rPr>
              <w:t>Mezitímní neauditovaná konsolidovaná účetní závěrka</w:t>
            </w:r>
            <w:r w:rsidR="00D54B11">
              <w:rPr>
                <w:webHidden/>
              </w:rPr>
              <w:tab/>
            </w:r>
            <w:r w:rsidR="00D54B11">
              <w:rPr>
                <w:webHidden/>
              </w:rPr>
              <w:fldChar w:fldCharType="begin"/>
            </w:r>
            <w:r w:rsidR="00D54B11">
              <w:rPr>
                <w:webHidden/>
              </w:rPr>
              <w:instrText xml:space="preserve"> PAGEREF _Toc487810688 \h </w:instrText>
            </w:r>
            <w:r w:rsidR="00D54B11">
              <w:rPr>
                <w:webHidden/>
              </w:rPr>
            </w:r>
            <w:r w:rsidR="00D54B11">
              <w:rPr>
                <w:webHidden/>
              </w:rPr>
              <w:fldChar w:fldCharType="separate"/>
            </w:r>
            <w:r w:rsidR="00705CA9">
              <w:rPr>
                <w:webHidden/>
              </w:rPr>
              <w:t>26</w:t>
            </w:r>
            <w:r w:rsidR="00D54B11">
              <w:rPr>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89" w:history="1">
            <w:r w:rsidR="00D54B11" w:rsidRPr="007A5C17">
              <w:rPr>
                <w:rStyle w:val="Hyperlink"/>
                <w:noProof/>
              </w:rPr>
              <w:t>Konsolidovaný výkaz o úplném výsledku ve zkrácené podobě za období šesti měsíců</w:t>
            </w:r>
            <w:r w:rsidR="00D54B11">
              <w:rPr>
                <w:noProof/>
                <w:webHidden/>
              </w:rPr>
              <w:tab/>
            </w:r>
            <w:r w:rsidR="00D54B11">
              <w:rPr>
                <w:noProof/>
                <w:webHidden/>
              </w:rPr>
              <w:fldChar w:fldCharType="begin"/>
            </w:r>
            <w:r w:rsidR="00D54B11">
              <w:rPr>
                <w:noProof/>
                <w:webHidden/>
              </w:rPr>
              <w:instrText xml:space="preserve"> PAGEREF _Toc487810689 \h </w:instrText>
            </w:r>
            <w:r w:rsidR="00D54B11">
              <w:rPr>
                <w:noProof/>
                <w:webHidden/>
              </w:rPr>
            </w:r>
            <w:r w:rsidR="00D54B11">
              <w:rPr>
                <w:noProof/>
                <w:webHidden/>
              </w:rPr>
              <w:fldChar w:fldCharType="separate"/>
            </w:r>
            <w:r w:rsidR="00705CA9">
              <w:rPr>
                <w:noProof/>
                <w:webHidden/>
              </w:rPr>
              <w:t>27</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90" w:history="1">
            <w:r w:rsidR="00D54B11" w:rsidRPr="007A5C17">
              <w:rPr>
                <w:rStyle w:val="Hyperlink"/>
                <w:noProof/>
              </w:rPr>
              <w:t>Konsolidovaný výkaz o úplném výsledku ve zkrácené podobě za období tří měsíců</w:t>
            </w:r>
            <w:r w:rsidR="00D54B11">
              <w:rPr>
                <w:noProof/>
                <w:webHidden/>
              </w:rPr>
              <w:tab/>
            </w:r>
            <w:r w:rsidR="00D54B11">
              <w:rPr>
                <w:noProof/>
                <w:webHidden/>
              </w:rPr>
              <w:fldChar w:fldCharType="begin"/>
            </w:r>
            <w:r w:rsidR="00D54B11">
              <w:rPr>
                <w:noProof/>
                <w:webHidden/>
              </w:rPr>
              <w:instrText xml:space="preserve"> PAGEREF _Toc487810690 \h </w:instrText>
            </w:r>
            <w:r w:rsidR="00D54B11">
              <w:rPr>
                <w:noProof/>
                <w:webHidden/>
              </w:rPr>
            </w:r>
            <w:r w:rsidR="00D54B11">
              <w:rPr>
                <w:noProof/>
                <w:webHidden/>
              </w:rPr>
              <w:fldChar w:fldCharType="separate"/>
            </w:r>
            <w:r w:rsidR="00705CA9">
              <w:rPr>
                <w:noProof/>
                <w:webHidden/>
              </w:rPr>
              <w:t>28</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91" w:history="1">
            <w:r w:rsidR="00D54B11" w:rsidRPr="007A5C17">
              <w:rPr>
                <w:rStyle w:val="Hyperlink"/>
                <w:noProof/>
              </w:rPr>
              <w:t>Konsolidovaný výkaz o finanční situaci ve zkrácené podobě</w:t>
            </w:r>
            <w:r w:rsidR="00D54B11">
              <w:rPr>
                <w:noProof/>
                <w:webHidden/>
              </w:rPr>
              <w:tab/>
            </w:r>
            <w:r w:rsidR="00D54B11">
              <w:rPr>
                <w:noProof/>
                <w:webHidden/>
              </w:rPr>
              <w:fldChar w:fldCharType="begin"/>
            </w:r>
            <w:r w:rsidR="00D54B11">
              <w:rPr>
                <w:noProof/>
                <w:webHidden/>
              </w:rPr>
              <w:instrText xml:space="preserve"> PAGEREF _Toc487810691 \h </w:instrText>
            </w:r>
            <w:r w:rsidR="00D54B11">
              <w:rPr>
                <w:noProof/>
                <w:webHidden/>
              </w:rPr>
            </w:r>
            <w:r w:rsidR="00D54B11">
              <w:rPr>
                <w:noProof/>
                <w:webHidden/>
              </w:rPr>
              <w:fldChar w:fldCharType="separate"/>
            </w:r>
            <w:r w:rsidR="00705CA9">
              <w:rPr>
                <w:noProof/>
                <w:webHidden/>
              </w:rPr>
              <w:t>29</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92" w:history="1">
            <w:r w:rsidR="00D54B11" w:rsidRPr="007A5C17">
              <w:rPr>
                <w:rStyle w:val="Hyperlink"/>
                <w:noProof/>
              </w:rPr>
              <w:t>Konsolidovaný přehled o peněžních tocích ve zkrácené podobě</w:t>
            </w:r>
            <w:r w:rsidR="00D54B11">
              <w:rPr>
                <w:noProof/>
                <w:webHidden/>
              </w:rPr>
              <w:tab/>
            </w:r>
            <w:r w:rsidR="00D54B11">
              <w:rPr>
                <w:noProof/>
                <w:webHidden/>
              </w:rPr>
              <w:fldChar w:fldCharType="begin"/>
            </w:r>
            <w:r w:rsidR="00D54B11">
              <w:rPr>
                <w:noProof/>
                <w:webHidden/>
              </w:rPr>
              <w:instrText xml:space="preserve"> PAGEREF _Toc487810692 \h </w:instrText>
            </w:r>
            <w:r w:rsidR="00D54B11">
              <w:rPr>
                <w:noProof/>
                <w:webHidden/>
              </w:rPr>
            </w:r>
            <w:r w:rsidR="00D54B11">
              <w:rPr>
                <w:noProof/>
                <w:webHidden/>
              </w:rPr>
              <w:fldChar w:fldCharType="separate"/>
            </w:r>
            <w:r w:rsidR="00705CA9">
              <w:rPr>
                <w:noProof/>
                <w:webHidden/>
              </w:rPr>
              <w:t>29</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93" w:history="1">
            <w:r w:rsidR="00D54B11" w:rsidRPr="007A5C17">
              <w:rPr>
                <w:rStyle w:val="Hyperlink"/>
                <w:noProof/>
              </w:rPr>
              <w:t>Konsolidovaný přehled o změnách vlastního kapitálu ve zkrácené podobě</w:t>
            </w:r>
            <w:r w:rsidR="00D54B11">
              <w:rPr>
                <w:noProof/>
                <w:webHidden/>
              </w:rPr>
              <w:tab/>
            </w:r>
            <w:r w:rsidR="00D54B11">
              <w:rPr>
                <w:noProof/>
                <w:webHidden/>
              </w:rPr>
              <w:fldChar w:fldCharType="begin"/>
            </w:r>
            <w:r w:rsidR="00D54B11">
              <w:rPr>
                <w:noProof/>
                <w:webHidden/>
              </w:rPr>
              <w:instrText xml:space="preserve"> PAGEREF _Toc487810693 \h </w:instrText>
            </w:r>
            <w:r w:rsidR="00D54B11">
              <w:rPr>
                <w:noProof/>
                <w:webHidden/>
              </w:rPr>
            </w:r>
            <w:r w:rsidR="00D54B11">
              <w:rPr>
                <w:noProof/>
                <w:webHidden/>
              </w:rPr>
              <w:fldChar w:fldCharType="separate"/>
            </w:r>
            <w:r w:rsidR="00705CA9">
              <w:rPr>
                <w:noProof/>
                <w:webHidden/>
              </w:rPr>
              <w:t>31</w:t>
            </w:r>
            <w:r w:rsidR="00D54B11">
              <w:rPr>
                <w:noProof/>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94" w:history="1">
            <w:r w:rsidR="00D54B11" w:rsidRPr="007A5C17">
              <w:rPr>
                <w:rStyle w:val="Hyperlink"/>
                <w:noProof/>
              </w:rPr>
              <w:t>Vybrané vysvětlující poznámky k mezitímní konsolidované účetní závěrce</w:t>
            </w:r>
            <w:r w:rsidR="00D54B11">
              <w:rPr>
                <w:noProof/>
                <w:webHidden/>
              </w:rPr>
              <w:tab/>
            </w:r>
            <w:r w:rsidR="00D54B11">
              <w:rPr>
                <w:noProof/>
                <w:webHidden/>
              </w:rPr>
              <w:fldChar w:fldCharType="begin"/>
            </w:r>
            <w:r w:rsidR="00D54B11">
              <w:rPr>
                <w:noProof/>
                <w:webHidden/>
              </w:rPr>
              <w:instrText xml:space="preserve"> PAGEREF _Toc487810694 \h </w:instrText>
            </w:r>
            <w:r w:rsidR="00D54B11">
              <w:rPr>
                <w:noProof/>
                <w:webHidden/>
              </w:rPr>
            </w:r>
            <w:r w:rsidR="00D54B11">
              <w:rPr>
                <w:noProof/>
                <w:webHidden/>
              </w:rPr>
              <w:fldChar w:fldCharType="separate"/>
            </w:r>
            <w:r w:rsidR="00705CA9">
              <w:rPr>
                <w:noProof/>
                <w:webHidden/>
              </w:rPr>
              <w:t>32</w:t>
            </w:r>
            <w:r w:rsidR="00D54B11">
              <w:rPr>
                <w:noProof/>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95" w:history="1">
            <w:r w:rsidR="00D54B11" w:rsidRPr="007A5C17">
              <w:rPr>
                <w:rStyle w:val="Hyperlink"/>
              </w:rPr>
              <w:t>Prohlášení</w:t>
            </w:r>
            <w:r w:rsidR="00D54B11">
              <w:rPr>
                <w:webHidden/>
              </w:rPr>
              <w:tab/>
            </w:r>
            <w:r w:rsidR="00D54B11">
              <w:rPr>
                <w:webHidden/>
              </w:rPr>
              <w:fldChar w:fldCharType="begin"/>
            </w:r>
            <w:r w:rsidR="00D54B11">
              <w:rPr>
                <w:webHidden/>
              </w:rPr>
              <w:instrText xml:space="preserve"> PAGEREF _Toc487810695 \h </w:instrText>
            </w:r>
            <w:r w:rsidR="00D54B11">
              <w:rPr>
                <w:webHidden/>
              </w:rPr>
            </w:r>
            <w:r w:rsidR="00D54B11">
              <w:rPr>
                <w:webHidden/>
              </w:rPr>
              <w:fldChar w:fldCharType="separate"/>
            </w:r>
            <w:r w:rsidR="00705CA9">
              <w:rPr>
                <w:webHidden/>
              </w:rPr>
              <w:t>39</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96" w:history="1">
            <w:r w:rsidR="00D54B11" w:rsidRPr="007A5C17">
              <w:rPr>
                <w:rStyle w:val="Hyperlink"/>
              </w:rPr>
              <w:t>Kontakty</w:t>
            </w:r>
            <w:r w:rsidR="00D54B11">
              <w:rPr>
                <w:webHidden/>
              </w:rPr>
              <w:tab/>
            </w:r>
            <w:r w:rsidR="00D54B11">
              <w:rPr>
                <w:webHidden/>
              </w:rPr>
              <w:fldChar w:fldCharType="begin"/>
            </w:r>
            <w:r w:rsidR="00D54B11">
              <w:rPr>
                <w:webHidden/>
              </w:rPr>
              <w:instrText xml:space="preserve"> PAGEREF _Toc487810696 \h </w:instrText>
            </w:r>
            <w:r w:rsidR="00D54B11">
              <w:rPr>
                <w:webHidden/>
              </w:rPr>
            </w:r>
            <w:r w:rsidR="00D54B11">
              <w:rPr>
                <w:webHidden/>
              </w:rPr>
              <w:fldChar w:fldCharType="separate"/>
            </w:r>
            <w:r w:rsidR="00705CA9">
              <w:rPr>
                <w:webHidden/>
              </w:rPr>
              <w:t>40</w:t>
            </w:r>
            <w:r w:rsidR="00D54B11">
              <w:rPr>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97" w:history="1">
            <w:r w:rsidR="00D54B11" w:rsidRPr="007A5C17">
              <w:rPr>
                <w:rStyle w:val="Hyperlink"/>
              </w:rPr>
              <w:t>Výklad pojmů a zkratek</w:t>
            </w:r>
            <w:r w:rsidR="00D54B11">
              <w:rPr>
                <w:webHidden/>
              </w:rPr>
              <w:tab/>
            </w:r>
            <w:r w:rsidR="00D54B11">
              <w:rPr>
                <w:webHidden/>
              </w:rPr>
              <w:fldChar w:fldCharType="begin"/>
            </w:r>
            <w:r w:rsidR="00D54B11">
              <w:rPr>
                <w:webHidden/>
              </w:rPr>
              <w:instrText xml:space="preserve"> PAGEREF _Toc487810697 \h </w:instrText>
            </w:r>
            <w:r w:rsidR="00D54B11">
              <w:rPr>
                <w:webHidden/>
              </w:rPr>
            </w:r>
            <w:r w:rsidR="00D54B11">
              <w:rPr>
                <w:webHidden/>
              </w:rPr>
              <w:fldChar w:fldCharType="separate"/>
            </w:r>
            <w:r w:rsidR="00705CA9">
              <w:rPr>
                <w:webHidden/>
              </w:rPr>
              <w:t>41</w:t>
            </w:r>
            <w:r w:rsidR="00D54B11">
              <w:rPr>
                <w:webHidden/>
              </w:rPr>
              <w:fldChar w:fldCharType="end"/>
            </w:r>
          </w:hyperlink>
        </w:p>
        <w:p w:rsidR="00D54B11" w:rsidRDefault="00682DF3" w:rsidP="00D54B11">
          <w:pPr>
            <w:pStyle w:val="TOC2"/>
            <w:tabs>
              <w:tab w:val="right" w:leader="dot" w:pos="9062"/>
            </w:tabs>
            <w:spacing w:before="0" w:beforeAutospacing="0" w:after="0" w:afterAutospacing="0"/>
            <w:rPr>
              <w:rFonts w:eastAsiaTheme="minorEastAsia" w:cstheme="minorBidi"/>
              <w:noProof/>
              <w:sz w:val="22"/>
              <w:szCs w:val="22"/>
            </w:rPr>
          </w:pPr>
          <w:hyperlink w:anchor="_Toc487810698" w:history="1">
            <w:r w:rsidR="00D54B11" w:rsidRPr="007A5C17">
              <w:rPr>
                <w:rStyle w:val="Hyperlink"/>
                <w:noProof/>
                <w:lang w:val="en-GB"/>
              </w:rPr>
              <w:t>Alternativní měřítka výkonnosti</w:t>
            </w:r>
            <w:r w:rsidR="00D54B11">
              <w:rPr>
                <w:noProof/>
                <w:webHidden/>
              </w:rPr>
              <w:tab/>
            </w:r>
            <w:r w:rsidR="00D54B11">
              <w:rPr>
                <w:noProof/>
                <w:webHidden/>
              </w:rPr>
              <w:fldChar w:fldCharType="begin"/>
            </w:r>
            <w:r w:rsidR="00D54B11">
              <w:rPr>
                <w:noProof/>
                <w:webHidden/>
              </w:rPr>
              <w:instrText xml:space="preserve"> PAGEREF _Toc487810698 \h </w:instrText>
            </w:r>
            <w:r w:rsidR="00D54B11">
              <w:rPr>
                <w:noProof/>
                <w:webHidden/>
              </w:rPr>
            </w:r>
            <w:r w:rsidR="00D54B11">
              <w:rPr>
                <w:noProof/>
                <w:webHidden/>
              </w:rPr>
              <w:fldChar w:fldCharType="separate"/>
            </w:r>
            <w:r w:rsidR="00705CA9">
              <w:rPr>
                <w:noProof/>
                <w:webHidden/>
              </w:rPr>
              <w:t>43</w:t>
            </w:r>
            <w:r w:rsidR="00D54B11">
              <w:rPr>
                <w:noProof/>
                <w:webHidden/>
              </w:rPr>
              <w:fldChar w:fldCharType="end"/>
            </w:r>
          </w:hyperlink>
        </w:p>
        <w:p w:rsidR="00D54B11" w:rsidRDefault="00682DF3" w:rsidP="00D54B11">
          <w:pPr>
            <w:pStyle w:val="TOC1"/>
            <w:spacing w:before="0" w:beforeAutospacing="0" w:after="0" w:afterAutospacing="0"/>
            <w:rPr>
              <w:rFonts w:eastAsiaTheme="minorEastAsia" w:cstheme="minorBidi"/>
              <w:b w:val="0"/>
              <w:sz w:val="22"/>
              <w:szCs w:val="22"/>
              <w:lang w:val="cs-CZ"/>
            </w:rPr>
          </w:pPr>
          <w:hyperlink w:anchor="_Toc487810699" w:history="1">
            <w:r w:rsidR="00D54B11" w:rsidRPr="007A5C17">
              <w:rPr>
                <w:rStyle w:val="Hyperlink"/>
              </w:rPr>
              <w:t>Ostatní informace</w:t>
            </w:r>
            <w:r w:rsidR="00D54B11">
              <w:rPr>
                <w:webHidden/>
              </w:rPr>
              <w:tab/>
            </w:r>
            <w:r w:rsidR="00D54B11">
              <w:rPr>
                <w:webHidden/>
              </w:rPr>
              <w:fldChar w:fldCharType="begin"/>
            </w:r>
            <w:r w:rsidR="00D54B11">
              <w:rPr>
                <w:webHidden/>
              </w:rPr>
              <w:instrText xml:space="preserve"> PAGEREF _Toc487810699 \h </w:instrText>
            </w:r>
            <w:r w:rsidR="00D54B11">
              <w:rPr>
                <w:webHidden/>
              </w:rPr>
            </w:r>
            <w:r w:rsidR="00D54B11">
              <w:rPr>
                <w:webHidden/>
              </w:rPr>
              <w:fldChar w:fldCharType="separate"/>
            </w:r>
            <w:r w:rsidR="00705CA9">
              <w:rPr>
                <w:webHidden/>
              </w:rPr>
              <w:t>45</w:t>
            </w:r>
            <w:r w:rsidR="00D54B11">
              <w:rPr>
                <w:webHidden/>
              </w:rPr>
              <w:fldChar w:fldCharType="end"/>
            </w:r>
          </w:hyperlink>
        </w:p>
        <w:p w:rsidR="00100F32" w:rsidRDefault="00FA0E74" w:rsidP="00100F32">
          <w:pPr>
            <w:spacing w:before="120" w:beforeAutospacing="0" w:after="0" w:afterAutospacing="0"/>
            <w:rPr>
              <w:noProof/>
            </w:rPr>
          </w:pPr>
          <w:r>
            <w:rPr>
              <w:b/>
              <w:bCs/>
              <w:noProof/>
            </w:rPr>
            <w:fldChar w:fldCharType="end"/>
          </w:r>
        </w:p>
      </w:sdtContent>
    </w:sdt>
    <w:bookmarkStart w:id="1" w:name="_Toc269907484" w:displacedByCustomXml="prev"/>
    <w:p w:rsidR="00100F32" w:rsidRDefault="00100F32">
      <w:pPr>
        <w:spacing w:before="0" w:beforeAutospacing="0" w:after="0" w:afterAutospacing="0"/>
        <w:jc w:val="left"/>
        <w:rPr>
          <w:rStyle w:val="Emphasis"/>
          <w:b/>
          <w:bCs/>
          <w:i w:val="0"/>
          <w:iCs w:val="0"/>
          <w:kern w:val="32"/>
          <w:sz w:val="48"/>
          <w:szCs w:val="48"/>
        </w:rPr>
      </w:pPr>
      <w:r>
        <w:rPr>
          <w:rStyle w:val="Emphasis"/>
          <w:i w:val="0"/>
          <w:iCs w:val="0"/>
        </w:rPr>
        <w:br w:type="page"/>
      </w:r>
    </w:p>
    <w:p w:rsidR="000F21E3" w:rsidRPr="00396F0C" w:rsidRDefault="00396F0C" w:rsidP="00396F0C">
      <w:pPr>
        <w:pStyle w:val="Heading1"/>
        <w:rPr>
          <w:rStyle w:val="Emphasis"/>
          <w:i w:val="0"/>
          <w:iCs w:val="0"/>
        </w:rPr>
      </w:pPr>
      <w:bookmarkStart w:id="2" w:name="_Toc487810676"/>
      <w:r w:rsidRPr="000D4294">
        <w:rPr>
          <w:rStyle w:val="Emphasis"/>
          <w:i w:val="0"/>
          <w:iCs w:val="0"/>
        </w:rPr>
        <w:lastRenderedPageBreak/>
        <w:t>Ú</w:t>
      </w:r>
      <w:bookmarkEnd w:id="1"/>
      <w:r w:rsidRPr="000D4294">
        <w:rPr>
          <w:rStyle w:val="Emphasis"/>
          <w:i w:val="0"/>
          <w:iCs w:val="0"/>
        </w:rPr>
        <w:t>vod</w:t>
      </w:r>
      <w:bookmarkEnd w:id="2"/>
    </w:p>
    <w:p w:rsidR="00C40188" w:rsidRDefault="00C40188" w:rsidP="00C40188">
      <w:r>
        <w:t xml:space="preserve">PEGAS NONWOVENS SA (dále jen </w:t>
      </w:r>
      <w:r w:rsidR="001D2103">
        <w:rPr>
          <w:rFonts w:ascii="Arial" w:hAnsi="Arial" w:cs="Arial"/>
        </w:rPr>
        <w:t>„</w:t>
      </w:r>
      <w:r>
        <w:t>PEGAS</w:t>
      </w:r>
      <w:r w:rsidR="001D2103">
        <w:rPr>
          <w:rFonts w:ascii="Arial" w:hAnsi="Arial" w:cs="Arial"/>
        </w:rPr>
        <w:t>“</w:t>
      </w:r>
      <w:r>
        <w:t xml:space="preserve"> nebo </w:t>
      </w:r>
      <w:r w:rsidR="001D2103">
        <w:rPr>
          <w:rFonts w:ascii="Arial" w:hAnsi="Arial" w:cs="Arial"/>
        </w:rPr>
        <w:t>„</w:t>
      </w:r>
      <w:r>
        <w:t>Společnost</w:t>
      </w:r>
      <w:r w:rsidR="001D2103">
        <w:rPr>
          <w:rFonts w:ascii="Arial" w:hAnsi="Arial" w:cs="Arial"/>
        </w:rPr>
        <w:t>“</w:t>
      </w:r>
      <w:r>
        <w:t xml:space="preserve"> nebo </w:t>
      </w:r>
      <w:r w:rsidR="001D2103">
        <w:rPr>
          <w:rFonts w:ascii="Arial" w:hAnsi="Arial" w:cs="Arial"/>
        </w:rPr>
        <w:t>„</w:t>
      </w:r>
      <w:r>
        <w:t>Skupina</w:t>
      </w:r>
      <w:r w:rsidR="001D2103">
        <w:rPr>
          <w:rFonts w:ascii="Arial" w:hAnsi="Arial" w:cs="Arial"/>
        </w:rPr>
        <w:t>“</w:t>
      </w:r>
      <w:r>
        <w:t xml:space="preserve">) je jedním z předních výrobců netkaných textilií v EMEA regionu (Evropa, Střední východ a Afrika) používaných zejména na trhu osobních hygienických výrobků. PEGAS dodává svým zákazníkům spunbond a meltblown (dohromady, </w:t>
      </w:r>
      <w:r w:rsidR="00123A44">
        <w:rPr>
          <w:rFonts w:ascii="Arial" w:hAnsi="Arial" w:cs="Arial"/>
        </w:rPr>
        <w:t>„</w:t>
      </w:r>
      <w:r>
        <w:t>spunmelt</w:t>
      </w:r>
      <w:r w:rsidR="00123A44">
        <w:rPr>
          <w:rFonts w:ascii="Arial" w:hAnsi="Arial" w:cs="Arial"/>
        </w:rPr>
        <w:t>“</w:t>
      </w:r>
      <w:r>
        <w:t>) textilie na bázi polypropylenu a polyetylenu (</w:t>
      </w:r>
      <w:r w:rsidR="00123A44">
        <w:rPr>
          <w:rFonts w:ascii="Arial" w:hAnsi="Arial" w:cs="Arial"/>
        </w:rPr>
        <w:t>„</w:t>
      </w:r>
      <w:r>
        <w:t>PP</w:t>
      </w:r>
      <w:r w:rsidR="00123A44">
        <w:rPr>
          <w:rFonts w:ascii="Arial" w:hAnsi="Arial" w:cs="Arial"/>
        </w:rPr>
        <w:t>“</w:t>
      </w:r>
      <w:r>
        <w:t xml:space="preserve"> a </w:t>
      </w:r>
      <w:r w:rsidR="00123A44">
        <w:rPr>
          <w:rFonts w:ascii="Arial" w:hAnsi="Arial" w:cs="Arial"/>
        </w:rPr>
        <w:t>„</w:t>
      </w:r>
      <w:r>
        <w:t>PP/PE</w:t>
      </w:r>
      <w:r w:rsidR="00123A44">
        <w:rPr>
          <w:rFonts w:ascii="Arial" w:hAnsi="Arial" w:cs="Arial"/>
        </w:rPr>
        <w:t>“</w:t>
      </w:r>
      <w:r>
        <w:t>) převážně pro účely výroby jednorázových hygienických produktů (jako jsou dětské plenky, výrobky pro inkontinenci dospělých a dámské hygienické výrobky) a dále, v menší míře, do stavebnictví, zemědělství a lékařských aplikací.</w:t>
      </w:r>
    </w:p>
    <w:p w:rsidR="001D2103" w:rsidRDefault="00C40188" w:rsidP="00C40188">
      <w:r>
        <w:t xml:space="preserve">Od svého založení v roce 1990 Společnost za více než dvacet </w:t>
      </w:r>
      <w:r w:rsidR="00170627">
        <w:t xml:space="preserve">pět </w:t>
      </w:r>
      <w:r>
        <w:t>let vyrostla v jednoho z největších výrobců netkaných spunmelt textilií v EMEA regionu (měřeno výrobní kapacitou v roce 201</w:t>
      </w:r>
      <w:r w:rsidR="001D2103">
        <w:t>6</w:t>
      </w:r>
      <w:r>
        <w:t xml:space="preserve">). </w:t>
      </w:r>
      <w:r w:rsidR="009D25DB">
        <w:t xml:space="preserve">Společnost </w:t>
      </w:r>
      <w:r>
        <w:t xml:space="preserve">v současné době provozuje </w:t>
      </w:r>
      <w:r w:rsidR="00E8774E">
        <w:t xml:space="preserve">devět </w:t>
      </w:r>
      <w:r>
        <w:t xml:space="preserve">výrobních linek v České republice a jednu výrobní linku v Egyptě. Celková výrobní kapacita Společnosti za rok je v současnosti do </w:t>
      </w:r>
      <w:r w:rsidR="00ED5A42">
        <w:t xml:space="preserve">100 </w:t>
      </w:r>
      <w:r>
        <w:t>tisíc tun netkaných textilií v České republice</w:t>
      </w:r>
      <w:r w:rsidR="00ED5A42">
        <w:t xml:space="preserve"> </w:t>
      </w:r>
      <w:r>
        <w:t xml:space="preserve">a do 20 tisíc tun v Egyptě. </w:t>
      </w:r>
    </w:p>
    <w:p w:rsidR="00C40188" w:rsidRDefault="00C40188" w:rsidP="00C40188">
      <w:r>
        <w:t>PEGAS se skládá z holdingové společnosti v Lucembur</w:t>
      </w:r>
      <w:r w:rsidR="003131FA">
        <w:t>s</w:t>
      </w:r>
      <w:r>
        <w:t xml:space="preserve">ku a čtyř provozních společností, jimiž jsou PEGAS NONWOVENS s.r.o., PEGAS-NT a.s., PEGAS – NW a.s. a PEGAS – NS a.s., všechny se sídlem v České republice. V roce 2010 byla za účelem realizace potenciálních investičních příležitostí založena společnost PEGAS NONWOVENS International s.r.o. </w:t>
      </w:r>
      <w:r w:rsidR="00E8774E">
        <w:t xml:space="preserve">Tato společnost prostřednictvím svých dceřiných společností </w:t>
      </w:r>
      <w:r>
        <w:t>PEGAS NONWOVENS EGYPT LLC</w:t>
      </w:r>
      <w:r w:rsidR="00E8774E">
        <w:t xml:space="preserve"> a </w:t>
      </w:r>
      <w:r w:rsidR="00E8774E" w:rsidRPr="001D2103">
        <w:t>PEGAS NONWOVENS RSA (PTY) LTD</w:t>
      </w:r>
      <w:r>
        <w:t xml:space="preserve"> realizuje investici v</w:t>
      </w:r>
      <w:r w:rsidR="00E8774E">
        <w:t> </w:t>
      </w:r>
      <w:r>
        <w:t>Egyptě</w:t>
      </w:r>
      <w:r w:rsidR="00E8774E">
        <w:t xml:space="preserve"> a </w:t>
      </w:r>
      <w:r w:rsidR="001D2103" w:rsidRPr="001D2103">
        <w:t>v Jihoafrické republice.</w:t>
      </w:r>
      <w:r w:rsidR="002C36C0">
        <w:t xml:space="preserve"> </w:t>
      </w:r>
      <w:r>
        <w:t>K 30.</w:t>
      </w:r>
      <w:r w:rsidR="003131FA">
        <w:t> </w:t>
      </w:r>
      <w:r>
        <w:t>červnu 201</w:t>
      </w:r>
      <w:r w:rsidR="001D2103">
        <w:t>7</w:t>
      </w:r>
      <w:r>
        <w:t xml:space="preserve"> PEGAS zaměstnával </w:t>
      </w:r>
      <w:r w:rsidR="002C76B2">
        <w:t xml:space="preserve">586 </w:t>
      </w:r>
      <w:r>
        <w:t>lidí.</w:t>
      </w:r>
    </w:p>
    <w:p w:rsidR="00C40188" w:rsidRDefault="00C40188" w:rsidP="00C40188">
      <w:r>
        <w:t>Po uvedení společnosti na akciový trh v prosinci 2006 jsou akcie PEGASu k</w:t>
      </w:r>
      <w:r w:rsidR="00123A44">
        <w:t>o</w:t>
      </w:r>
      <w:r>
        <w:t>továny na burzách v Praze a ve Varšavě. Free float představuje 100</w:t>
      </w:r>
      <w:r w:rsidR="00123A44">
        <w:t xml:space="preserve"> </w:t>
      </w:r>
      <w:r>
        <w:t xml:space="preserve">% akcií Společnosti a je v držení institucionálních a drobných investorů. </w:t>
      </w:r>
    </w:p>
    <w:p w:rsidR="000C5BF2" w:rsidRPr="007A3749" w:rsidRDefault="00C40188" w:rsidP="00C40188">
      <w:r>
        <w:t>PEGAS je členem European Disposables and Nonwovens Association (EDANA).</w:t>
      </w:r>
    </w:p>
    <w:p w:rsidR="002508E3" w:rsidRPr="007A3749" w:rsidRDefault="002508E3" w:rsidP="00396F0C">
      <w:pPr>
        <w:pStyle w:val="Heading1"/>
        <w:sectPr w:rsidR="002508E3" w:rsidRPr="007A3749" w:rsidSect="000D4294">
          <w:footerReference w:type="even" r:id="rId11"/>
          <w:footerReference w:type="default" r:id="rId12"/>
          <w:pgSz w:w="11906" w:h="16838"/>
          <w:pgMar w:top="1417" w:right="1417" w:bottom="1417" w:left="1417" w:header="708" w:footer="708" w:gutter="0"/>
          <w:cols w:space="708"/>
          <w:titlePg/>
          <w:docGrid w:linePitch="360"/>
        </w:sectPr>
      </w:pPr>
    </w:p>
    <w:p w:rsidR="00104AB8" w:rsidRDefault="00396F0C" w:rsidP="00396F0C">
      <w:pPr>
        <w:pStyle w:val="Heading1"/>
      </w:pPr>
      <w:bookmarkStart w:id="3" w:name="_Toc269111112"/>
      <w:bookmarkStart w:id="4" w:name="_Toc269118384"/>
      <w:bookmarkStart w:id="5" w:name="_Toc269139283"/>
      <w:bookmarkStart w:id="6" w:name="_Toc269111114"/>
      <w:bookmarkStart w:id="7" w:name="_Toc269118386"/>
      <w:bookmarkStart w:id="8" w:name="_Toc269139285"/>
      <w:bookmarkStart w:id="9" w:name="_Toc269907485"/>
      <w:bookmarkStart w:id="10" w:name="_Toc487810677"/>
      <w:bookmarkEnd w:id="3"/>
      <w:bookmarkEnd w:id="4"/>
      <w:bookmarkEnd w:id="5"/>
      <w:bookmarkEnd w:id="6"/>
      <w:bookmarkEnd w:id="7"/>
      <w:bookmarkEnd w:id="8"/>
      <w:r w:rsidRPr="00396F0C">
        <w:lastRenderedPageBreak/>
        <w:t>Hlavní údaje za první pololetí 201</w:t>
      </w:r>
      <w:bookmarkEnd w:id="9"/>
      <w:r w:rsidR="00123A44">
        <w:t>7</w:t>
      </w:r>
      <w:bookmarkEnd w:id="10"/>
    </w:p>
    <w:p w:rsidR="00082F06" w:rsidRPr="00082F06" w:rsidRDefault="00082F06" w:rsidP="00082F06"/>
    <w:tbl>
      <w:tblPr>
        <w:tblW w:w="5000" w:type="pct"/>
        <w:tblLayout w:type="fixed"/>
        <w:tblLook w:val="04A0" w:firstRow="1" w:lastRow="0" w:firstColumn="1" w:lastColumn="0" w:noHBand="0" w:noVBand="1"/>
      </w:tblPr>
      <w:tblGrid>
        <w:gridCol w:w="4879"/>
        <w:gridCol w:w="990"/>
        <w:gridCol w:w="1170"/>
        <w:gridCol w:w="1040"/>
        <w:gridCol w:w="1209"/>
      </w:tblGrid>
      <w:tr w:rsidR="00475C5A" w:rsidRPr="00475C5A" w:rsidTr="00202C43">
        <w:trPr>
          <w:trHeight w:val="318"/>
        </w:trPr>
        <w:tc>
          <w:tcPr>
            <w:tcW w:w="2626" w:type="pct"/>
            <w:tcBorders>
              <w:top w:val="nil"/>
              <w:left w:val="nil"/>
              <w:bottom w:val="nil"/>
              <w:right w:val="nil"/>
            </w:tcBorders>
            <w:shd w:val="clear" w:color="000000" w:fill="E2001C"/>
            <w:noWrap/>
            <w:vAlign w:val="bottom"/>
            <w:hideMark/>
          </w:tcPr>
          <w:p w:rsidR="00475C5A" w:rsidRPr="006A52A1" w:rsidRDefault="00475C5A" w:rsidP="00475C5A">
            <w:pPr>
              <w:spacing w:before="0" w:beforeAutospacing="0" w:after="0" w:afterAutospacing="0"/>
              <w:jc w:val="left"/>
              <w:rPr>
                <w:rFonts w:ascii="Calibri" w:hAnsi="Calibri" w:cs="Arial"/>
                <w:b/>
                <w:bCs/>
                <w:color w:val="FFFFFF"/>
                <w:sz w:val="20"/>
                <w:szCs w:val="20"/>
                <w:lang w:val="pl-PL" w:eastAsia="en-US"/>
              </w:rPr>
            </w:pPr>
            <w:r w:rsidRPr="006A52A1">
              <w:rPr>
                <w:rFonts w:ascii="Calibri" w:hAnsi="Calibri" w:cs="Arial"/>
                <w:b/>
                <w:bCs/>
                <w:color w:val="FFFFFF"/>
                <w:sz w:val="20"/>
                <w:szCs w:val="20"/>
                <w:lang w:val="pl-PL" w:eastAsia="en-US"/>
              </w:rPr>
              <w:t> </w:t>
            </w:r>
          </w:p>
        </w:tc>
        <w:tc>
          <w:tcPr>
            <w:tcW w:w="1163" w:type="pct"/>
            <w:gridSpan w:val="2"/>
            <w:tcBorders>
              <w:top w:val="nil"/>
              <w:left w:val="nil"/>
              <w:bottom w:val="nil"/>
              <w:right w:val="nil"/>
            </w:tcBorders>
            <w:shd w:val="clear" w:color="000000" w:fill="E2001C"/>
            <w:noWrap/>
            <w:vAlign w:val="bottom"/>
            <w:hideMark/>
          </w:tcPr>
          <w:p w:rsidR="00475C5A" w:rsidRPr="006A52A1" w:rsidRDefault="00475C5A" w:rsidP="00475C5A">
            <w:pPr>
              <w:spacing w:before="0" w:beforeAutospacing="0" w:after="0" w:afterAutospacing="0"/>
              <w:jc w:val="center"/>
              <w:rPr>
                <w:rFonts w:ascii="Calibri" w:hAnsi="Calibri" w:cs="Arial"/>
                <w:b/>
                <w:bCs/>
                <w:color w:val="FFFFFF"/>
                <w:sz w:val="20"/>
                <w:szCs w:val="20"/>
                <w:lang w:val="pl-PL" w:eastAsia="en-US"/>
              </w:rPr>
            </w:pPr>
            <w:r w:rsidRPr="006A52A1">
              <w:rPr>
                <w:rFonts w:ascii="Calibri" w:hAnsi="Calibri" w:cs="Arial"/>
                <w:b/>
                <w:bCs/>
                <w:color w:val="FFFFFF"/>
                <w:sz w:val="20"/>
                <w:szCs w:val="20"/>
                <w:lang w:val="pl-PL" w:eastAsia="en-US"/>
              </w:rPr>
              <w:t> </w:t>
            </w:r>
          </w:p>
        </w:tc>
        <w:tc>
          <w:tcPr>
            <w:tcW w:w="1211" w:type="pct"/>
            <w:gridSpan w:val="2"/>
            <w:tcBorders>
              <w:top w:val="nil"/>
              <w:left w:val="nil"/>
              <w:bottom w:val="nil"/>
              <w:right w:val="nil"/>
            </w:tcBorders>
            <w:shd w:val="clear" w:color="000000" w:fill="E2001C"/>
            <w:noWrap/>
            <w:vAlign w:val="bottom"/>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Druhé čtvrtletí</w:t>
            </w:r>
          </w:p>
        </w:tc>
      </w:tr>
      <w:tr w:rsidR="00475C5A" w:rsidRPr="00475C5A" w:rsidTr="00202C43">
        <w:trPr>
          <w:trHeight w:val="318"/>
        </w:trPr>
        <w:tc>
          <w:tcPr>
            <w:tcW w:w="2626" w:type="pct"/>
            <w:tcBorders>
              <w:top w:val="nil"/>
              <w:left w:val="nil"/>
              <w:bottom w:val="nil"/>
              <w:right w:val="nil"/>
            </w:tcBorders>
            <w:shd w:val="clear" w:color="000000" w:fill="E2001C"/>
            <w:noWrap/>
            <w:vAlign w:val="bottom"/>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 </w:t>
            </w:r>
          </w:p>
        </w:tc>
        <w:tc>
          <w:tcPr>
            <w:tcW w:w="1163" w:type="pct"/>
            <w:gridSpan w:val="2"/>
            <w:tcBorders>
              <w:top w:val="nil"/>
              <w:left w:val="nil"/>
              <w:bottom w:val="nil"/>
              <w:right w:val="nil"/>
            </w:tcBorders>
            <w:shd w:val="clear" w:color="000000" w:fill="E2001C"/>
            <w:noWrap/>
            <w:vAlign w:val="bottom"/>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Leden – červen 2017</w:t>
            </w:r>
          </w:p>
        </w:tc>
        <w:tc>
          <w:tcPr>
            <w:tcW w:w="1211" w:type="pct"/>
            <w:gridSpan w:val="2"/>
            <w:tcBorders>
              <w:top w:val="nil"/>
              <w:left w:val="nil"/>
              <w:bottom w:val="nil"/>
              <w:right w:val="nil"/>
            </w:tcBorders>
            <w:shd w:val="clear" w:color="000000" w:fill="E2001C"/>
            <w:noWrap/>
            <w:vAlign w:val="bottom"/>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duben - červen 2017</w:t>
            </w:r>
          </w:p>
        </w:tc>
      </w:tr>
      <w:tr w:rsidR="00475C5A" w:rsidRPr="00475C5A" w:rsidTr="00202C43">
        <w:trPr>
          <w:trHeight w:val="330"/>
        </w:trPr>
        <w:tc>
          <w:tcPr>
            <w:tcW w:w="2626" w:type="pct"/>
            <w:tcBorders>
              <w:top w:val="nil"/>
              <w:left w:val="nil"/>
              <w:bottom w:val="nil"/>
              <w:right w:val="nil"/>
            </w:tcBorders>
            <w:shd w:val="clear" w:color="000000" w:fill="E2001C"/>
            <w:noWrap/>
            <w:vAlign w:val="center"/>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 </w:t>
            </w:r>
          </w:p>
        </w:tc>
        <w:tc>
          <w:tcPr>
            <w:tcW w:w="533" w:type="pct"/>
            <w:tcBorders>
              <w:top w:val="nil"/>
              <w:left w:val="nil"/>
              <w:bottom w:val="nil"/>
              <w:right w:val="nil"/>
            </w:tcBorders>
            <w:shd w:val="clear" w:color="000000" w:fill="E2001C"/>
            <w:noWrap/>
            <w:vAlign w:val="center"/>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 </w:t>
            </w:r>
          </w:p>
        </w:tc>
        <w:tc>
          <w:tcPr>
            <w:tcW w:w="630" w:type="pct"/>
            <w:tcBorders>
              <w:top w:val="nil"/>
              <w:left w:val="nil"/>
              <w:bottom w:val="nil"/>
              <w:right w:val="nil"/>
            </w:tcBorders>
            <w:shd w:val="clear" w:color="000000" w:fill="E2001C"/>
            <w:noWrap/>
            <w:vAlign w:val="center"/>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meziročně</w:t>
            </w:r>
          </w:p>
        </w:tc>
        <w:tc>
          <w:tcPr>
            <w:tcW w:w="560" w:type="pct"/>
            <w:tcBorders>
              <w:top w:val="nil"/>
              <w:left w:val="nil"/>
              <w:bottom w:val="nil"/>
              <w:right w:val="nil"/>
            </w:tcBorders>
            <w:shd w:val="clear" w:color="000000" w:fill="E2001C"/>
            <w:noWrap/>
            <w:vAlign w:val="center"/>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 </w:t>
            </w:r>
          </w:p>
        </w:tc>
        <w:tc>
          <w:tcPr>
            <w:tcW w:w="651" w:type="pct"/>
            <w:tcBorders>
              <w:top w:val="nil"/>
              <w:left w:val="nil"/>
              <w:bottom w:val="nil"/>
              <w:right w:val="nil"/>
            </w:tcBorders>
            <w:shd w:val="clear" w:color="000000" w:fill="E2001C"/>
            <w:noWrap/>
            <w:vAlign w:val="center"/>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r w:rsidRPr="00475C5A">
              <w:rPr>
                <w:rFonts w:ascii="Calibri" w:hAnsi="Calibri" w:cs="Arial"/>
                <w:b/>
                <w:bCs/>
                <w:color w:val="FFFFFF"/>
                <w:sz w:val="20"/>
                <w:szCs w:val="20"/>
                <w:lang w:val="en-US" w:eastAsia="en-US"/>
              </w:rPr>
              <w:t>meziročně</w:t>
            </w:r>
          </w:p>
        </w:tc>
      </w:tr>
      <w:tr w:rsidR="00475C5A" w:rsidRPr="00475C5A" w:rsidTr="00202C43">
        <w:trPr>
          <w:trHeight w:val="108"/>
        </w:trPr>
        <w:tc>
          <w:tcPr>
            <w:tcW w:w="2626"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p>
        </w:tc>
        <w:tc>
          <w:tcPr>
            <w:tcW w:w="533"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p>
        </w:tc>
        <w:tc>
          <w:tcPr>
            <w:tcW w:w="63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p>
        </w:tc>
        <w:tc>
          <w:tcPr>
            <w:tcW w:w="56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jc w:val="left"/>
              <w:rPr>
                <w:rFonts w:ascii="Calibri" w:hAnsi="Calibri" w:cs="Arial"/>
                <w:b/>
                <w:bCs/>
                <w:color w:val="FFFFFF"/>
                <w:sz w:val="20"/>
                <w:szCs w:val="20"/>
                <w:lang w:val="en-US" w:eastAsia="en-US"/>
              </w:rPr>
            </w:pPr>
          </w:p>
        </w:tc>
        <w:tc>
          <w:tcPr>
            <w:tcW w:w="651"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jc w:val="center"/>
              <w:rPr>
                <w:rFonts w:ascii="Calibri" w:hAnsi="Calibri" w:cs="Arial"/>
                <w:b/>
                <w:bCs/>
                <w:color w:val="FFFFFF"/>
                <w:sz w:val="20"/>
                <w:szCs w:val="20"/>
                <w:lang w:val="en-US" w:eastAsia="en-US"/>
              </w:rPr>
            </w:pPr>
          </w:p>
        </w:tc>
      </w:tr>
      <w:tr w:rsidR="00475C5A" w:rsidRPr="00475C5A" w:rsidTr="00202C43">
        <w:trPr>
          <w:trHeight w:val="330"/>
        </w:trPr>
        <w:tc>
          <w:tcPr>
            <w:tcW w:w="2626" w:type="pct"/>
            <w:tcBorders>
              <w:top w:val="nil"/>
              <w:left w:val="nil"/>
              <w:bottom w:val="nil"/>
              <w:right w:val="nil"/>
            </w:tcBorders>
            <w:shd w:val="clear" w:color="000000" w:fill="9C9D9F"/>
            <w:vAlign w:val="center"/>
            <w:hideMark/>
          </w:tcPr>
          <w:p w:rsidR="00475C5A" w:rsidRPr="006A52A1" w:rsidRDefault="00475C5A" w:rsidP="00475C5A">
            <w:pPr>
              <w:spacing w:before="0" w:beforeAutospacing="0" w:after="0" w:afterAutospacing="0"/>
              <w:jc w:val="left"/>
              <w:rPr>
                <w:rFonts w:ascii="Calibri" w:hAnsi="Calibri" w:cs="Arial"/>
                <w:b/>
                <w:bCs/>
                <w:sz w:val="20"/>
                <w:szCs w:val="20"/>
                <w:lang w:val="pl-PL" w:eastAsia="en-US"/>
              </w:rPr>
            </w:pPr>
            <w:r w:rsidRPr="006A52A1">
              <w:rPr>
                <w:rFonts w:ascii="Calibri" w:hAnsi="Calibri" w:cs="Arial"/>
                <w:b/>
                <w:bCs/>
                <w:sz w:val="20"/>
                <w:szCs w:val="20"/>
                <w:lang w:val="pl-PL" w:eastAsia="en-US"/>
              </w:rPr>
              <w:t>Finanční ukazatele (v mil. EUR)</w:t>
            </w:r>
          </w:p>
        </w:tc>
        <w:tc>
          <w:tcPr>
            <w:tcW w:w="533" w:type="pct"/>
            <w:tcBorders>
              <w:top w:val="nil"/>
              <w:left w:val="nil"/>
              <w:bottom w:val="nil"/>
              <w:right w:val="nil"/>
            </w:tcBorders>
            <w:shd w:val="clear" w:color="000000" w:fill="9C9D9F"/>
            <w:noWrap/>
            <w:vAlign w:val="center"/>
            <w:hideMark/>
          </w:tcPr>
          <w:p w:rsidR="00475C5A" w:rsidRPr="006A52A1" w:rsidRDefault="00475C5A" w:rsidP="00475C5A">
            <w:pPr>
              <w:spacing w:before="0" w:beforeAutospacing="0" w:after="0" w:afterAutospacing="0"/>
              <w:ind w:firstLineChars="100" w:firstLine="201"/>
              <w:jc w:val="right"/>
              <w:rPr>
                <w:rFonts w:ascii="Calibri" w:hAnsi="Calibri" w:cs="Arial"/>
                <w:b/>
                <w:bCs/>
                <w:sz w:val="20"/>
                <w:szCs w:val="20"/>
                <w:lang w:val="pl-PL" w:eastAsia="en-US"/>
              </w:rPr>
            </w:pPr>
            <w:r w:rsidRPr="006A52A1">
              <w:rPr>
                <w:rFonts w:ascii="Calibri" w:hAnsi="Calibri" w:cs="Arial"/>
                <w:b/>
                <w:bCs/>
                <w:sz w:val="20"/>
                <w:szCs w:val="20"/>
                <w:lang w:val="pl-PL" w:eastAsia="en-US"/>
              </w:rPr>
              <w:t> </w:t>
            </w:r>
          </w:p>
        </w:tc>
        <w:tc>
          <w:tcPr>
            <w:tcW w:w="630" w:type="pct"/>
            <w:tcBorders>
              <w:top w:val="nil"/>
              <w:left w:val="nil"/>
              <w:bottom w:val="nil"/>
              <w:right w:val="nil"/>
            </w:tcBorders>
            <w:shd w:val="clear" w:color="000000" w:fill="9C9D9F"/>
            <w:noWrap/>
            <w:vAlign w:val="center"/>
            <w:hideMark/>
          </w:tcPr>
          <w:p w:rsidR="00475C5A" w:rsidRPr="006A52A1" w:rsidRDefault="00475C5A" w:rsidP="00475C5A">
            <w:pPr>
              <w:spacing w:before="0" w:beforeAutospacing="0" w:after="0" w:afterAutospacing="0"/>
              <w:ind w:firstLineChars="100" w:firstLine="201"/>
              <w:jc w:val="right"/>
              <w:rPr>
                <w:rFonts w:ascii="Calibri" w:hAnsi="Calibri" w:cs="Arial"/>
                <w:b/>
                <w:bCs/>
                <w:sz w:val="20"/>
                <w:szCs w:val="20"/>
                <w:lang w:val="pl-PL" w:eastAsia="en-US"/>
              </w:rPr>
            </w:pPr>
            <w:r w:rsidRPr="006A52A1">
              <w:rPr>
                <w:rFonts w:ascii="Calibri" w:hAnsi="Calibri" w:cs="Arial"/>
                <w:b/>
                <w:bCs/>
                <w:sz w:val="20"/>
                <w:szCs w:val="20"/>
                <w:lang w:val="pl-PL" w:eastAsia="en-US"/>
              </w:rPr>
              <w:t> </w:t>
            </w:r>
          </w:p>
        </w:tc>
        <w:tc>
          <w:tcPr>
            <w:tcW w:w="560" w:type="pct"/>
            <w:tcBorders>
              <w:top w:val="nil"/>
              <w:left w:val="nil"/>
              <w:bottom w:val="nil"/>
              <w:right w:val="nil"/>
            </w:tcBorders>
            <w:shd w:val="clear" w:color="000000" w:fill="9C9D9F"/>
            <w:noWrap/>
            <w:vAlign w:val="center"/>
            <w:hideMark/>
          </w:tcPr>
          <w:p w:rsidR="00475C5A" w:rsidRPr="006A52A1" w:rsidRDefault="00475C5A" w:rsidP="00475C5A">
            <w:pPr>
              <w:spacing w:before="0" w:beforeAutospacing="0" w:after="0" w:afterAutospacing="0"/>
              <w:ind w:firstLineChars="100" w:firstLine="201"/>
              <w:jc w:val="right"/>
              <w:rPr>
                <w:rFonts w:ascii="Calibri" w:hAnsi="Calibri" w:cs="Arial"/>
                <w:b/>
                <w:bCs/>
                <w:sz w:val="20"/>
                <w:szCs w:val="20"/>
                <w:lang w:val="pl-PL" w:eastAsia="en-US"/>
              </w:rPr>
            </w:pPr>
            <w:r w:rsidRPr="006A52A1">
              <w:rPr>
                <w:rFonts w:ascii="Calibri" w:hAnsi="Calibri" w:cs="Arial"/>
                <w:b/>
                <w:bCs/>
                <w:sz w:val="20"/>
                <w:szCs w:val="20"/>
                <w:lang w:val="pl-PL" w:eastAsia="en-US"/>
              </w:rPr>
              <w:t> </w:t>
            </w:r>
          </w:p>
        </w:tc>
        <w:tc>
          <w:tcPr>
            <w:tcW w:w="651" w:type="pct"/>
            <w:tcBorders>
              <w:top w:val="nil"/>
              <w:left w:val="nil"/>
              <w:bottom w:val="nil"/>
              <w:right w:val="nil"/>
            </w:tcBorders>
            <w:shd w:val="clear" w:color="000000" w:fill="9C9D9F"/>
            <w:noWrap/>
            <w:vAlign w:val="center"/>
            <w:hideMark/>
          </w:tcPr>
          <w:p w:rsidR="00475C5A" w:rsidRPr="006A52A1" w:rsidRDefault="00475C5A" w:rsidP="00475C5A">
            <w:pPr>
              <w:spacing w:before="0" w:beforeAutospacing="0" w:after="0" w:afterAutospacing="0"/>
              <w:ind w:firstLineChars="100" w:firstLine="201"/>
              <w:jc w:val="right"/>
              <w:rPr>
                <w:rFonts w:ascii="Calibri" w:hAnsi="Calibri" w:cs="Arial"/>
                <w:b/>
                <w:bCs/>
                <w:sz w:val="20"/>
                <w:szCs w:val="20"/>
                <w:lang w:val="pl-PL" w:eastAsia="en-US"/>
              </w:rPr>
            </w:pPr>
            <w:r w:rsidRPr="006A52A1">
              <w:rPr>
                <w:rFonts w:ascii="Calibri" w:hAnsi="Calibri" w:cs="Arial"/>
                <w:b/>
                <w:bCs/>
                <w:sz w:val="20"/>
                <w:szCs w:val="20"/>
                <w:lang w:val="pl-PL" w:eastAsia="en-US"/>
              </w:rPr>
              <w:t> </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Výnosy</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111,7</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4,7%</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56,0</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8,5%</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Provozní náklady bez odpisů</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-91,0</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8,5%</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-46,5</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15,2%</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EBITDA</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20,7</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-9,2%</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9,5</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-15,6%</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Odpisy</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-8,3</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2,3%</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-4,2</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3,1%</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Provozní hospodářský výsledek (EBIT)</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12,4</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-15,5%</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5,3</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-26,1%</w:t>
            </w:r>
          </w:p>
        </w:tc>
      </w:tr>
      <w:tr w:rsidR="00475C5A" w:rsidRPr="00475C5A" w:rsidTr="00202C43">
        <w:trPr>
          <w:trHeight w:val="279"/>
        </w:trPr>
        <w:tc>
          <w:tcPr>
            <w:tcW w:w="2626" w:type="pct"/>
            <w:tcBorders>
              <w:top w:val="nil"/>
              <w:left w:val="nil"/>
              <w:bottom w:val="single" w:sz="4" w:space="0" w:color="9C9D9F"/>
              <w:right w:val="nil"/>
            </w:tcBorders>
            <w:shd w:val="clear" w:color="auto" w:fill="auto"/>
            <w:vAlign w:val="center"/>
            <w:hideMark/>
          </w:tcPr>
          <w:p w:rsidR="00475C5A" w:rsidRPr="006A52A1" w:rsidRDefault="00475C5A" w:rsidP="00475C5A">
            <w:pPr>
              <w:spacing w:before="0" w:beforeAutospacing="0" w:after="0" w:afterAutospacing="0"/>
              <w:jc w:val="left"/>
              <w:rPr>
                <w:rFonts w:ascii="Calibri" w:hAnsi="Calibri" w:cs="Arial"/>
                <w:sz w:val="20"/>
                <w:szCs w:val="20"/>
                <w:lang w:eastAsia="en-US"/>
              </w:rPr>
            </w:pPr>
            <w:r w:rsidRPr="006A52A1">
              <w:rPr>
                <w:rFonts w:ascii="Calibri" w:hAnsi="Calibri" w:cs="Arial"/>
                <w:sz w:val="20"/>
                <w:szCs w:val="20"/>
                <w:lang w:eastAsia="en-US"/>
              </w:rPr>
              <w:t>Kurzové změny a ostatní finanční výnosy / (náklady) (netto)</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w:t>
            </w:r>
            <w:r w:rsidR="00F12220">
              <w:rPr>
                <w:rFonts w:ascii="Calibri" w:hAnsi="Calibri" w:cs="Arial"/>
                <w:sz w:val="20"/>
                <w:szCs w:val="20"/>
                <w:lang w:val="en-US" w:eastAsia="en-US"/>
              </w:rPr>
              <w:t>1</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F12220">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60</w:t>
            </w:r>
            <w:r w:rsidR="00475C5A" w:rsidRPr="00475C5A">
              <w:rPr>
                <w:rFonts w:ascii="Calibri" w:hAnsi="Calibri" w:cs="Arial"/>
                <w:sz w:val="20"/>
                <w:szCs w:val="20"/>
                <w:lang w:val="en-US" w:eastAsia="en-US"/>
              </w:rPr>
              <w:t>,</w:t>
            </w:r>
            <w:r>
              <w:rPr>
                <w:rFonts w:ascii="Calibri" w:hAnsi="Calibri" w:cs="Arial"/>
                <w:sz w:val="20"/>
                <w:szCs w:val="20"/>
                <w:lang w:val="en-US" w:eastAsia="en-US"/>
              </w:rPr>
              <w:t>3</w:t>
            </w:r>
            <w:r w:rsidR="00475C5A" w:rsidRPr="00475C5A">
              <w:rPr>
                <w:rFonts w:ascii="Calibri" w:hAnsi="Calibri" w:cs="Arial"/>
                <w:sz w:val="20"/>
                <w:szCs w:val="20"/>
                <w:lang w:val="en-US" w:eastAsia="en-US"/>
              </w:rPr>
              <w:t>%</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w:t>
            </w:r>
            <w:r w:rsidR="00F12220">
              <w:rPr>
                <w:rFonts w:ascii="Calibri" w:hAnsi="Calibri" w:cs="Arial"/>
                <w:sz w:val="20"/>
                <w:szCs w:val="20"/>
                <w:lang w:val="en-US" w:eastAsia="en-US"/>
              </w:rPr>
              <w:t>1</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n/a</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Úrokové náklady (netto)</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-3,7</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-10,6%</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-1,9</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-6,2%</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6A52A1" w:rsidRDefault="00475C5A" w:rsidP="00475C5A">
            <w:pPr>
              <w:spacing w:before="0" w:beforeAutospacing="0" w:after="0" w:afterAutospacing="0"/>
              <w:jc w:val="left"/>
              <w:rPr>
                <w:rFonts w:ascii="Calibri" w:hAnsi="Calibri" w:cs="Arial"/>
                <w:sz w:val="20"/>
                <w:szCs w:val="20"/>
                <w:lang w:eastAsia="en-US"/>
              </w:rPr>
            </w:pPr>
            <w:r w:rsidRPr="006A52A1">
              <w:rPr>
                <w:rFonts w:ascii="Calibri" w:hAnsi="Calibri" w:cs="Arial"/>
                <w:sz w:val="20"/>
                <w:szCs w:val="20"/>
                <w:lang w:eastAsia="en-US"/>
              </w:rPr>
              <w:t>Daň z příjmů – (náklad)/výnos</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-1,0</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-0,6%</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-0,5</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n/a</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Čistý zisk</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4,</w:t>
            </w:r>
            <w:r w:rsidR="00F12220">
              <w:rPr>
                <w:rFonts w:ascii="Calibri" w:hAnsi="Calibri" w:cs="Arial"/>
                <w:b/>
                <w:bCs/>
                <w:sz w:val="20"/>
                <w:szCs w:val="20"/>
                <w:lang w:val="en-US" w:eastAsia="en-US"/>
              </w:rPr>
              <w:t>5</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8429B">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w:t>
            </w:r>
            <w:r w:rsidR="0048429B">
              <w:rPr>
                <w:rFonts w:ascii="Calibri" w:hAnsi="Calibri" w:cs="Arial"/>
                <w:b/>
                <w:bCs/>
                <w:sz w:val="20"/>
                <w:szCs w:val="20"/>
                <w:lang w:val="en-US" w:eastAsia="en-US"/>
              </w:rPr>
              <w:t>40</w:t>
            </w:r>
            <w:r w:rsidRPr="00475C5A">
              <w:rPr>
                <w:rFonts w:ascii="Calibri" w:hAnsi="Calibri" w:cs="Arial"/>
                <w:b/>
                <w:bCs/>
                <w:sz w:val="20"/>
                <w:szCs w:val="20"/>
                <w:lang w:val="en-US" w:eastAsia="en-US"/>
              </w:rPr>
              <w:t>,9%</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8429B">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0,</w:t>
            </w:r>
            <w:r w:rsidR="0048429B">
              <w:rPr>
                <w:rFonts w:ascii="Calibri" w:hAnsi="Calibri" w:cs="Arial"/>
                <w:b/>
                <w:bCs/>
                <w:sz w:val="20"/>
                <w:szCs w:val="20"/>
                <w:lang w:val="en-US" w:eastAsia="en-US"/>
              </w:rPr>
              <w:t>8</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8429B">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w:t>
            </w:r>
            <w:r w:rsidR="00F12220">
              <w:rPr>
                <w:rFonts w:ascii="Calibri" w:hAnsi="Calibri" w:cs="Arial"/>
                <w:b/>
                <w:bCs/>
                <w:sz w:val="20"/>
                <w:szCs w:val="20"/>
                <w:lang w:val="en-US" w:eastAsia="en-US"/>
              </w:rPr>
              <w:t>8</w:t>
            </w:r>
            <w:r w:rsidR="0048429B">
              <w:rPr>
                <w:rFonts w:ascii="Calibri" w:hAnsi="Calibri" w:cs="Arial"/>
                <w:b/>
                <w:bCs/>
                <w:sz w:val="20"/>
                <w:szCs w:val="20"/>
                <w:lang w:val="en-US" w:eastAsia="en-US"/>
              </w:rPr>
              <w:t>8</w:t>
            </w:r>
            <w:r w:rsidRPr="00475C5A">
              <w:rPr>
                <w:rFonts w:ascii="Calibri" w:hAnsi="Calibri" w:cs="Arial"/>
                <w:b/>
                <w:bCs/>
                <w:sz w:val="20"/>
                <w:szCs w:val="20"/>
                <w:lang w:val="en-US" w:eastAsia="en-US"/>
              </w:rPr>
              <w:t>,</w:t>
            </w:r>
            <w:r w:rsidR="00F12220">
              <w:rPr>
                <w:rFonts w:ascii="Calibri" w:hAnsi="Calibri" w:cs="Arial"/>
                <w:b/>
                <w:bCs/>
                <w:sz w:val="20"/>
                <w:szCs w:val="20"/>
                <w:lang w:val="en-US" w:eastAsia="en-US"/>
              </w:rPr>
              <w:t>7</w:t>
            </w:r>
            <w:r w:rsidRPr="00475C5A">
              <w:rPr>
                <w:rFonts w:ascii="Calibri" w:hAnsi="Calibri" w:cs="Arial"/>
                <w:b/>
                <w:bCs/>
                <w:sz w:val="20"/>
                <w:szCs w:val="20"/>
                <w:lang w:val="en-US" w:eastAsia="en-US"/>
              </w:rPr>
              <w:t>%</w:t>
            </w:r>
          </w:p>
        </w:tc>
      </w:tr>
      <w:tr w:rsidR="00475C5A" w:rsidRPr="00475C5A" w:rsidTr="00202C43">
        <w:trPr>
          <w:trHeight w:val="108"/>
        </w:trPr>
        <w:tc>
          <w:tcPr>
            <w:tcW w:w="2626" w:type="pct"/>
            <w:tcBorders>
              <w:top w:val="nil"/>
              <w:left w:val="nil"/>
              <w:bottom w:val="nil"/>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p>
        </w:tc>
        <w:tc>
          <w:tcPr>
            <w:tcW w:w="533"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3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56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51"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r>
      <w:tr w:rsidR="00475C5A" w:rsidRPr="00475C5A" w:rsidTr="00202C43">
        <w:trPr>
          <w:trHeight w:val="276"/>
        </w:trPr>
        <w:tc>
          <w:tcPr>
            <w:tcW w:w="2626" w:type="pct"/>
            <w:tcBorders>
              <w:top w:val="single" w:sz="4" w:space="0" w:color="9C9D9F"/>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Čistý dluh</w:t>
            </w:r>
          </w:p>
        </w:tc>
        <w:tc>
          <w:tcPr>
            <w:tcW w:w="533"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169,</w:t>
            </w:r>
            <w:r w:rsidR="00F12220">
              <w:rPr>
                <w:rFonts w:ascii="Calibri" w:hAnsi="Calibri" w:cs="Arial"/>
                <w:sz w:val="20"/>
                <w:szCs w:val="20"/>
                <w:lang w:val="en-US" w:eastAsia="en-US"/>
              </w:rPr>
              <w:t>4</w:t>
            </w:r>
          </w:p>
        </w:tc>
        <w:tc>
          <w:tcPr>
            <w:tcW w:w="630"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17,</w:t>
            </w:r>
            <w:r w:rsidR="00F12220">
              <w:rPr>
                <w:rFonts w:ascii="Calibri" w:hAnsi="Calibri" w:cs="Arial"/>
                <w:sz w:val="20"/>
                <w:szCs w:val="20"/>
                <w:lang w:val="en-US" w:eastAsia="en-US"/>
              </w:rPr>
              <w:t>1</w:t>
            </w:r>
            <w:r w:rsidRPr="00475C5A">
              <w:rPr>
                <w:rFonts w:ascii="Calibri" w:hAnsi="Calibri" w:cs="Arial"/>
                <w:sz w:val="20"/>
                <w:szCs w:val="20"/>
                <w:lang w:val="en-US" w:eastAsia="en-US"/>
              </w:rPr>
              <w:t>%</w:t>
            </w:r>
          </w:p>
        </w:tc>
        <w:tc>
          <w:tcPr>
            <w:tcW w:w="560"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169,</w:t>
            </w:r>
            <w:r w:rsidR="00F12220">
              <w:rPr>
                <w:rFonts w:ascii="Calibri" w:hAnsi="Calibri" w:cs="Arial"/>
                <w:sz w:val="20"/>
                <w:szCs w:val="20"/>
                <w:lang w:val="en-US" w:eastAsia="en-US"/>
              </w:rPr>
              <w:t>4</w:t>
            </w:r>
          </w:p>
        </w:tc>
        <w:tc>
          <w:tcPr>
            <w:tcW w:w="651"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17,</w:t>
            </w:r>
            <w:r w:rsidR="00F12220">
              <w:rPr>
                <w:rFonts w:ascii="Calibri" w:hAnsi="Calibri" w:cs="Arial"/>
                <w:sz w:val="20"/>
                <w:szCs w:val="20"/>
                <w:lang w:val="en-US" w:eastAsia="en-US"/>
              </w:rPr>
              <w:t>1</w:t>
            </w:r>
            <w:r w:rsidRPr="00475C5A">
              <w:rPr>
                <w:rFonts w:ascii="Calibri" w:hAnsi="Calibri" w:cs="Arial"/>
                <w:sz w:val="20"/>
                <w:szCs w:val="20"/>
                <w:lang w:val="en-US" w:eastAsia="en-US"/>
              </w:rPr>
              <w:t>%</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Investice do hmotného a nehmotného majetku (CAPEX)</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14,5</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124,9%</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9,4</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119,9%</w:t>
            </w:r>
          </w:p>
        </w:tc>
      </w:tr>
      <w:tr w:rsidR="00475C5A" w:rsidRPr="00475C5A" w:rsidTr="00202C43">
        <w:trPr>
          <w:trHeight w:val="276"/>
        </w:trPr>
        <w:tc>
          <w:tcPr>
            <w:tcW w:w="2626" w:type="pct"/>
            <w:tcBorders>
              <w:top w:val="nil"/>
              <w:left w:val="nil"/>
              <w:bottom w:val="nil"/>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p>
        </w:tc>
        <w:tc>
          <w:tcPr>
            <w:tcW w:w="533"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3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56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51"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r>
      <w:tr w:rsidR="00475C5A" w:rsidRPr="00475C5A" w:rsidTr="00202C43">
        <w:trPr>
          <w:trHeight w:val="276"/>
        </w:trPr>
        <w:tc>
          <w:tcPr>
            <w:tcW w:w="2626" w:type="pct"/>
            <w:tcBorders>
              <w:top w:val="nil"/>
              <w:left w:val="nil"/>
              <w:bottom w:val="nil"/>
              <w:right w:val="nil"/>
            </w:tcBorders>
            <w:shd w:val="clear" w:color="000000" w:fill="9C9D9F"/>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Poměrové ukazatele ziskovosti</w:t>
            </w:r>
          </w:p>
        </w:tc>
        <w:tc>
          <w:tcPr>
            <w:tcW w:w="533"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630"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560"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651"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Marže EBITDA</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18,6%</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w:t>
            </w:r>
            <w:r w:rsidR="00F12220">
              <w:rPr>
                <w:rFonts w:ascii="Calibri" w:hAnsi="Calibri" w:cs="Arial"/>
                <w:sz w:val="20"/>
                <w:szCs w:val="20"/>
                <w:lang w:val="en-US" w:eastAsia="en-US"/>
              </w:rPr>
              <w:t>,</w:t>
            </w:r>
            <w:r w:rsidRPr="00475C5A">
              <w:rPr>
                <w:rFonts w:ascii="Calibri" w:hAnsi="Calibri" w:cs="Arial"/>
                <w:sz w:val="20"/>
                <w:szCs w:val="20"/>
                <w:lang w:val="en-US" w:eastAsia="en-US"/>
              </w:rPr>
              <w:t>8 p.b.</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16,9%</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-4</w:t>
            </w:r>
            <w:r w:rsidR="00F12220">
              <w:rPr>
                <w:rFonts w:ascii="Calibri" w:hAnsi="Calibri" w:cs="Arial"/>
                <w:sz w:val="20"/>
                <w:szCs w:val="20"/>
                <w:lang w:val="en-US" w:eastAsia="en-US"/>
              </w:rPr>
              <w:t>,</w:t>
            </w:r>
            <w:r w:rsidRPr="00475C5A">
              <w:rPr>
                <w:rFonts w:ascii="Calibri" w:hAnsi="Calibri" w:cs="Arial"/>
                <w:sz w:val="20"/>
                <w:szCs w:val="20"/>
                <w:lang w:val="en-US" w:eastAsia="en-US"/>
              </w:rPr>
              <w:t>8 p.b.</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Marže provozního zisku</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11,1%</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w:t>
            </w:r>
            <w:r w:rsidR="00F12220">
              <w:rPr>
                <w:rFonts w:ascii="Calibri" w:hAnsi="Calibri" w:cs="Arial"/>
                <w:sz w:val="20"/>
                <w:szCs w:val="20"/>
                <w:lang w:val="en-US" w:eastAsia="en-US"/>
              </w:rPr>
              <w:t>,</w:t>
            </w:r>
            <w:r w:rsidRPr="00475C5A">
              <w:rPr>
                <w:rFonts w:ascii="Calibri" w:hAnsi="Calibri" w:cs="Arial"/>
                <w:sz w:val="20"/>
                <w:szCs w:val="20"/>
                <w:lang w:val="en-US" w:eastAsia="en-US"/>
              </w:rPr>
              <w:t>7 p.b.</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9,5%</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-4</w:t>
            </w:r>
            <w:r w:rsidR="00F12220">
              <w:rPr>
                <w:rFonts w:ascii="Calibri" w:hAnsi="Calibri" w:cs="Arial"/>
                <w:sz w:val="20"/>
                <w:szCs w:val="20"/>
                <w:lang w:val="en-US" w:eastAsia="en-US"/>
              </w:rPr>
              <w:t>,</w:t>
            </w:r>
            <w:r w:rsidRPr="00475C5A">
              <w:rPr>
                <w:rFonts w:ascii="Calibri" w:hAnsi="Calibri" w:cs="Arial"/>
                <w:sz w:val="20"/>
                <w:szCs w:val="20"/>
                <w:lang w:val="en-US" w:eastAsia="en-US"/>
              </w:rPr>
              <w:t>4 p.b.</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Marže čistého zisku</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F12220"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4,</w:t>
            </w:r>
            <w:r w:rsidR="0048429B">
              <w:rPr>
                <w:rFonts w:ascii="Calibri" w:hAnsi="Calibri" w:cs="Arial"/>
                <w:sz w:val="20"/>
                <w:szCs w:val="20"/>
                <w:lang w:val="en-US" w:eastAsia="en-US"/>
              </w:rPr>
              <w:t>0</w:t>
            </w:r>
            <w:r w:rsidR="00475C5A" w:rsidRPr="00475C5A">
              <w:rPr>
                <w:rFonts w:ascii="Calibri" w:hAnsi="Calibri" w:cs="Arial"/>
                <w:sz w:val="20"/>
                <w:szCs w:val="20"/>
                <w:lang w:val="en-US" w:eastAsia="en-US"/>
              </w:rPr>
              <w:t>%</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8429B">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w:t>
            </w:r>
            <w:r w:rsidR="00F12220">
              <w:rPr>
                <w:rFonts w:ascii="Calibri" w:hAnsi="Calibri" w:cs="Arial"/>
                <w:sz w:val="20"/>
                <w:szCs w:val="20"/>
                <w:lang w:val="en-US" w:eastAsia="en-US"/>
              </w:rPr>
              <w:t>,</w:t>
            </w:r>
            <w:r w:rsidR="0048429B">
              <w:rPr>
                <w:rFonts w:ascii="Calibri" w:hAnsi="Calibri" w:cs="Arial"/>
                <w:sz w:val="20"/>
                <w:szCs w:val="20"/>
                <w:lang w:val="en-US" w:eastAsia="en-US"/>
              </w:rPr>
              <w:t>1</w:t>
            </w:r>
            <w:r w:rsidRPr="00475C5A">
              <w:rPr>
                <w:rFonts w:ascii="Calibri" w:hAnsi="Calibri" w:cs="Arial"/>
                <w:sz w:val="20"/>
                <w:szCs w:val="20"/>
                <w:lang w:val="en-US" w:eastAsia="en-US"/>
              </w:rPr>
              <w:t xml:space="preserve"> p.b.</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8429B">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w:t>
            </w:r>
            <w:r w:rsidR="0048429B">
              <w:rPr>
                <w:rFonts w:ascii="Calibri" w:hAnsi="Calibri" w:cs="Arial"/>
                <w:sz w:val="20"/>
                <w:szCs w:val="20"/>
                <w:lang w:val="en-US" w:eastAsia="en-US"/>
              </w:rPr>
              <w:t>4</w:t>
            </w:r>
            <w:r w:rsidRPr="00475C5A">
              <w:rPr>
                <w:rFonts w:ascii="Calibri" w:hAnsi="Calibri" w:cs="Arial"/>
                <w:sz w:val="20"/>
                <w:szCs w:val="20"/>
                <w:lang w:val="en-US" w:eastAsia="en-US"/>
              </w:rPr>
              <w:t>%</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8429B">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-12</w:t>
            </w:r>
            <w:r w:rsidR="00F12220">
              <w:rPr>
                <w:rFonts w:ascii="Calibri" w:hAnsi="Calibri" w:cs="Arial"/>
                <w:sz w:val="20"/>
                <w:szCs w:val="20"/>
                <w:lang w:val="en-US" w:eastAsia="en-US"/>
              </w:rPr>
              <w:t>,</w:t>
            </w:r>
            <w:r w:rsidR="0048429B">
              <w:rPr>
                <w:rFonts w:ascii="Calibri" w:hAnsi="Calibri" w:cs="Arial"/>
                <w:sz w:val="20"/>
                <w:szCs w:val="20"/>
                <w:lang w:val="en-US" w:eastAsia="en-US"/>
              </w:rPr>
              <w:t>3</w:t>
            </w:r>
            <w:r w:rsidRPr="00475C5A">
              <w:rPr>
                <w:rFonts w:ascii="Calibri" w:hAnsi="Calibri" w:cs="Arial"/>
                <w:sz w:val="20"/>
                <w:szCs w:val="20"/>
                <w:lang w:val="en-US" w:eastAsia="en-US"/>
              </w:rPr>
              <w:t xml:space="preserve"> p.b.</w:t>
            </w:r>
          </w:p>
        </w:tc>
      </w:tr>
      <w:tr w:rsidR="00475C5A" w:rsidRPr="00475C5A" w:rsidTr="00202C43">
        <w:trPr>
          <w:trHeight w:val="276"/>
        </w:trPr>
        <w:tc>
          <w:tcPr>
            <w:tcW w:w="2626" w:type="pct"/>
            <w:tcBorders>
              <w:top w:val="nil"/>
              <w:left w:val="nil"/>
              <w:bottom w:val="nil"/>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p>
        </w:tc>
        <w:tc>
          <w:tcPr>
            <w:tcW w:w="533"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3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56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51"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r>
      <w:tr w:rsidR="00475C5A" w:rsidRPr="00475C5A" w:rsidTr="00202C43">
        <w:trPr>
          <w:trHeight w:val="276"/>
        </w:trPr>
        <w:tc>
          <w:tcPr>
            <w:tcW w:w="2626" w:type="pct"/>
            <w:tcBorders>
              <w:top w:val="nil"/>
              <w:left w:val="nil"/>
              <w:bottom w:val="nil"/>
              <w:right w:val="nil"/>
            </w:tcBorders>
            <w:shd w:val="clear" w:color="000000" w:fill="9C9D9F"/>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Provozní ukazatele</w:t>
            </w:r>
          </w:p>
        </w:tc>
        <w:tc>
          <w:tcPr>
            <w:tcW w:w="533"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630"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560"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651"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r>
      <w:tr w:rsidR="00475C5A" w:rsidRPr="00475C5A" w:rsidTr="00202C43">
        <w:trPr>
          <w:trHeight w:val="276"/>
        </w:trPr>
        <w:tc>
          <w:tcPr>
            <w:tcW w:w="2626" w:type="pct"/>
            <w:tcBorders>
              <w:top w:val="single" w:sz="4" w:space="0" w:color="9C9D9F"/>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Výroba v tunách</w:t>
            </w:r>
          </w:p>
        </w:tc>
        <w:tc>
          <w:tcPr>
            <w:tcW w:w="533"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52 428</w:t>
            </w:r>
          </w:p>
        </w:tc>
        <w:tc>
          <w:tcPr>
            <w:tcW w:w="630"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w:t>
            </w:r>
          </w:p>
        </w:tc>
        <w:tc>
          <w:tcPr>
            <w:tcW w:w="560"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27 085</w:t>
            </w:r>
          </w:p>
        </w:tc>
        <w:tc>
          <w:tcPr>
            <w:tcW w:w="651" w:type="pct"/>
            <w:tcBorders>
              <w:top w:val="single" w:sz="4" w:space="0" w:color="9C9D9F"/>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5,6%</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6A52A1" w:rsidRDefault="00475C5A" w:rsidP="00475C5A">
            <w:pPr>
              <w:spacing w:before="0" w:beforeAutospacing="0" w:after="0" w:afterAutospacing="0"/>
              <w:jc w:val="left"/>
              <w:rPr>
                <w:rFonts w:ascii="Calibri" w:hAnsi="Calibri" w:cs="Arial"/>
                <w:sz w:val="20"/>
                <w:szCs w:val="20"/>
                <w:lang w:val="pl-PL" w:eastAsia="en-US"/>
              </w:rPr>
            </w:pPr>
            <w:r w:rsidRPr="006A52A1">
              <w:rPr>
                <w:rFonts w:ascii="Calibri" w:hAnsi="Calibri" w:cs="Arial"/>
                <w:sz w:val="20"/>
                <w:szCs w:val="20"/>
                <w:lang w:val="pl-PL" w:eastAsia="en-US"/>
              </w:rPr>
              <w:t>Počet zaměstnanců - na konci období</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586</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3,4%</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586</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3,4%</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Počet zaměstnanců - průměr</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2C76B2" w:rsidP="00475C5A">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582</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2C76B2" w:rsidP="002C76B2">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2,8</w:t>
            </w:r>
            <w:r w:rsidR="00475C5A" w:rsidRPr="00475C5A">
              <w:rPr>
                <w:rFonts w:ascii="Calibri" w:hAnsi="Calibri" w:cs="Arial"/>
                <w:sz w:val="20"/>
                <w:szCs w:val="20"/>
                <w:lang w:val="en-US" w:eastAsia="en-US"/>
              </w:rPr>
              <w:t>%</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2C76B2" w:rsidP="00475C5A">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581</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2C76B2">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w:t>
            </w:r>
            <w:r w:rsidR="002C76B2">
              <w:rPr>
                <w:rFonts w:ascii="Calibri" w:hAnsi="Calibri" w:cs="Arial"/>
                <w:sz w:val="20"/>
                <w:szCs w:val="20"/>
                <w:lang w:val="en-US" w:eastAsia="en-US"/>
              </w:rPr>
              <w:t>1</w:t>
            </w:r>
            <w:r w:rsidRPr="00475C5A">
              <w:rPr>
                <w:rFonts w:ascii="Calibri" w:hAnsi="Calibri" w:cs="Arial"/>
                <w:sz w:val="20"/>
                <w:szCs w:val="20"/>
                <w:lang w:val="en-US" w:eastAsia="en-US"/>
              </w:rPr>
              <w:t>%</w:t>
            </w:r>
          </w:p>
        </w:tc>
      </w:tr>
      <w:tr w:rsidR="00475C5A" w:rsidRPr="00475C5A" w:rsidTr="00202C43">
        <w:trPr>
          <w:trHeight w:val="276"/>
        </w:trPr>
        <w:tc>
          <w:tcPr>
            <w:tcW w:w="2626" w:type="pct"/>
            <w:tcBorders>
              <w:top w:val="nil"/>
              <w:left w:val="nil"/>
              <w:bottom w:val="nil"/>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p>
        </w:tc>
        <w:tc>
          <w:tcPr>
            <w:tcW w:w="533"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3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560"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c>
          <w:tcPr>
            <w:tcW w:w="651" w:type="pct"/>
            <w:tcBorders>
              <w:top w:val="nil"/>
              <w:left w:val="nil"/>
              <w:bottom w:val="nil"/>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p>
        </w:tc>
      </w:tr>
      <w:tr w:rsidR="00475C5A" w:rsidRPr="00475C5A" w:rsidTr="00202C43">
        <w:trPr>
          <w:trHeight w:val="276"/>
        </w:trPr>
        <w:tc>
          <w:tcPr>
            <w:tcW w:w="2626" w:type="pct"/>
            <w:tcBorders>
              <w:top w:val="nil"/>
              <w:left w:val="nil"/>
              <w:bottom w:val="nil"/>
              <w:right w:val="nil"/>
            </w:tcBorders>
            <w:shd w:val="clear" w:color="000000" w:fill="9C9D9F"/>
            <w:vAlign w:val="center"/>
            <w:hideMark/>
          </w:tcPr>
          <w:p w:rsidR="00475C5A" w:rsidRPr="00475C5A" w:rsidRDefault="00475C5A" w:rsidP="00475C5A">
            <w:pPr>
              <w:spacing w:before="0" w:beforeAutospacing="0" w:after="0" w:afterAutospacing="0"/>
              <w:jc w:val="left"/>
              <w:rPr>
                <w:rFonts w:ascii="Calibri" w:hAnsi="Calibri" w:cs="Arial"/>
                <w:b/>
                <w:bCs/>
                <w:sz w:val="20"/>
                <w:szCs w:val="20"/>
                <w:lang w:val="en-US" w:eastAsia="en-US"/>
              </w:rPr>
            </w:pPr>
            <w:r w:rsidRPr="00475C5A">
              <w:rPr>
                <w:rFonts w:ascii="Calibri" w:hAnsi="Calibri" w:cs="Arial"/>
                <w:b/>
                <w:bCs/>
                <w:sz w:val="20"/>
                <w:szCs w:val="20"/>
                <w:lang w:val="en-US" w:eastAsia="en-US"/>
              </w:rPr>
              <w:t>Měnové kurzy</w:t>
            </w:r>
          </w:p>
        </w:tc>
        <w:tc>
          <w:tcPr>
            <w:tcW w:w="533"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630"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560"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c>
          <w:tcPr>
            <w:tcW w:w="651" w:type="pct"/>
            <w:tcBorders>
              <w:top w:val="nil"/>
              <w:left w:val="nil"/>
              <w:bottom w:val="nil"/>
              <w:right w:val="nil"/>
            </w:tcBorders>
            <w:shd w:val="clear" w:color="000000" w:fill="9C9D9F"/>
            <w:noWrap/>
            <w:vAlign w:val="center"/>
            <w:hideMark/>
          </w:tcPr>
          <w:p w:rsidR="00475C5A" w:rsidRPr="00475C5A" w:rsidRDefault="00475C5A" w:rsidP="00475C5A">
            <w:pPr>
              <w:spacing w:before="0" w:beforeAutospacing="0" w:after="0" w:afterAutospacing="0"/>
              <w:ind w:firstLineChars="100" w:firstLine="201"/>
              <w:jc w:val="right"/>
              <w:rPr>
                <w:rFonts w:ascii="Calibri" w:hAnsi="Calibri" w:cs="Arial"/>
                <w:b/>
                <w:bCs/>
                <w:sz w:val="20"/>
                <w:szCs w:val="20"/>
                <w:lang w:val="en-US" w:eastAsia="en-US"/>
              </w:rPr>
            </w:pPr>
            <w:r w:rsidRPr="00475C5A">
              <w:rPr>
                <w:rFonts w:ascii="Calibri" w:hAnsi="Calibri" w:cs="Arial"/>
                <w:b/>
                <w:bCs/>
                <w:sz w:val="20"/>
                <w:szCs w:val="20"/>
                <w:lang w:val="en-US" w:eastAsia="en-US"/>
              </w:rPr>
              <w:t> </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EUR/CZK - průměr</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26,784</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-0,9%</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26,553</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-1,9%</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6A52A1" w:rsidRDefault="00475C5A" w:rsidP="00475C5A">
            <w:pPr>
              <w:spacing w:before="0" w:beforeAutospacing="0" w:after="0" w:afterAutospacing="0"/>
              <w:jc w:val="left"/>
              <w:rPr>
                <w:rFonts w:ascii="Calibri" w:hAnsi="Calibri" w:cs="Arial"/>
                <w:sz w:val="20"/>
                <w:szCs w:val="20"/>
                <w:lang w:val="pl-PL" w:eastAsia="en-US"/>
              </w:rPr>
            </w:pPr>
            <w:r w:rsidRPr="006A52A1">
              <w:rPr>
                <w:rFonts w:ascii="Calibri" w:hAnsi="Calibri" w:cs="Arial"/>
                <w:sz w:val="20"/>
                <w:szCs w:val="20"/>
                <w:lang w:val="pl-PL" w:eastAsia="en-US"/>
              </w:rPr>
              <w:t>EUR/CZK - na konci období</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26,197</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-3,4%</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26,197</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-3,4%</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EUR/USD - průměr</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1,083</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-3,0%</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1,100</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-2,0%</w:t>
            </w:r>
          </w:p>
        </w:tc>
      </w:tr>
      <w:tr w:rsidR="00475C5A" w:rsidRPr="00475C5A" w:rsidTr="00202C43">
        <w:trPr>
          <w:trHeight w:val="288"/>
        </w:trPr>
        <w:tc>
          <w:tcPr>
            <w:tcW w:w="2626" w:type="pct"/>
            <w:tcBorders>
              <w:top w:val="nil"/>
              <w:left w:val="nil"/>
              <w:bottom w:val="single" w:sz="4" w:space="0" w:color="9C9D9F"/>
              <w:right w:val="nil"/>
            </w:tcBorders>
            <w:shd w:val="clear" w:color="auto" w:fill="auto"/>
            <w:vAlign w:val="center"/>
            <w:hideMark/>
          </w:tcPr>
          <w:p w:rsidR="00475C5A" w:rsidRPr="006A52A1" w:rsidRDefault="00475C5A" w:rsidP="00475C5A">
            <w:pPr>
              <w:spacing w:before="0" w:beforeAutospacing="0" w:after="0" w:afterAutospacing="0"/>
              <w:jc w:val="left"/>
              <w:rPr>
                <w:rFonts w:ascii="Calibri" w:hAnsi="Calibri" w:cs="Arial"/>
                <w:sz w:val="20"/>
                <w:szCs w:val="20"/>
                <w:lang w:val="pl-PL" w:eastAsia="en-US"/>
              </w:rPr>
            </w:pPr>
            <w:r w:rsidRPr="006A52A1">
              <w:rPr>
                <w:rFonts w:ascii="Calibri" w:hAnsi="Calibri" w:cs="Arial"/>
                <w:sz w:val="20"/>
                <w:szCs w:val="20"/>
                <w:lang w:val="pl-PL" w:eastAsia="en-US"/>
              </w:rPr>
              <w:t>EUR/USD - na konci období</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1,141</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2,8%</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1,141</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2,8%</w:t>
            </w:r>
          </w:p>
        </w:tc>
      </w:tr>
      <w:tr w:rsidR="00475C5A" w:rsidRPr="00475C5A" w:rsidTr="00202C43">
        <w:trPr>
          <w:trHeight w:val="288"/>
        </w:trPr>
        <w:tc>
          <w:tcPr>
            <w:tcW w:w="2626" w:type="pct"/>
            <w:tcBorders>
              <w:top w:val="nil"/>
              <w:left w:val="nil"/>
              <w:bottom w:val="single" w:sz="4" w:space="0" w:color="9C9D9F"/>
              <w:right w:val="nil"/>
            </w:tcBorders>
            <w:shd w:val="clear" w:color="auto" w:fill="auto"/>
            <w:vAlign w:val="center"/>
            <w:hideMark/>
          </w:tcPr>
          <w:p w:rsidR="00475C5A" w:rsidRPr="00475C5A" w:rsidRDefault="00475C5A" w:rsidP="00475C5A">
            <w:pPr>
              <w:spacing w:before="0" w:beforeAutospacing="0" w:after="0" w:afterAutospacing="0"/>
              <w:jc w:val="left"/>
              <w:rPr>
                <w:rFonts w:ascii="Calibri" w:hAnsi="Calibri" w:cs="Arial"/>
                <w:sz w:val="20"/>
                <w:szCs w:val="20"/>
                <w:lang w:val="en-US" w:eastAsia="en-US"/>
              </w:rPr>
            </w:pPr>
            <w:r w:rsidRPr="00475C5A">
              <w:rPr>
                <w:rFonts w:ascii="Calibri" w:hAnsi="Calibri" w:cs="Arial"/>
                <w:sz w:val="20"/>
                <w:szCs w:val="20"/>
                <w:lang w:val="en-US" w:eastAsia="en-US"/>
              </w:rPr>
              <w:t>EUR/ZAR - průměr</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14,306</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-16,8%</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14,542</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-14,2%</w:t>
            </w:r>
          </w:p>
        </w:tc>
      </w:tr>
      <w:tr w:rsidR="00475C5A" w:rsidRPr="00475C5A" w:rsidTr="00202C43">
        <w:trPr>
          <w:trHeight w:val="276"/>
        </w:trPr>
        <w:tc>
          <w:tcPr>
            <w:tcW w:w="2626" w:type="pct"/>
            <w:tcBorders>
              <w:top w:val="nil"/>
              <w:left w:val="nil"/>
              <w:bottom w:val="single" w:sz="4" w:space="0" w:color="9C9D9F"/>
              <w:right w:val="nil"/>
            </w:tcBorders>
            <w:shd w:val="clear" w:color="auto" w:fill="auto"/>
            <w:vAlign w:val="center"/>
            <w:hideMark/>
          </w:tcPr>
          <w:p w:rsidR="00475C5A" w:rsidRPr="006A52A1" w:rsidRDefault="00475C5A" w:rsidP="00475C5A">
            <w:pPr>
              <w:spacing w:before="0" w:beforeAutospacing="0" w:after="0" w:afterAutospacing="0"/>
              <w:jc w:val="left"/>
              <w:rPr>
                <w:rFonts w:ascii="Calibri" w:hAnsi="Calibri" w:cs="Arial"/>
                <w:sz w:val="20"/>
                <w:szCs w:val="20"/>
                <w:lang w:val="pl-PL" w:eastAsia="en-US"/>
              </w:rPr>
            </w:pPr>
            <w:r w:rsidRPr="006A52A1">
              <w:rPr>
                <w:rFonts w:ascii="Calibri" w:hAnsi="Calibri" w:cs="Arial"/>
                <w:sz w:val="20"/>
                <w:szCs w:val="20"/>
                <w:lang w:val="pl-PL" w:eastAsia="en-US"/>
              </w:rPr>
              <w:t>EUR/ZAR - na konci období</w:t>
            </w:r>
          </w:p>
        </w:tc>
        <w:tc>
          <w:tcPr>
            <w:tcW w:w="533"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14,920</w:t>
            </w:r>
          </w:p>
        </w:tc>
        <w:tc>
          <w:tcPr>
            <w:tcW w:w="63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-9,3%</w:t>
            </w:r>
          </w:p>
        </w:tc>
        <w:tc>
          <w:tcPr>
            <w:tcW w:w="560"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14,920</w:t>
            </w:r>
          </w:p>
        </w:tc>
        <w:tc>
          <w:tcPr>
            <w:tcW w:w="651" w:type="pct"/>
            <w:tcBorders>
              <w:top w:val="nil"/>
              <w:left w:val="nil"/>
              <w:bottom w:val="single" w:sz="4" w:space="0" w:color="9C9D9F"/>
              <w:right w:val="nil"/>
            </w:tcBorders>
            <w:shd w:val="clear" w:color="auto" w:fill="auto"/>
            <w:noWrap/>
            <w:vAlign w:val="center"/>
            <w:hideMark/>
          </w:tcPr>
          <w:p w:rsidR="00475C5A" w:rsidRPr="00475C5A" w:rsidRDefault="00475C5A" w:rsidP="00475C5A">
            <w:pPr>
              <w:spacing w:before="0" w:beforeAutospacing="0" w:after="0" w:afterAutospacing="0"/>
              <w:ind w:firstLineChars="100" w:firstLine="200"/>
              <w:jc w:val="right"/>
              <w:rPr>
                <w:rFonts w:ascii="Calibri" w:hAnsi="Calibri" w:cs="Arial"/>
                <w:sz w:val="20"/>
                <w:szCs w:val="20"/>
                <w:lang w:val="en-US" w:eastAsia="en-US"/>
              </w:rPr>
            </w:pPr>
            <w:r w:rsidRPr="00475C5A">
              <w:rPr>
                <w:rFonts w:ascii="Calibri" w:hAnsi="Calibri" w:cs="Arial"/>
                <w:sz w:val="20"/>
                <w:szCs w:val="20"/>
                <w:lang w:val="en-US" w:eastAsia="en-US"/>
              </w:rPr>
              <w:t>-9,3%</w:t>
            </w:r>
          </w:p>
        </w:tc>
      </w:tr>
    </w:tbl>
    <w:p w:rsidR="00781223" w:rsidRDefault="00781223" w:rsidP="007A3749">
      <w:pPr>
        <w:sectPr w:rsidR="00781223" w:rsidSect="00B520ED">
          <w:pgSz w:w="11906" w:h="16838"/>
          <w:pgMar w:top="1417" w:right="1417" w:bottom="1417" w:left="1417" w:header="708" w:footer="708" w:gutter="0"/>
          <w:cols w:space="708"/>
          <w:docGrid w:linePitch="360"/>
        </w:sectPr>
      </w:pPr>
    </w:p>
    <w:p w:rsidR="00CF4152" w:rsidRPr="002D0377" w:rsidRDefault="007F6819" w:rsidP="00856740">
      <w:pPr>
        <w:rPr>
          <w:b/>
          <w:color w:val="FF0000"/>
        </w:rPr>
      </w:pPr>
      <w:r w:rsidRPr="002D0377">
        <w:rPr>
          <w:b/>
          <w:color w:val="FF0000"/>
        </w:rPr>
        <w:t xml:space="preserve">Prohlášení </w:t>
      </w:r>
      <w:r w:rsidR="00775F6F" w:rsidRPr="002D0377">
        <w:rPr>
          <w:b/>
          <w:color w:val="FF0000"/>
        </w:rPr>
        <w:t xml:space="preserve">generálního ředitele a </w:t>
      </w:r>
      <w:r w:rsidR="0046091F" w:rsidRPr="002D0377">
        <w:rPr>
          <w:b/>
          <w:color w:val="FF0000"/>
        </w:rPr>
        <w:t>člena představenstva</w:t>
      </w:r>
      <w:r w:rsidR="00781223" w:rsidRPr="002D0377">
        <w:rPr>
          <w:b/>
          <w:color w:val="FF0000"/>
        </w:rPr>
        <w:t xml:space="preserve"> PEGAS NONWOVENS </w:t>
      </w:r>
      <w:r w:rsidR="00B11D84" w:rsidRPr="002D0377">
        <w:rPr>
          <w:b/>
          <w:color w:val="FF0000"/>
        </w:rPr>
        <w:t xml:space="preserve">SA </w:t>
      </w:r>
      <w:r w:rsidR="004B4E76" w:rsidRPr="002D0377">
        <w:rPr>
          <w:b/>
          <w:color w:val="FF0000"/>
        </w:rPr>
        <w:t xml:space="preserve">pana </w:t>
      </w:r>
      <w:r w:rsidR="00FA4915" w:rsidRPr="002D0377">
        <w:rPr>
          <w:b/>
          <w:color w:val="FF0000"/>
        </w:rPr>
        <w:t>Františka Řezáče:</w:t>
      </w:r>
    </w:p>
    <w:p w:rsidR="00270B83" w:rsidRPr="0077560A" w:rsidRDefault="00114722" w:rsidP="007A3749">
      <w:pPr>
        <w:pStyle w:val="NormalWeb"/>
      </w:pPr>
      <w:r w:rsidRPr="00943638">
        <w:t>„</w:t>
      </w:r>
      <w:r w:rsidR="00CA0253">
        <w:t>V</w:t>
      </w:r>
      <w:r w:rsidR="002D0377" w:rsidRPr="00943638">
        <w:t>ýsledk</w:t>
      </w:r>
      <w:r w:rsidR="00CA0253">
        <w:t>y</w:t>
      </w:r>
      <w:r w:rsidR="002D0377" w:rsidRPr="00943638">
        <w:t xml:space="preserve"> h</w:t>
      </w:r>
      <w:r w:rsidR="00087C3A" w:rsidRPr="00943638">
        <w:t xml:space="preserve">ospodaření </w:t>
      </w:r>
      <w:r w:rsidR="002D0377" w:rsidRPr="00943638">
        <w:t xml:space="preserve">za druhé čtvrtletí </w:t>
      </w:r>
      <w:r w:rsidR="00CA0253">
        <w:t xml:space="preserve">byly do </w:t>
      </w:r>
      <w:r w:rsidR="00943638" w:rsidRPr="002C76B2">
        <w:t xml:space="preserve">značné míry </w:t>
      </w:r>
      <w:r w:rsidR="00CA0253">
        <w:t xml:space="preserve">ovlivněny </w:t>
      </w:r>
      <w:r w:rsidR="00026F4F" w:rsidRPr="002C76B2">
        <w:t>vývoj</w:t>
      </w:r>
      <w:r w:rsidR="00CA0253">
        <w:t>em</w:t>
      </w:r>
      <w:r w:rsidR="00026F4F" w:rsidRPr="002C76B2">
        <w:t xml:space="preserve"> cen polymerů</w:t>
      </w:r>
      <w:r w:rsidR="00943638" w:rsidRPr="002C76B2">
        <w:t>. Po dlouhém období stability, které trvalo celý loňský rok, jsme od začátku letošního roku byli svědky poměrně výrazného růstu cen polymerů. T</w:t>
      </w:r>
      <w:r w:rsidR="00636B56">
        <w:t>o</w:t>
      </w:r>
      <w:r w:rsidR="00943638" w:rsidRPr="002C76B2">
        <w:t xml:space="preserve"> se vzhledem ke zpoždění přenosového mechanismu odrazilo i v našich výsledcích. </w:t>
      </w:r>
      <w:r w:rsidR="002D0377" w:rsidRPr="00943638">
        <w:t>Ukazatel</w:t>
      </w:r>
      <w:r w:rsidR="00270B83" w:rsidRPr="00943638">
        <w:t xml:space="preserve"> provozního hospodaření, </w:t>
      </w:r>
      <w:r w:rsidR="002D0377" w:rsidRPr="00943638">
        <w:t>EBITDA</w:t>
      </w:r>
      <w:r w:rsidR="00270B83" w:rsidRPr="00943638">
        <w:t>,</w:t>
      </w:r>
      <w:r w:rsidR="002D0377" w:rsidRPr="00943638">
        <w:t xml:space="preserve"> </w:t>
      </w:r>
      <w:r w:rsidR="00170627" w:rsidRPr="00943638">
        <w:t xml:space="preserve">ve druhém čtvrtletí dosáhl výše </w:t>
      </w:r>
      <w:r w:rsidR="00943638" w:rsidRPr="002C76B2">
        <w:t>9</w:t>
      </w:r>
      <w:r w:rsidR="00170627" w:rsidRPr="00943638">
        <w:t>,</w:t>
      </w:r>
      <w:r w:rsidR="00943638" w:rsidRPr="002C76B2">
        <w:t>5</w:t>
      </w:r>
      <w:r w:rsidR="00170627" w:rsidRPr="00943638">
        <w:t xml:space="preserve"> milionu EUR</w:t>
      </w:r>
      <w:r w:rsidR="00943638" w:rsidRPr="002C76B2">
        <w:t>, resp.</w:t>
      </w:r>
      <w:r w:rsidR="00C8380E" w:rsidRPr="00943638">
        <w:t xml:space="preserve"> </w:t>
      </w:r>
      <w:r w:rsidR="00943638" w:rsidRPr="002C76B2">
        <w:t>10,1 milionu EUR</w:t>
      </w:r>
      <w:r w:rsidR="00C8380E" w:rsidRPr="00943638">
        <w:t xml:space="preserve"> </w:t>
      </w:r>
      <w:r w:rsidR="006A52A1">
        <w:t xml:space="preserve">bez </w:t>
      </w:r>
      <w:r w:rsidR="00B91637" w:rsidRPr="00943638">
        <w:t>zohledn</w:t>
      </w:r>
      <w:r w:rsidR="00943638">
        <w:t>ění</w:t>
      </w:r>
      <w:r w:rsidR="00ED3CDE" w:rsidRPr="00943638">
        <w:t xml:space="preserve"> vliv</w:t>
      </w:r>
      <w:r w:rsidR="00943638">
        <w:t>u</w:t>
      </w:r>
      <w:r w:rsidR="00ED3CDE" w:rsidRPr="00943638">
        <w:t xml:space="preserve"> přecenění opčního akciového programu</w:t>
      </w:r>
      <w:r w:rsidR="0077560A">
        <w:t xml:space="preserve">. V tuto chvíli se zdá, že ceny polymerů dosáhly vrcholu a </w:t>
      </w:r>
      <w:r w:rsidR="003131FA">
        <w:t xml:space="preserve">lehce </w:t>
      </w:r>
      <w:r w:rsidR="0077560A" w:rsidRPr="0077560A">
        <w:t xml:space="preserve">oslabily, což by mělo </w:t>
      </w:r>
      <w:r w:rsidR="003131FA">
        <w:t xml:space="preserve">podpořit </w:t>
      </w:r>
      <w:r w:rsidR="00636B56">
        <w:t xml:space="preserve">naše </w:t>
      </w:r>
      <w:r w:rsidR="0077560A" w:rsidRPr="0077560A">
        <w:t xml:space="preserve">výsledky </w:t>
      </w:r>
      <w:r w:rsidR="00636B56">
        <w:t>v</w:t>
      </w:r>
      <w:r w:rsidR="0077560A" w:rsidRPr="0077560A">
        <w:t xml:space="preserve"> následující</w:t>
      </w:r>
      <w:r w:rsidR="00636B56">
        <w:t>m</w:t>
      </w:r>
      <w:r w:rsidR="0077560A" w:rsidRPr="0077560A">
        <w:t xml:space="preserve"> čtvrtletí.</w:t>
      </w:r>
      <w:r w:rsidR="00636B56">
        <w:t xml:space="preserve"> </w:t>
      </w:r>
      <w:r w:rsidR="0077560A" w:rsidRPr="002C76B2">
        <w:t xml:space="preserve"> </w:t>
      </w:r>
    </w:p>
    <w:p w:rsidR="0077560A" w:rsidRPr="002C76B2" w:rsidRDefault="0077560A" w:rsidP="007A3749">
      <w:pPr>
        <w:pStyle w:val="NormalWeb"/>
      </w:pPr>
      <w:r w:rsidRPr="002C76B2">
        <w:t xml:space="preserve">Jelikož ceny polymerů nedokážeme ovlivnit, soustředili jsme své úsilí na </w:t>
      </w:r>
      <w:r w:rsidR="002C3F3D">
        <w:t>oblasti, ve kterých můžeme dosáhnout zlepšení</w:t>
      </w:r>
      <w:r w:rsidRPr="002C76B2">
        <w:t>. Ve druhém čtvrtletí jsme tak vyrobili rekordních více než 27 tisíc tun</w:t>
      </w:r>
      <w:r w:rsidR="002C3F3D">
        <w:t xml:space="preserve">. K tomu </w:t>
      </w:r>
      <w:r w:rsidRPr="002C76B2">
        <w:t xml:space="preserve">přispěla </w:t>
      </w:r>
      <w:r w:rsidR="002C3F3D">
        <w:t xml:space="preserve">i nově </w:t>
      </w:r>
      <w:r w:rsidRPr="002C76B2">
        <w:t>spuštěná výrobní linka ve Znojmě</w:t>
      </w:r>
      <w:r w:rsidR="002C3F3D">
        <w:t xml:space="preserve">, </w:t>
      </w:r>
      <w:r w:rsidR="00636B56">
        <w:t xml:space="preserve">kterou se nám podařilo spustit s mírným předstihem. Linka </w:t>
      </w:r>
      <w:r w:rsidR="002C3F3D">
        <w:t xml:space="preserve">v tuto chvíli </w:t>
      </w:r>
      <w:r w:rsidR="00636B56">
        <w:t xml:space="preserve">běží </w:t>
      </w:r>
      <w:r w:rsidR="002C3F3D">
        <w:t>už v plném komerčním režimu</w:t>
      </w:r>
      <w:r w:rsidR="00636B56">
        <w:t xml:space="preserve"> a očekáváme, že v letošním roce vyrobí necelých 5 tisíc tun hotových výrobků.</w:t>
      </w:r>
    </w:p>
    <w:p w:rsidR="00C64379" w:rsidRPr="002C76B2" w:rsidRDefault="0077560A" w:rsidP="0077560A">
      <w:pPr>
        <w:pStyle w:val="NormalWeb"/>
        <w:rPr>
          <w:highlight w:val="yellow"/>
        </w:rPr>
      </w:pPr>
      <w:r w:rsidRPr="002C76B2">
        <w:t xml:space="preserve">V souladu s naším časovým harmonogra-mem pokračuje i projekt v Jižní Africe. V červenci jsme uzavřeli smlouvu </w:t>
      </w:r>
      <w:r>
        <w:t>o</w:t>
      </w:r>
      <w:r w:rsidRPr="002C76B2">
        <w:t xml:space="preserve"> koupi pozemku </w:t>
      </w:r>
      <w:r w:rsidR="002C3F3D">
        <w:t xml:space="preserve">pro výstavbu nového závodu </w:t>
      </w:r>
      <w:r w:rsidRPr="002C76B2">
        <w:t xml:space="preserve">a začátkem srpna jsme </w:t>
      </w:r>
      <w:r w:rsidR="002C3F3D">
        <w:t xml:space="preserve">pro tento závod </w:t>
      </w:r>
      <w:r w:rsidRPr="002C76B2">
        <w:t xml:space="preserve">objednali novou linku. </w:t>
      </w:r>
      <w:r w:rsidR="002C3F3D">
        <w:t>O</w:t>
      </w:r>
      <w:r>
        <w:t>čekáváme, že s výstavbou začneme letos v posledním čtvrtletí a začátkem roku 2019 začneme dodávat komerční výrobky našim zákazníkům.</w:t>
      </w:r>
      <w:r w:rsidR="00165BF5">
        <w:t xml:space="preserve"> Novým projektem jsme nadšeni a těšíme se na vstup na nový rychle rostoucí trh.</w:t>
      </w:r>
    </w:p>
    <w:p w:rsidR="00114722" w:rsidRPr="00B91637" w:rsidRDefault="002C3F3D">
      <w:pPr>
        <w:pStyle w:val="NormalWeb"/>
      </w:pPr>
      <w:r w:rsidRPr="002C76B2">
        <w:t xml:space="preserve">Závěrem bych </w:t>
      </w:r>
      <w:r w:rsidR="00636B56">
        <w:t xml:space="preserve">rád </w:t>
      </w:r>
      <w:r w:rsidRPr="002C76B2">
        <w:t xml:space="preserve">zmínil, že valná hromada schválila návrh představenstva vyplatit dividendu ve výši </w:t>
      </w:r>
      <w:r w:rsidR="008D3FC4" w:rsidRPr="002C3F3D">
        <w:t>1,</w:t>
      </w:r>
      <w:r w:rsidR="0077560A" w:rsidRPr="002C76B2">
        <w:t>30</w:t>
      </w:r>
      <w:r w:rsidR="008D3FC4" w:rsidRPr="002C3F3D">
        <w:t xml:space="preserve"> EUR na akcii</w:t>
      </w:r>
      <w:r>
        <w:t>. Pevně věřím, že naši akcionáři toto rozhodnutí ocení</w:t>
      </w:r>
      <w:r w:rsidR="008D3FC4" w:rsidRPr="00B91637">
        <w:t>.</w:t>
      </w:r>
      <w:r w:rsidR="00114722" w:rsidRPr="00B91637">
        <w:t xml:space="preserve">“ </w:t>
      </w:r>
    </w:p>
    <w:p w:rsidR="00CF4152" w:rsidRPr="00B91637" w:rsidRDefault="00CF4152" w:rsidP="002D0377">
      <w:pPr>
        <w:rPr>
          <w:b/>
          <w:color w:val="FF0000"/>
        </w:rPr>
      </w:pPr>
      <w:r w:rsidRPr="00B91637">
        <w:rPr>
          <w:b/>
          <w:color w:val="FF0000"/>
        </w:rPr>
        <w:t>Potvrzení</w:t>
      </w:r>
      <w:r w:rsidR="007C4E69" w:rsidRPr="00B91637">
        <w:rPr>
          <w:b/>
          <w:color w:val="FF0000"/>
        </w:rPr>
        <w:t xml:space="preserve"> výhledu hospodaření na rok 201</w:t>
      </w:r>
      <w:r w:rsidR="00476D67">
        <w:rPr>
          <w:b/>
          <w:color w:val="FF0000"/>
        </w:rPr>
        <w:t>7</w:t>
      </w:r>
    </w:p>
    <w:p w:rsidR="00411342" w:rsidRPr="00B91637" w:rsidRDefault="00411342" w:rsidP="007A3749">
      <w:pPr>
        <w:pStyle w:val="NormalWeb"/>
      </w:pPr>
      <w:r w:rsidRPr="00B91637">
        <w:t>V prvním pololetí roku 201</w:t>
      </w:r>
      <w:r w:rsidR="001058B9">
        <w:t>7</w:t>
      </w:r>
      <w:r w:rsidRPr="00B91637">
        <w:t xml:space="preserve"> Společnost dosáhla hospodářských výsledků, jež jsou v souladu s jejím očekáváním a se zveřejněným výhledem na celý rok 201</w:t>
      </w:r>
      <w:r w:rsidR="001058B9">
        <w:t>7</w:t>
      </w:r>
      <w:r w:rsidRPr="00B91637">
        <w:t xml:space="preserve">. </w:t>
      </w:r>
    </w:p>
    <w:p w:rsidR="00411342" w:rsidRPr="00B91637" w:rsidRDefault="00411342" w:rsidP="007A3749">
      <w:pPr>
        <w:pStyle w:val="NormalWeb"/>
      </w:pPr>
      <w:r w:rsidRPr="00B91637">
        <w:t>Na základě dosažených výsledků za první pololetí 201</w:t>
      </w:r>
      <w:r w:rsidR="001058B9">
        <w:t>7</w:t>
      </w:r>
      <w:r w:rsidRPr="00B91637">
        <w:t xml:space="preserve"> a s ohledem na vývoj na evropském trhu netkaných textilií včetně očekávaného vývoje na trhu s polymery potvrzuje Společnost svůj předchozí výhled na rok 201</w:t>
      </w:r>
      <w:r w:rsidR="001058B9">
        <w:t>7</w:t>
      </w:r>
      <w:r w:rsidRPr="00B91637">
        <w:t xml:space="preserve"> a očekává, že ukazatel EBITDA v tomto roce vzroste na hodnotu v rozmezí 4</w:t>
      </w:r>
      <w:r w:rsidR="002D0377" w:rsidRPr="00B91637">
        <w:t>3</w:t>
      </w:r>
      <w:r w:rsidRPr="00B91637">
        <w:t xml:space="preserve">,0 až </w:t>
      </w:r>
      <w:r w:rsidR="001058B9">
        <w:t>50</w:t>
      </w:r>
      <w:r w:rsidRPr="00B91637">
        <w:t>,</w:t>
      </w:r>
      <w:r w:rsidR="002D0377" w:rsidRPr="00B91637">
        <w:t>0</w:t>
      </w:r>
      <w:r w:rsidRPr="00B91637">
        <w:t xml:space="preserve"> milionu EUR.</w:t>
      </w:r>
    </w:p>
    <w:p w:rsidR="00EF4F0F" w:rsidRPr="007A3749" w:rsidRDefault="00411342" w:rsidP="007A3749">
      <w:pPr>
        <w:pStyle w:val="NormalWeb"/>
      </w:pPr>
      <w:r w:rsidRPr="00B91637">
        <w:t>Společnost plánuje, že celkové</w:t>
      </w:r>
      <w:r w:rsidRPr="00087C3A">
        <w:t xml:space="preserve"> investiční výdaje v roce 201</w:t>
      </w:r>
      <w:r w:rsidR="001058B9">
        <w:t>7</w:t>
      </w:r>
      <w:r w:rsidRPr="00087C3A">
        <w:t xml:space="preserve"> nepřesáhnou úroveň </w:t>
      </w:r>
      <w:r w:rsidR="001058B9">
        <w:t>30</w:t>
      </w:r>
      <w:r w:rsidR="002D0377">
        <w:t xml:space="preserve"> </w:t>
      </w:r>
      <w:r w:rsidRPr="00087C3A">
        <w:t>milionů EUR.</w:t>
      </w:r>
      <w:r w:rsidR="00784F4C" w:rsidRPr="007A3749">
        <w:t xml:space="preserve"> </w:t>
      </w:r>
    </w:p>
    <w:p w:rsidR="00396F0C" w:rsidRDefault="00396F0C" w:rsidP="00396F0C">
      <w:pPr>
        <w:pStyle w:val="Heading1"/>
        <w:spacing w:before="100" w:after="100"/>
        <w:sectPr w:rsidR="00396F0C" w:rsidSect="00781223">
          <w:pgSz w:w="11906" w:h="16838"/>
          <w:pgMar w:top="1417" w:right="1417" w:bottom="1417" w:left="1417" w:header="708" w:footer="708" w:gutter="0"/>
          <w:cols w:num="2" w:space="708"/>
          <w:docGrid w:linePitch="360"/>
        </w:sectPr>
      </w:pPr>
      <w:bookmarkStart w:id="11" w:name="_Toc269907486"/>
    </w:p>
    <w:p w:rsidR="00A72029" w:rsidRDefault="00871A75" w:rsidP="007F0563">
      <w:pPr>
        <w:pStyle w:val="Heading1"/>
        <w:spacing w:before="100" w:after="100"/>
        <w:jc w:val="left"/>
      </w:pPr>
      <w:bookmarkStart w:id="12" w:name="_Toc487810678"/>
      <w:r w:rsidRPr="008A66C6">
        <w:t>Mezitímní</w:t>
      </w:r>
      <w:r w:rsidR="005F25E4" w:rsidRPr="008A66C6">
        <w:t xml:space="preserve"> z</w:t>
      </w:r>
      <w:r w:rsidR="00A72029" w:rsidRPr="008A66C6">
        <w:t>práva o podnikání</w:t>
      </w:r>
      <w:r w:rsidR="00C17A58" w:rsidRPr="008A66C6">
        <w:t xml:space="preserve"> </w:t>
      </w:r>
      <w:r w:rsidR="00A72029" w:rsidRPr="008A66C6">
        <w:t>za první pololetí 20</w:t>
      </w:r>
      <w:r w:rsidR="007849CF" w:rsidRPr="008A66C6">
        <w:t>1</w:t>
      </w:r>
      <w:bookmarkEnd w:id="11"/>
      <w:r w:rsidR="00476D67">
        <w:t>7</w:t>
      </w:r>
      <w:bookmarkEnd w:id="12"/>
    </w:p>
    <w:p w:rsidR="00396F0C" w:rsidRPr="00396F0C" w:rsidRDefault="00396F0C" w:rsidP="00396F0C"/>
    <w:p w:rsidR="00396F0C" w:rsidRDefault="00396F0C" w:rsidP="00396F0C">
      <w:pPr>
        <w:sectPr w:rsidR="00396F0C" w:rsidSect="00396F0C">
          <w:pgSz w:w="11906" w:h="16838"/>
          <w:pgMar w:top="1417" w:right="1417" w:bottom="1417" w:left="1417" w:header="708" w:footer="708" w:gutter="0"/>
          <w:cols w:space="708"/>
          <w:docGrid w:linePitch="360"/>
        </w:sectPr>
      </w:pPr>
    </w:p>
    <w:p w:rsidR="007C64FB" w:rsidRPr="002C2EF0" w:rsidRDefault="00E126DD" w:rsidP="00396F0C">
      <w:pPr>
        <w:pStyle w:val="Heading2"/>
        <w:spacing w:before="100" w:after="100"/>
      </w:pPr>
      <w:bookmarkStart w:id="13" w:name="_Toc269907487"/>
      <w:bookmarkStart w:id="14" w:name="_Toc487810679"/>
      <w:r w:rsidRPr="002C2EF0">
        <w:t>Finanční výsledky za první pololetí 20</w:t>
      </w:r>
      <w:r w:rsidR="007849CF" w:rsidRPr="002C2EF0">
        <w:t>1</w:t>
      </w:r>
      <w:bookmarkEnd w:id="13"/>
      <w:r w:rsidR="00476D67">
        <w:t>7</w:t>
      </w:r>
      <w:bookmarkEnd w:id="14"/>
    </w:p>
    <w:p w:rsidR="00EF4ECD" w:rsidRPr="00620C97" w:rsidRDefault="00EF4ECD" w:rsidP="00620C97">
      <w:pPr>
        <w:pStyle w:val="Heading4"/>
      </w:pPr>
      <w:r w:rsidRPr="00620C97">
        <w:t>Výnosy, náklady a EBITDA</w:t>
      </w:r>
    </w:p>
    <w:p w:rsidR="009A5087" w:rsidRDefault="00EF4ECD" w:rsidP="007A3749">
      <w:pPr>
        <w:pStyle w:val="NormalWeb"/>
      </w:pPr>
      <w:r w:rsidRPr="007A3749">
        <w:t xml:space="preserve">V první polovině </w:t>
      </w:r>
      <w:r w:rsidR="00A8307B" w:rsidRPr="007A3749">
        <w:t xml:space="preserve">roku </w:t>
      </w:r>
      <w:r w:rsidR="0025161E" w:rsidRPr="007A3749">
        <w:t>201</w:t>
      </w:r>
      <w:r w:rsidR="001058B9">
        <w:t>7</w:t>
      </w:r>
      <w:r w:rsidR="0025161E" w:rsidRPr="007A3749">
        <w:t xml:space="preserve"> </w:t>
      </w:r>
      <w:r w:rsidR="0066376C" w:rsidRPr="007A3749">
        <w:t xml:space="preserve">dosáhly </w:t>
      </w:r>
      <w:r w:rsidRPr="007A3749">
        <w:t xml:space="preserve">konsolidované výnosy (tržby z prodeje vlastních výrobků) </w:t>
      </w:r>
      <w:r w:rsidR="0054704C" w:rsidRPr="007A3749">
        <w:t>1</w:t>
      </w:r>
      <w:r w:rsidR="001058B9">
        <w:t>11</w:t>
      </w:r>
      <w:r w:rsidR="00541DBF" w:rsidRPr="007A3749">
        <w:t>,</w:t>
      </w:r>
      <w:r w:rsidR="004075CE">
        <w:t>7</w:t>
      </w:r>
      <w:r w:rsidRPr="007A3749">
        <w:t xml:space="preserve"> milion</w:t>
      </w:r>
      <w:r w:rsidR="0068261A" w:rsidRPr="007A3749">
        <w:t>u</w:t>
      </w:r>
      <w:r w:rsidRPr="007A3749">
        <w:t xml:space="preserve"> </w:t>
      </w:r>
      <w:r w:rsidR="0066376C" w:rsidRPr="007A3749">
        <w:t>EUR</w:t>
      </w:r>
      <w:r w:rsidRPr="007A3749">
        <w:t xml:space="preserve">, </w:t>
      </w:r>
      <w:r w:rsidR="00A8307B" w:rsidRPr="007A3749">
        <w:t xml:space="preserve">což představuje meziroční </w:t>
      </w:r>
      <w:r w:rsidR="001058B9">
        <w:t>nárůst o</w:t>
      </w:r>
      <w:r w:rsidRPr="007A3749">
        <w:t xml:space="preserve"> </w:t>
      </w:r>
      <w:r w:rsidR="009A5087">
        <w:t>4</w:t>
      </w:r>
      <w:r w:rsidR="00541DBF" w:rsidRPr="007A3749">
        <w:t>,</w:t>
      </w:r>
      <w:r w:rsidR="004075CE">
        <w:t>7</w:t>
      </w:r>
      <w:r w:rsidRPr="007A3749">
        <w:t xml:space="preserve"> %. </w:t>
      </w:r>
      <w:r w:rsidR="00D56DAA" w:rsidRPr="007A3749">
        <w:t>Celkové konsolidované výnosy dosáhly ve druhém čtvrtletí tohoto roku 5</w:t>
      </w:r>
      <w:r w:rsidR="004075CE">
        <w:t>6</w:t>
      </w:r>
      <w:r w:rsidR="00D56DAA" w:rsidRPr="007A3749">
        <w:t>,</w:t>
      </w:r>
      <w:r w:rsidR="004075CE">
        <w:t>0</w:t>
      </w:r>
      <w:r w:rsidR="00D56DAA" w:rsidRPr="007A3749">
        <w:t xml:space="preserve"> milionu EUR, tj. o </w:t>
      </w:r>
      <w:r w:rsidR="004075CE">
        <w:t>8</w:t>
      </w:r>
      <w:r w:rsidR="00541DBF" w:rsidRPr="007A3749">
        <w:t>,</w:t>
      </w:r>
      <w:r w:rsidR="004075CE">
        <w:t>5</w:t>
      </w:r>
      <w:r w:rsidR="00D56DAA" w:rsidRPr="007A3749">
        <w:t xml:space="preserve"> % </w:t>
      </w:r>
      <w:r w:rsidR="009A5087">
        <w:t xml:space="preserve">více </w:t>
      </w:r>
      <w:r w:rsidR="00D56DAA" w:rsidRPr="007A3749">
        <w:t xml:space="preserve">ve srovnání se stejným obdobím minulého roku. </w:t>
      </w:r>
      <w:r w:rsidR="00494A0D">
        <w:t xml:space="preserve">Do </w:t>
      </w:r>
      <w:r w:rsidR="00494A0D" w:rsidRPr="00494A0D">
        <w:t>meziročního růstu tržeb se promítl zejména n</w:t>
      </w:r>
      <w:r w:rsidR="006F0329" w:rsidRPr="00494A0D">
        <w:t xml:space="preserve">árůst </w:t>
      </w:r>
      <w:r w:rsidR="00964348" w:rsidRPr="00494A0D">
        <w:t>cen polymerů</w:t>
      </w:r>
      <w:r w:rsidR="00494A0D" w:rsidRPr="002C76B2">
        <w:t xml:space="preserve">, které od začátku roku vzrostly o více než 10 % a v současnosti se pohybují na úrovních, které byly naposledy zaznamenány před více než dvěma lety. </w:t>
      </w:r>
    </w:p>
    <w:p w:rsidR="00D56DAA" w:rsidRPr="007A3749" w:rsidRDefault="00F1380E" w:rsidP="007A3749">
      <w:pPr>
        <w:pStyle w:val="NormalWeb"/>
      </w:pPr>
      <w:r w:rsidRPr="007A3749">
        <w:t xml:space="preserve">Celkové konsolidované provozní náklady bez odpisů </w:t>
      </w:r>
      <w:r w:rsidR="00517AE4" w:rsidRPr="007A3749">
        <w:t xml:space="preserve">(netto) </w:t>
      </w:r>
      <w:r w:rsidR="003A1CC1" w:rsidRPr="007A3749">
        <w:t>v první</w:t>
      </w:r>
      <w:r w:rsidR="00E63129" w:rsidRPr="007A3749">
        <w:t>m</w:t>
      </w:r>
      <w:r w:rsidR="003A1CC1" w:rsidRPr="007A3749">
        <w:t xml:space="preserve"> pololetí roku </w:t>
      </w:r>
      <w:r w:rsidR="00CA5C2C" w:rsidRPr="007A3749">
        <w:t>201</w:t>
      </w:r>
      <w:r w:rsidR="001058B9">
        <w:t>7</w:t>
      </w:r>
      <w:r w:rsidR="00CF4152" w:rsidRPr="007A3749">
        <w:t xml:space="preserve"> </w:t>
      </w:r>
      <w:r w:rsidRPr="007A3749">
        <w:t xml:space="preserve">meziročně </w:t>
      </w:r>
      <w:r w:rsidR="001058B9">
        <w:t xml:space="preserve">vzrostly </w:t>
      </w:r>
      <w:r w:rsidRPr="007A3749">
        <w:t xml:space="preserve">o </w:t>
      </w:r>
      <w:r w:rsidR="004075CE">
        <w:t>8</w:t>
      </w:r>
      <w:r w:rsidR="00672338" w:rsidRPr="007A3749">
        <w:t>,</w:t>
      </w:r>
      <w:r w:rsidR="004075CE">
        <w:t>5</w:t>
      </w:r>
      <w:r w:rsidR="00672338" w:rsidRPr="007A3749">
        <w:t xml:space="preserve"> </w:t>
      </w:r>
      <w:r w:rsidRPr="007A3749">
        <w:t xml:space="preserve">% na </w:t>
      </w:r>
      <w:r w:rsidR="00302ED2" w:rsidRPr="007A3749">
        <w:t xml:space="preserve">částku </w:t>
      </w:r>
      <w:r w:rsidR="001058B9">
        <w:t>9</w:t>
      </w:r>
      <w:r w:rsidR="004075CE">
        <w:t>1</w:t>
      </w:r>
      <w:r w:rsidR="00541DBF" w:rsidRPr="007A3749">
        <w:t>,</w:t>
      </w:r>
      <w:r w:rsidR="004075CE">
        <w:t>0</w:t>
      </w:r>
      <w:r w:rsidR="00CC2EF9" w:rsidRPr="007A3749">
        <w:t xml:space="preserve"> milion</w:t>
      </w:r>
      <w:r w:rsidR="00B94F1E" w:rsidRPr="007A3749">
        <w:t>u</w:t>
      </w:r>
      <w:r w:rsidRPr="007A3749">
        <w:t xml:space="preserve"> </w:t>
      </w:r>
      <w:r w:rsidR="0066376C" w:rsidRPr="007A3749">
        <w:t>EUR</w:t>
      </w:r>
      <w:r w:rsidR="0077240C" w:rsidRPr="007A3749">
        <w:t xml:space="preserve">. </w:t>
      </w:r>
      <w:r w:rsidR="00D56DAA" w:rsidRPr="007A3749">
        <w:t>V samotném druhém čtvrtletí roku 201</w:t>
      </w:r>
      <w:r w:rsidR="006F0329">
        <w:t>7</w:t>
      </w:r>
      <w:r w:rsidR="00D56DAA" w:rsidRPr="007A3749">
        <w:t xml:space="preserve"> konsolidované provozní náklad</w:t>
      </w:r>
      <w:r w:rsidR="000836B9" w:rsidRPr="007A3749">
        <w:t xml:space="preserve">y bez odpisů (netto) činily </w:t>
      </w:r>
      <w:r w:rsidR="00541DBF" w:rsidRPr="007A3749">
        <w:t>4</w:t>
      </w:r>
      <w:r w:rsidR="004075CE">
        <w:t>6,</w:t>
      </w:r>
      <w:r w:rsidR="006F0329">
        <w:t>5</w:t>
      </w:r>
      <w:r w:rsidR="00D56DAA" w:rsidRPr="007A3749">
        <w:t xml:space="preserve"> milionu EUR, což je o </w:t>
      </w:r>
      <w:r w:rsidR="006F0329">
        <w:t>1</w:t>
      </w:r>
      <w:r w:rsidR="004075CE">
        <w:t>5</w:t>
      </w:r>
      <w:r w:rsidR="00D56DAA" w:rsidRPr="007A3749">
        <w:t>,</w:t>
      </w:r>
      <w:r w:rsidR="004075CE">
        <w:t>2</w:t>
      </w:r>
      <w:r w:rsidR="00D56DAA" w:rsidRPr="007A3749">
        <w:t xml:space="preserve"> % meziročně </w:t>
      </w:r>
      <w:r w:rsidR="006F0329">
        <w:t>více</w:t>
      </w:r>
      <w:r w:rsidR="00D56DAA" w:rsidRPr="007A3749">
        <w:t xml:space="preserve">. </w:t>
      </w:r>
      <w:r w:rsidR="006F0329" w:rsidRPr="00494A0D">
        <w:t>Důvod</w:t>
      </w:r>
      <w:r w:rsidR="00494A0D" w:rsidRPr="00494A0D">
        <w:t>em</w:t>
      </w:r>
      <w:r w:rsidR="00494A0D">
        <w:t xml:space="preserve"> pro nárůst provozních nákladů byl výrazný růst cen polymerů ve srovnatelných obdobích.</w:t>
      </w:r>
    </w:p>
    <w:p w:rsidR="009877AF" w:rsidRPr="007A3749" w:rsidRDefault="0077240C" w:rsidP="007A3749">
      <w:pPr>
        <w:pStyle w:val="NormalWeb"/>
      </w:pPr>
      <w:r w:rsidRPr="007A3749">
        <w:t xml:space="preserve">EBITDA dosáhla </w:t>
      </w:r>
      <w:r w:rsidR="00CC2EF9" w:rsidRPr="007A3749">
        <w:t xml:space="preserve">v prvním pololetí </w:t>
      </w:r>
      <w:r w:rsidR="00E63129" w:rsidRPr="007A3749">
        <w:t xml:space="preserve">roku </w:t>
      </w:r>
      <w:r w:rsidR="00B94F1E" w:rsidRPr="007A3749">
        <w:t>201</w:t>
      </w:r>
      <w:r w:rsidR="006F0329">
        <w:t>7</w:t>
      </w:r>
      <w:r w:rsidR="00304CE1" w:rsidRPr="007A3749">
        <w:t xml:space="preserve"> </w:t>
      </w:r>
      <w:r w:rsidR="00236FFC" w:rsidRPr="007A3749">
        <w:t xml:space="preserve">hodnoty </w:t>
      </w:r>
      <w:r w:rsidR="00125DBA" w:rsidRPr="007A3749">
        <w:t>2</w:t>
      </w:r>
      <w:r w:rsidR="006F0329">
        <w:t>0</w:t>
      </w:r>
      <w:r w:rsidR="00D64841" w:rsidRPr="007A3749">
        <w:t>,</w:t>
      </w:r>
      <w:r w:rsidR="006F0329">
        <w:t>7</w:t>
      </w:r>
      <w:r w:rsidR="00F1380E" w:rsidRPr="007A3749">
        <w:t xml:space="preserve"> </w:t>
      </w:r>
      <w:r w:rsidR="0068261A" w:rsidRPr="007A3749">
        <w:t>milionu</w:t>
      </w:r>
      <w:r w:rsidR="00F1380E" w:rsidRPr="007A3749">
        <w:t xml:space="preserve"> </w:t>
      </w:r>
      <w:r w:rsidR="0066376C" w:rsidRPr="007A3749">
        <w:t>EUR</w:t>
      </w:r>
      <w:r w:rsidR="006F7E78" w:rsidRPr="007A3749">
        <w:t xml:space="preserve">, meziročně o </w:t>
      </w:r>
      <w:r w:rsidR="006F0329">
        <w:t>9</w:t>
      </w:r>
      <w:r w:rsidR="00D64841" w:rsidRPr="007A3749">
        <w:t>,</w:t>
      </w:r>
      <w:r w:rsidR="004075CE">
        <w:t>2</w:t>
      </w:r>
      <w:r w:rsidR="00D64841" w:rsidRPr="007A3749">
        <w:t xml:space="preserve"> </w:t>
      </w:r>
      <w:r w:rsidR="006F7E78" w:rsidRPr="007A3749">
        <w:t>%</w:t>
      </w:r>
      <w:r w:rsidR="001F33FB" w:rsidRPr="007A3749">
        <w:t xml:space="preserve"> </w:t>
      </w:r>
      <w:r w:rsidR="006F0329">
        <w:t>méně</w:t>
      </w:r>
      <w:r w:rsidR="006F7E78" w:rsidRPr="007A3749">
        <w:t>.</w:t>
      </w:r>
      <w:r w:rsidR="00FD496E" w:rsidRPr="007A3749">
        <w:t xml:space="preserve"> Meziroční </w:t>
      </w:r>
      <w:r w:rsidR="006F0329">
        <w:t xml:space="preserve">pokles </w:t>
      </w:r>
      <w:r w:rsidR="00FD496E" w:rsidRPr="007A3749">
        <w:t xml:space="preserve">ukazatele EBITDA byl do značné míry způsoben zejména </w:t>
      </w:r>
      <w:r w:rsidR="00494A0D">
        <w:t xml:space="preserve">přenosovým mechanismem cen polymerů. Ceny polymerů od začátku roku </w:t>
      </w:r>
      <w:r w:rsidR="003131FA">
        <w:t xml:space="preserve">významně </w:t>
      </w:r>
      <w:r w:rsidR="00494A0D">
        <w:t>vzrostly</w:t>
      </w:r>
      <w:r w:rsidR="003131FA">
        <w:t xml:space="preserve">, </w:t>
      </w:r>
      <w:r w:rsidR="00977051">
        <w:t xml:space="preserve">přičemž se na maximálních úrovních držely celé druhé čtvrtletí. Vzhledem k časovému zpoždění se tyto ceny nestačily promítnout do výnosů. Současný vývoj cen polymerů naznačuje, že ceny prozatím kulminovaly a jejich mírný pokles by se měl pozitivně projevit ve výsledcích za třetí čtvrtletí. Vliv </w:t>
      </w:r>
      <w:r w:rsidR="00FD496E" w:rsidRPr="007A3749">
        <w:t>přecenění opčního akciového plánu</w:t>
      </w:r>
      <w:r w:rsidR="00977051">
        <w:t xml:space="preserve"> v</w:t>
      </w:r>
      <w:r w:rsidR="00792611">
        <w:t xml:space="preserve"> první</w:t>
      </w:r>
      <w:r w:rsidR="00977051">
        <w:t>m</w:t>
      </w:r>
      <w:r w:rsidR="00792611">
        <w:t xml:space="preserve"> pololetí 201</w:t>
      </w:r>
      <w:r w:rsidR="00977051">
        <w:t>7</w:t>
      </w:r>
      <w:r w:rsidR="00792611">
        <w:t xml:space="preserve"> představoval náklad ve vý</w:t>
      </w:r>
      <w:r w:rsidR="00A754F9" w:rsidRPr="007A3749">
        <w:t xml:space="preserve">ši </w:t>
      </w:r>
      <w:r w:rsidR="00792611">
        <w:t>0</w:t>
      </w:r>
      <w:r w:rsidR="00097737" w:rsidRPr="007A3749">
        <w:t>,</w:t>
      </w:r>
      <w:r w:rsidR="00977051">
        <w:t>8</w:t>
      </w:r>
      <w:r w:rsidR="00A754F9" w:rsidRPr="007A3749">
        <w:t xml:space="preserve"> milionu EUR</w:t>
      </w:r>
      <w:r w:rsidR="00792611">
        <w:t xml:space="preserve"> oproti nákladu ve výši </w:t>
      </w:r>
      <w:r w:rsidR="00977051">
        <w:t>0</w:t>
      </w:r>
      <w:r w:rsidR="00792611">
        <w:t xml:space="preserve">,5 milionu EUR za </w:t>
      </w:r>
      <w:r w:rsidR="00E40D83" w:rsidRPr="007A3749">
        <w:t>první pololet</w:t>
      </w:r>
      <w:r w:rsidR="00DA10D5" w:rsidRPr="007A3749">
        <w:t>í</w:t>
      </w:r>
      <w:r w:rsidR="00E40D83" w:rsidRPr="007A3749">
        <w:t xml:space="preserve"> 201</w:t>
      </w:r>
      <w:r w:rsidR="00977051">
        <w:t>6</w:t>
      </w:r>
      <w:r w:rsidR="00C8380E">
        <w:t>.</w:t>
      </w:r>
      <w:r w:rsidR="00977051">
        <w:t xml:space="preserve"> EBITDA upravená o vliv přecenění opčního akciového plánu tedy meziročně poklesla o 7,</w:t>
      </w:r>
      <w:r w:rsidR="004075CE">
        <w:t>6</w:t>
      </w:r>
      <w:r w:rsidR="00977051">
        <w:t xml:space="preserve"> % na 21,6 milionu EUR. </w:t>
      </w:r>
      <w:r w:rsidR="00061E2E">
        <w:t xml:space="preserve"> </w:t>
      </w:r>
    </w:p>
    <w:p w:rsidR="009877AF" w:rsidRPr="007A3749" w:rsidRDefault="009877AF" w:rsidP="007A3749">
      <w:pPr>
        <w:pStyle w:val="NormalWeb"/>
      </w:pPr>
      <w:r w:rsidRPr="007A3749">
        <w:t>EBITDA marže dosáhla v prvním pololetí roku 201</w:t>
      </w:r>
      <w:r w:rsidR="001457E4">
        <w:t>7</w:t>
      </w:r>
      <w:r w:rsidRPr="007A3749">
        <w:t xml:space="preserve"> </w:t>
      </w:r>
      <w:r w:rsidR="001457E4">
        <w:t>18</w:t>
      </w:r>
      <w:r w:rsidRPr="007A3749">
        <w:t>,</w:t>
      </w:r>
      <w:r w:rsidR="004075CE">
        <w:t>6</w:t>
      </w:r>
      <w:r w:rsidRPr="007A3749">
        <w:t xml:space="preserve"> %, tj. o </w:t>
      </w:r>
      <w:r w:rsidR="00061E2E">
        <w:t>2</w:t>
      </w:r>
      <w:r w:rsidRPr="007A3749">
        <w:t>,</w:t>
      </w:r>
      <w:r w:rsidR="004075CE">
        <w:t>8</w:t>
      </w:r>
      <w:r w:rsidRPr="007A3749">
        <w:t xml:space="preserve"> procentního bodu </w:t>
      </w:r>
      <w:r w:rsidR="001457E4">
        <w:t xml:space="preserve">méně </w:t>
      </w:r>
      <w:r w:rsidRPr="007A3749">
        <w:t>než ve stejném období roku 201</w:t>
      </w:r>
      <w:r w:rsidR="001457E4">
        <w:t>6</w:t>
      </w:r>
      <w:r w:rsidRPr="007A3749">
        <w:t xml:space="preserve">. EBITDA marže </w:t>
      </w:r>
      <w:r w:rsidR="0030132C" w:rsidRPr="007A3749">
        <w:t xml:space="preserve">upravená </w:t>
      </w:r>
      <w:r w:rsidRPr="007A3749">
        <w:t>o vliv přecenění opčního akciového plánu dosáhla v prvním pololetí roku 201</w:t>
      </w:r>
      <w:r w:rsidR="001457E4">
        <w:t>7</w:t>
      </w:r>
      <w:r w:rsidRPr="007A3749">
        <w:t xml:space="preserve"> </w:t>
      </w:r>
      <w:r w:rsidR="001457E4">
        <w:t>19</w:t>
      </w:r>
      <w:r w:rsidRPr="007A3749">
        <w:t>,</w:t>
      </w:r>
      <w:r w:rsidR="004075CE">
        <w:t>3</w:t>
      </w:r>
      <w:r w:rsidR="001457E4">
        <w:t> </w:t>
      </w:r>
      <w:r w:rsidRPr="007A3749">
        <w:t xml:space="preserve">%, tj. o </w:t>
      </w:r>
      <w:r w:rsidR="001457E4">
        <w:t>2</w:t>
      </w:r>
      <w:r w:rsidRPr="007A3749">
        <w:t>,</w:t>
      </w:r>
      <w:r w:rsidR="004075CE">
        <w:t>6</w:t>
      </w:r>
      <w:r w:rsidRPr="007A3749">
        <w:t xml:space="preserve"> procentního bodu </w:t>
      </w:r>
      <w:r w:rsidR="001457E4">
        <w:t xml:space="preserve">méně </w:t>
      </w:r>
      <w:r w:rsidRPr="007A3749">
        <w:t>než ve stejném období roku 201</w:t>
      </w:r>
      <w:r w:rsidR="001457E4">
        <w:t>6</w:t>
      </w:r>
      <w:r w:rsidRPr="007A3749">
        <w:t>.</w:t>
      </w:r>
    </w:p>
    <w:p w:rsidR="00A11CFF" w:rsidRPr="007A3749" w:rsidRDefault="00A11CFF" w:rsidP="007A3749">
      <w:pPr>
        <w:pStyle w:val="NormalWeb"/>
        <w:rPr>
          <w:highlight w:val="yellow"/>
        </w:rPr>
      </w:pPr>
      <w:r w:rsidRPr="007A3749" w:rsidDel="007D31AF">
        <w:t>EBITDA v</w:t>
      </w:r>
      <w:r w:rsidR="00735EF7">
        <w:t>e</w:t>
      </w:r>
      <w:r w:rsidRPr="007A3749" w:rsidDel="007D31AF">
        <w:t> druhém čtvrtl</w:t>
      </w:r>
      <w:r w:rsidRPr="007A3749">
        <w:t>etí roku 201</w:t>
      </w:r>
      <w:r w:rsidR="001457E4">
        <w:t>7</w:t>
      </w:r>
      <w:r w:rsidRPr="007A3749" w:rsidDel="007D31AF">
        <w:t xml:space="preserve"> činila </w:t>
      </w:r>
      <w:r w:rsidR="001457E4">
        <w:t>9</w:t>
      </w:r>
      <w:r w:rsidRPr="007A3749">
        <w:t>,</w:t>
      </w:r>
      <w:r w:rsidR="001457E4">
        <w:t>5</w:t>
      </w:r>
      <w:r w:rsidRPr="007A3749">
        <w:t xml:space="preserve"> milionu</w:t>
      </w:r>
      <w:r w:rsidRPr="007A3749" w:rsidDel="007D31AF">
        <w:t xml:space="preserve"> EUR, tj. o </w:t>
      </w:r>
      <w:r w:rsidR="001457E4">
        <w:t>15</w:t>
      </w:r>
      <w:r w:rsidR="00703FC6" w:rsidRPr="007A3749">
        <w:t>,</w:t>
      </w:r>
      <w:r w:rsidR="004075CE">
        <w:t>6</w:t>
      </w:r>
      <w:r w:rsidRPr="007A3749" w:rsidDel="007D31AF">
        <w:t xml:space="preserve"> % meziročně </w:t>
      </w:r>
      <w:r w:rsidR="001457E4">
        <w:t>méně</w:t>
      </w:r>
      <w:r w:rsidR="006254C0" w:rsidRPr="007A3749">
        <w:t xml:space="preserve">. Nejvýznamnější vliv </w:t>
      </w:r>
      <w:r w:rsidR="00811F33">
        <w:t>na meziroční srovnání měl</w:t>
      </w:r>
      <w:r w:rsidR="001457E4">
        <w:t xml:space="preserve"> přenosový mechanismus cen polymerů.</w:t>
      </w:r>
      <w:r w:rsidR="00811F33">
        <w:t xml:space="preserve"> </w:t>
      </w:r>
      <w:r w:rsidR="001457E4">
        <w:t>P</w:t>
      </w:r>
      <w:r w:rsidR="006254C0" w:rsidRPr="007A3749">
        <w:t xml:space="preserve">řecenění opčního akciového </w:t>
      </w:r>
      <w:r w:rsidR="00811F33">
        <w:t xml:space="preserve">programu </w:t>
      </w:r>
      <w:r w:rsidR="006F5012">
        <w:t>ve druhém</w:t>
      </w:r>
      <w:r w:rsidR="00811F33">
        <w:t xml:space="preserve"> čtvrtletí 201</w:t>
      </w:r>
      <w:r w:rsidR="001457E4">
        <w:t>7</w:t>
      </w:r>
      <w:r w:rsidR="00811F33">
        <w:t xml:space="preserve"> představovalo náklad </w:t>
      </w:r>
      <w:r w:rsidR="00E40D83" w:rsidRPr="007A3749">
        <w:t xml:space="preserve">ve výši </w:t>
      </w:r>
      <w:r w:rsidR="00061E2E">
        <w:t>0</w:t>
      </w:r>
      <w:r w:rsidR="00E40D83" w:rsidRPr="007A3749">
        <w:t>,</w:t>
      </w:r>
      <w:r w:rsidR="001457E4">
        <w:t>6</w:t>
      </w:r>
      <w:r w:rsidR="00E40D83" w:rsidRPr="007A3749">
        <w:t xml:space="preserve"> milionu EUR ve srovnání s</w:t>
      </w:r>
      <w:r w:rsidR="00061E2E">
        <w:t xml:space="preserve"> nákladem </w:t>
      </w:r>
      <w:r w:rsidR="009877AF" w:rsidRPr="007A3749">
        <w:t xml:space="preserve">ve výši </w:t>
      </w:r>
      <w:r w:rsidR="001457E4">
        <w:t>0</w:t>
      </w:r>
      <w:r w:rsidR="00061E2E">
        <w:t>,</w:t>
      </w:r>
      <w:r w:rsidR="001457E4">
        <w:t>4</w:t>
      </w:r>
      <w:r w:rsidR="00061E2E">
        <w:t xml:space="preserve"> milionu EUR</w:t>
      </w:r>
      <w:r w:rsidR="009877AF" w:rsidRPr="007A3749">
        <w:t xml:space="preserve"> ve srovnatelném období předchozího roku</w:t>
      </w:r>
      <w:r w:rsidR="006254C0" w:rsidRPr="007A3749">
        <w:t>.</w:t>
      </w:r>
      <w:r w:rsidR="009877AF" w:rsidRPr="007A3749">
        <w:t xml:space="preserve"> EBITDA </w:t>
      </w:r>
      <w:r w:rsidR="0030132C" w:rsidRPr="007A3749">
        <w:t xml:space="preserve">upravená </w:t>
      </w:r>
      <w:r w:rsidR="009877AF" w:rsidRPr="007A3749">
        <w:t xml:space="preserve">o tento vliv meziročně </w:t>
      </w:r>
      <w:r w:rsidR="001457E4">
        <w:t xml:space="preserve">poklesla </w:t>
      </w:r>
      <w:r w:rsidR="009877AF" w:rsidRPr="007A3749">
        <w:t xml:space="preserve">o </w:t>
      </w:r>
      <w:r w:rsidR="001457E4">
        <w:t>12</w:t>
      </w:r>
      <w:r w:rsidR="009877AF" w:rsidRPr="007A3749">
        <w:t>,</w:t>
      </w:r>
      <w:r w:rsidR="004075CE">
        <w:t>9</w:t>
      </w:r>
      <w:r w:rsidR="009877AF" w:rsidRPr="007A3749">
        <w:t> % na hodnotu 1</w:t>
      </w:r>
      <w:r w:rsidR="001457E4">
        <w:t>0</w:t>
      </w:r>
      <w:r w:rsidR="009877AF" w:rsidRPr="007A3749">
        <w:t>,</w:t>
      </w:r>
      <w:r w:rsidR="001457E4">
        <w:t>1</w:t>
      </w:r>
      <w:r w:rsidR="009877AF" w:rsidRPr="007A3749">
        <w:t xml:space="preserve"> milionu EUR. </w:t>
      </w:r>
    </w:p>
    <w:p w:rsidR="004F2222" w:rsidRPr="007A3749" w:rsidRDefault="005F221E" w:rsidP="007A3749">
      <w:pPr>
        <w:pStyle w:val="NormalWeb"/>
      </w:pPr>
      <w:r w:rsidRPr="007A3749">
        <w:t xml:space="preserve">EBITDA marže ve druhém čtvrtletí </w:t>
      </w:r>
      <w:r w:rsidR="00BF4531" w:rsidRPr="007A3749">
        <w:t xml:space="preserve">roku </w:t>
      </w:r>
      <w:r w:rsidR="00D235B8" w:rsidRPr="007A3749">
        <w:t>201</w:t>
      </w:r>
      <w:r w:rsidR="001457E4">
        <w:t>7</w:t>
      </w:r>
      <w:r w:rsidR="00D235B8" w:rsidRPr="007A3749">
        <w:t xml:space="preserve"> </w:t>
      </w:r>
      <w:r w:rsidR="00CC2EF9" w:rsidRPr="007A3749">
        <w:t xml:space="preserve">činila </w:t>
      </w:r>
      <w:r w:rsidR="001457E4">
        <w:t>1</w:t>
      </w:r>
      <w:r w:rsidR="004075CE">
        <w:t>6</w:t>
      </w:r>
      <w:r w:rsidR="00D078AF">
        <w:t>,</w:t>
      </w:r>
      <w:r w:rsidR="004075CE">
        <w:t>9</w:t>
      </w:r>
      <w:r w:rsidR="002B45A6" w:rsidRPr="007A3749">
        <w:t> </w:t>
      </w:r>
      <w:r w:rsidR="00CC2EF9" w:rsidRPr="007A3749">
        <w:t xml:space="preserve">%, </w:t>
      </w:r>
      <w:r w:rsidR="006E553D" w:rsidRPr="007A3749">
        <w:t xml:space="preserve">o </w:t>
      </w:r>
      <w:r w:rsidR="004075CE">
        <w:t>4</w:t>
      </w:r>
      <w:r w:rsidR="00703FC6" w:rsidRPr="007A3749">
        <w:t>,</w:t>
      </w:r>
      <w:r w:rsidR="004075CE">
        <w:t>8</w:t>
      </w:r>
      <w:r w:rsidR="006E553D" w:rsidRPr="007A3749">
        <w:t xml:space="preserve"> procentní</w:t>
      </w:r>
      <w:r w:rsidR="00703FC6" w:rsidRPr="007A3749">
        <w:t>ho</w:t>
      </w:r>
      <w:r w:rsidR="006E553D" w:rsidRPr="007A3749">
        <w:t xml:space="preserve"> bod</w:t>
      </w:r>
      <w:r w:rsidR="00703FC6" w:rsidRPr="007A3749">
        <w:t>u</w:t>
      </w:r>
      <w:r w:rsidR="006E553D" w:rsidRPr="007A3749">
        <w:t xml:space="preserve"> </w:t>
      </w:r>
      <w:r w:rsidR="001457E4">
        <w:t xml:space="preserve">méně </w:t>
      </w:r>
      <w:r w:rsidR="006E553D" w:rsidRPr="007A3749">
        <w:t>než v přechozím roce</w:t>
      </w:r>
      <w:r w:rsidR="00CC2EF9" w:rsidRPr="007A3749">
        <w:t>.</w:t>
      </w:r>
      <w:r w:rsidR="002B45A6" w:rsidRPr="007A3749">
        <w:t xml:space="preserve"> </w:t>
      </w:r>
      <w:r w:rsidR="009877AF" w:rsidRPr="007A3749">
        <w:t xml:space="preserve">EBITDA marže </w:t>
      </w:r>
      <w:r w:rsidR="0030132C" w:rsidRPr="007A3749">
        <w:t xml:space="preserve">upravená </w:t>
      </w:r>
      <w:r w:rsidR="009877AF" w:rsidRPr="007A3749">
        <w:t xml:space="preserve">o vliv přecenění opčního akciového plánu dosáhla </w:t>
      </w:r>
      <w:r w:rsidR="006F5012">
        <w:t>ve druhém</w:t>
      </w:r>
      <w:r w:rsidR="00D73DC3" w:rsidRPr="007A3749">
        <w:t xml:space="preserve"> </w:t>
      </w:r>
      <w:r w:rsidR="009877AF" w:rsidRPr="007A3749">
        <w:t>čtvrtletí roku 201</w:t>
      </w:r>
      <w:r w:rsidR="001457E4">
        <w:t>7</w:t>
      </w:r>
      <w:r w:rsidR="009877AF" w:rsidRPr="007A3749">
        <w:t xml:space="preserve"> </w:t>
      </w:r>
      <w:r w:rsidR="001457E4">
        <w:t>18</w:t>
      </w:r>
      <w:r w:rsidR="009877AF" w:rsidRPr="007A3749">
        <w:t>,</w:t>
      </w:r>
      <w:r w:rsidR="004075CE">
        <w:t>0</w:t>
      </w:r>
      <w:r w:rsidR="009877AF" w:rsidRPr="007A3749">
        <w:t xml:space="preserve"> %, tj. o </w:t>
      </w:r>
      <w:r w:rsidR="001457E4">
        <w:t>4</w:t>
      </w:r>
      <w:r w:rsidR="009877AF" w:rsidRPr="007A3749">
        <w:t>,</w:t>
      </w:r>
      <w:r w:rsidR="004075CE">
        <w:t>4</w:t>
      </w:r>
      <w:r w:rsidR="009877AF" w:rsidRPr="007A3749">
        <w:t xml:space="preserve"> procentního bodu </w:t>
      </w:r>
      <w:r w:rsidR="001457E4">
        <w:t xml:space="preserve">méně </w:t>
      </w:r>
      <w:r w:rsidR="009877AF" w:rsidRPr="007A3749">
        <w:t>než ve stejném období roku 201</w:t>
      </w:r>
      <w:r w:rsidR="001457E4">
        <w:t>6</w:t>
      </w:r>
      <w:r w:rsidR="009877AF" w:rsidRPr="007A3749">
        <w:t>.</w:t>
      </w:r>
    </w:p>
    <w:p w:rsidR="00DA10D5" w:rsidRPr="007A3749" w:rsidRDefault="00DA10D5" w:rsidP="007A3749">
      <w:pPr>
        <w:pStyle w:val="NormalWeb"/>
        <w:rPr>
          <w:highlight w:val="yellow"/>
        </w:rPr>
      </w:pPr>
      <w:r w:rsidRPr="007A3749">
        <w:t>Výsledky za první pololetí jsou v souladu s výhledem zveřejněným na počátku roku, ve kterém Společnost indikovala meziroční nárůst ukazatele EBITDA na hodnotu v rozmezí 4</w:t>
      </w:r>
      <w:r w:rsidR="00D078AF">
        <w:t>3</w:t>
      </w:r>
      <w:r w:rsidRPr="007A3749">
        <w:t xml:space="preserve">,0 až </w:t>
      </w:r>
      <w:r w:rsidR="001457E4">
        <w:t>50</w:t>
      </w:r>
      <w:r w:rsidRPr="007A3749">
        <w:t>,</w:t>
      </w:r>
      <w:r w:rsidR="00D078AF">
        <w:t>0</w:t>
      </w:r>
      <w:r w:rsidRPr="007A3749">
        <w:t xml:space="preserve"> milionu EUR.</w:t>
      </w:r>
    </w:p>
    <w:p w:rsidR="004F2222" w:rsidRPr="00856740" w:rsidRDefault="004F2222" w:rsidP="00620C97">
      <w:pPr>
        <w:pStyle w:val="Heading4"/>
      </w:pPr>
      <w:r w:rsidRPr="00856740">
        <w:rPr>
          <w:rStyle w:val="Emphasis"/>
          <w:i w:val="0"/>
          <w:iCs w:val="0"/>
        </w:rPr>
        <w:t>Provozní náklady</w:t>
      </w:r>
    </w:p>
    <w:p w:rsidR="004F2222" w:rsidRPr="007A3749" w:rsidRDefault="004F2222" w:rsidP="007A3749">
      <w:pPr>
        <w:pStyle w:val="NormalWeb"/>
      </w:pPr>
      <w:r w:rsidRPr="007A3749">
        <w:t>Celková spotřeba materiál</w:t>
      </w:r>
      <w:r w:rsidR="00760D8D" w:rsidRPr="007A3749">
        <w:t>ů</w:t>
      </w:r>
      <w:r w:rsidRPr="007A3749">
        <w:t xml:space="preserve"> a ostatní spotřeba </w:t>
      </w:r>
      <w:r w:rsidR="00684B0E" w:rsidRPr="007A3749">
        <w:t xml:space="preserve">dosáhla </w:t>
      </w:r>
      <w:r w:rsidRPr="007A3749">
        <w:t>v první polo</w:t>
      </w:r>
      <w:r w:rsidR="001F1555" w:rsidRPr="007A3749">
        <w:t>vině</w:t>
      </w:r>
      <w:r w:rsidRPr="007A3749">
        <w:t xml:space="preserve"> </w:t>
      </w:r>
      <w:r w:rsidR="00A71503" w:rsidRPr="007A3749">
        <w:t xml:space="preserve">tohoto </w:t>
      </w:r>
      <w:r w:rsidRPr="007A3749">
        <w:t xml:space="preserve">roku </w:t>
      </w:r>
      <w:r w:rsidR="00E35449">
        <w:t>83</w:t>
      </w:r>
      <w:r w:rsidR="00541DBF" w:rsidRPr="007A3749">
        <w:t>,</w:t>
      </w:r>
      <w:r w:rsidR="004075CE">
        <w:t>8</w:t>
      </w:r>
      <w:r w:rsidRPr="007A3749">
        <w:t xml:space="preserve"> </w:t>
      </w:r>
      <w:r w:rsidR="0068261A" w:rsidRPr="007A3749">
        <w:t>milionu</w:t>
      </w:r>
      <w:r w:rsidRPr="007A3749">
        <w:t xml:space="preserve"> </w:t>
      </w:r>
      <w:r w:rsidR="00684B0E" w:rsidRPr="007A3749">
        <w:t>EUR</w:t>
      </w:r>
      <w:r w:rsidRPr="007A3749">
        <w:t xml:space="preserve">, tj. meziročně o </w:t>
      </w:r>
      <w:r w:rsidR="00E35449">
        <w:t>9</w:t>
      </w:r>
      <w:r w:rsidR="000836B9" w:rsidRPr="007A3749">
        <w:t>,</w:t>
      </w:r>
      <w:r w:rsidR="004075CE">
        <w:t>1</w:t>
      </w:r>
      <w:r w:rsidR="00EB2697">
        <w:t> </w:t>
      </w:r>
      <w:r w:rsidRPr="007A3749">
        <w:t xml:space="preserve">% </w:t>
      </w:r>
      <w:r w:rsidR="00E35449">
        <w:t>více</w:t>
      </w:r>
      <w:r w:rsidRPr="007A3749">
        <w:t>.</w:t>
      </w:r>
      <w:r w:rsidR="00E14480" w:rsidRPr="007A3749">
        <w:t xml:space="preserve"> </w:t>
      </w:r>
      <w:r w:rsidR="00376034" w:rsidRPr="007A3749">
        <w:t>V samotném druhém čtvrtletí 201</w:t>
      </w:r>
      <w:r w:rsidR="00E35449">
        <w:t>7</w:t>
      </w:r>
      <w:r w:rsidR="00376034" w:rsidRPr="007A3749">
        <w:t xml:space="preserve"> tato položka činila </w:t>
      </w:r>
      <w:r w:rsidR="00E35449">
        <w:t>42</w:t>
      </w:r>
      <w:r w:rsidR="00541DBF" w:rsidRPr="007A3749">
        <w:t>,</w:t>
      </w:r>
      <w:r w:rsidR="004075CE">
        <w:t>4</w:t>
      </w:r>
      <w:r w:rsidR="00376034" w:rsidRPr="007A3749">
        <w:t xml:space="preserve"> milionu EUR, což je o </w:t>
      </w:r>
      <w:r w:rsidR="00EB2697">
        <w:t>1</w:t>
      </w:r>
      <w:r w:rsidR="00E35449">
        <w:t>5</w:t>
      </w:r>
      <w:r w:rsidR="00541DBF" w:rsidRPr="007A3749">
        <w:t>,</w:t>
      </w:r>
      <w:r w:rsidR="004075CE">
        <w:t>1</w:t>
      </w:r>
      <w:r w:rsidR="00376034" w:rsidRPr="007A3749">
        <w:t xml:space="preserve"> % </w:t>
      </w:r>
      <w:r w:rsidR="00E35449">
        <w:t xml:space="preserve">více </w:t>
      </w:r>
      <w:r w:rsidR="00376034" w:rsidRPr="007A3749">
        <w:t xml:space="preserve">v porovnání se stejným obdobím minulého roku. </w:t>
      </w:r>
      <w:r w:rsidR="0001555E" w:rsidRPr="007A3749">
        <w:t xml:space="preserve">Hlavním faktorem </w:t>
      </w:r>
      <w:r w:rsidR="00376034" w:rsidRPr="007A3749">
        <w:t xml:space="preserve">pro </w:t>
      </w:r>
      <w:r w:rsidR="0001555E" w:rsidRPr="007A3749">
        <w:t xml:space="preserve">meziroční </w:t>
      </w:r>
      <w:r w:rsidR="00E35449">
        <w:t xml:space="preserve">nárůst </w:t>
      </w:r>
      <w:r w:rsidR="0001555E" w:rsidRPr="007A3749">
        <w:t>byl</w:t>
      </w:r>
      <w:r w:rsidR="00E35449">
        <w:t>y</w:t>
      </w:r>
      <w:r w:rsidR="0001555E" w:rsidRPr="007A3749">
        <w:t xml:space="preserve"> </w:t>
      </w:r>
      <w:r w:rsidR="00E35449">
        <w:t xml:space="preserve">vyšší </w:t>
      </w:r>
      <w:r w:rsidR="002E2935" w:rsidRPr="007A3749">
        <w:t>nákupní cen</w:t>
      </w:r>
      <w:r w:rsidR="00E35449">
        <w:t>y</w:t>
      </w:r>
      <w:r w:rsidR="002E2935" w:rsidRPr="007A3749">
        <w:t xml:space="preserve"> polymerů v meziročním srovnání.</w:t>
      </w:r>
      <w:r w:rsidR="0001555E" w:rsidRPr="007A3749">
        <w:t xml:space="preserve"> </w:t>
      </w:r>
    </w:p>
    <w:p w:rsidR="00D21F88" w:rsidRPr="007A3749" w:rsidRDefault="004F2222" w:rsidP="007A3749">
      <w:pPr>
        <w:pStyle w:val="NormalWeb"/>
      </w:pPr>
      <w:r w:rsidRPr="00056ED7">
        <w:t xml:space="preserve">Celkové osobní náklady dosáhly </w:t>
      </w:r>
      <w:r w:rsidR="00684B0E" w:rsidRPr="00056ED7">
        <w:t xml:space="preserve">v prvním </w:t>
      </w:r>
      <w:r w:rsidR="00DC6CBA" w:rsidRPr="00056ED7">
        <w:t>pololetí</w:t>
      </w:r>
      <w:r w:rsidR="00684B0E" w:rsidRPr="00056ED7">
        <w:t xml:space="preserve"> </w:t>
      </w:r>
      <w:r w:rsidR="00E35449" w:rsidRPr="00056ED7">
        <w:t xml:space="preserve">2017 </w:t>
      </w:r>
      <w:r w:rsidR="00EB2697" w:rsidRPr="00056ED7">
        <w:t>6</w:t>
      </w:r>
      <w:r w:rsidR="0001555E" w:rsidRPr="00056ED7">
        <w:t>,</w:t>
      </w:r>
      <w:r w:rsidR="00E35449" w:rsidRPr="00056ED7">
        <w:t>7</w:t>
      </w:r>
      <w:r w:rsidR="0068261A" w:rsidRPr="00056ED7">
        <w:t xml:space="preserve"> milionu</w:t>
      </w:r>
      <w:r w:rsidRPr="00056ED7">
        <w:t xml:space="preserve"> </w:t>
      </w:r>
      <w:r w:rsidR="00684B0E" w:rsidRPr="00056ED7">
        <w:t>EUR</w:t>
      </w:r>
      <w:r w:rsidRPr="00056ED7">
        <w:t xml:space="preserve">, tj. meziročně o </w:t>
      </w:r>
      <w:r w:rsidR="00EB2697" w:rsidRPr="00056ED7">
        <w:t>8</w:t>
      </w:r>
      <w:r w:rsidR="0001555E" w:rsidRPr="00056ED7">
        <w:t>,</w:t>
      </w:r>
      <w:r w:rsidR="00E35449" w:rsidRPr="00056ED7">
        <w:t>8</w:t>
      </w:r>
      <w:r w:rsidR="00BF4531" w:rsidRPr="00056ED7">
        <w:t xml:space="preserve"> </w:t>
      </w:r>
      <w:r w:rsidRPr="00056ED7">
        <w:t xml:space="preserve">% </w:t>
      </w:r>
      <w:r w:rsidR="00E35449" w:rsidRPr="00056ED7">
        <w:t>více</w:t>
      </w:r>
      <w:r w:rsidRPr="00056ED7">
        <w:t xml:space="preserve">. </w:t>
      </w:r>
      <w:r w:rsidR="002700CB" w:rsidRPr="00056ED7">
        <w:t>Na meziroční</w:t>
      </w:r>
      <w:r w:rsidR="00360D9E" w:rsidRPr="00056ED7">
        <w:t xml:space="preserve"> srovnání osobních nákladů </w:t>
      </w:r>
      <w:r w:rsidR="002700CB" w:rsidRPr="00056ED7">
        <w:t xml:space="preserve">měl největší vliv </w:t>
      </w:r>
      <w:r w:rsidR="00EB2697" w:rsidRPr="00056ED7">
        <w:t xml:space="preserve">dopad z </w:t>
      </w:r>
      <w:r w:rsidR="002700CB" w:rsidRPr="00056ED7">
        <w:t xml:space="preserve">přecenění opčního akciového plánu. Osobní náklady </w:t>
      </w:r>
      <w:r w:rsidR="0030132C" w:rsidRPr="00056ED7">
        <w:t xml:space="preserve">upravené </w:t>
      </w:r>
      <w:r w:rsidR="002700CB" w:rsidRPr="00056ED7">
        <w:t>o tento vliv činily v prvním pololetí 201</w:t>
      </w:r>
      <w:r w:rsidR="00E35449" w:rsidRPr="00056ED7">
        <w:t>7</w:t>
      </w:r>
      <w:r w:rsidR="002700CB" w:rsidRPr="00056ED7">
        <w:t xml:space="preserve"> 5,</w:t>
      </w:r>
      <w:r w:rsidR="00E35449" w:rsidRPr="00056ED7">
        <w:t>8</w:t>
      </w:r>
      <w:r w:rsidR="00C9092A" w:rsidRPr="00056ED7">
        <w:t> </w:t>
      </w:r>
      <w:r w:rsidR="002700CB" w:rsidRPr="00056ED7">
        <w:t>milionu EUR</w:t>
      </w:r>
      <w:r w:rsidR="00E35449" w:rsidRPr="00056ED7">
        <w:t>, tj. meziročně o 3,7 % více</w:t>
      </w:r>
      <w:r w:rsidR="002700CB" w:rsidRPr="00056ED7">
        <w:t xml:space="preserve">. </w:t>
      </w:r>
      <w:r w:rsidR="000B242D" w:rsidRPr="00056ED7">
        <w:t xml:space="preserve">V samotném druhém čtvrtletí osobní náklady </w:t>
      </w:r>
      <w:r w:rsidR="00056ED7" w:rsidRPr="00056ED7">
        <w:t xml:space="preserve">zejména </w:t>
      </w:r>
      <w:r w:rsidR="00DA10D5" w:rsidRPr="00056ED7">
        <w:t xml:space="preserve">v důsledku přecenění opčního akciového plánu </w:t>
      </w:r>
      <w:r w:rsidR="00E35449" w:rsidRPr="00056ED7">
        <w:t xml:space="preserve">vzrostly </w:t>
      </w:r>
      <w:r w:rsidR="000B242D" w:rsidRPr="00056ED7">
        <w:t xml:space="preserve">o </w:t>
      </w:r>
      <w:r w:rsidR="00056ED7" w:rsidRPr="00056ED7">
        <w:t>13</w:t>
      </w:r>
      <w:r w:rsidR="00925D6F" w:rsidRPr="00056ED7">
        <w:t>,</w:t>
      </w:r>
      <w:r w:rsidR="00056ED7" w:rsidRPr="00056ED7">
        <w:t>0</w:t>
      </w:r>
      <w:r w:rsidR="000B242D" w:rsidRPr="00056ED7">
        <w:t xml:space="preserve"> % na </w:t>
      </w:r>
      <w:r w:rsidR="00EB2697" w:rsidRPr="00056ED7">
        <w:t>3</w:t>
      </w:r>
      <w:r w:rsidR="002700CB" w:rsidRPr="00056ED7">
        <w:t>,</w:t>
      </w:r>
      <w:r w:rsidR="00056ED7" w:rsidRPr="00056ED7">
        <w:t>6</w:t>
      </w:r>
      <w:r w:rsidR="000B242D" w:rsidRPr="00056ED7">
        <w:t xml:space="preserve"> milionu EUR</w:t>
      </w:r>
      <w:r w:rsidR="00484615" w:rsidRPr="00056ED7">
        <w:t xml:space="preserve">. </w:t>
      </w:r>
      <w:r w:rsidR="00360D9E" w:rsidRPr="00056ED7">
        <w:t xml:space="preserve"> </w:t>
      </w:r>
      <w:r w:rsidR="00484615" w:rsidRPr="00056ED7">
        <w:t xml:space="preserve">Osobní náklady </w:t>
      </w:r>
      <w:r w:rsidR="0030132C" w:rsidRPr="00056ED7">
        <w:t xml:space="preserve">upravené </w:t>
      </w:r>
      <w:r w:rsidR="00484615" w:rsidRPr="00056ED7">
        <w:t xml:space="preserve">o </w:t>
      </w:r>
      <w:r w:rsidR="00E43151" w:rsidRPr="00056ED7">
        <w:t xml:space="preserve">tento </w:t>
      </w:r>
      <w:r w:rsidR="00484615" w:rsidRPr="00056ED7">
        <w:t xml:space="preserve">vliv činily </w:t>
      </w:r>
      <w:r w:rsidR="006F5012" w:rsidRPr="00056ED7">
        <w:t>ve druhém</w:t>
      </w:r>
      <w:r w:rsidR="00484615" w:rsidRPr="00056ED7">
        <w:t xml:space="preserve"> čtvrtletí 201</w:t>
      </w:r>
      <w:r w:rsidR="00056ED7" w:rsidRPr="00056ED7">
        <w:t>7</w:t>
      </w:r>
      <w:r w:rsidR="00484615" w:rsidRPr="00056ED7">
        <w:t xml:space="preserve"> </w:t>
      </w:r>
      <w:r w:rsidR="00056ED7" w:rsidRPr="00056ED7">
        <w:t>3</w:t>
      </w:r>
      <w:r w:rsidR="00484615" w:rsidRPr="00056ED7">
        <w:t>,</w:t>
      </w:r>
      <w:r w:rsidR="00056ED7" w:rsidRPr="00056ED7">
        <w:t>0</w:t>
      </w:r>
      <w:r w:rsidR="00484615" w:rsidRPr="00056ED7">
        <w:t xml:space="preserve"> milionu EUR</w:t>
      </w:r>
      <w:r w:rsidR="00056ED7" w:rsidRPr="00056ED7">
        <w:t>, tj. nárůst o 5,8 %</w:t>
      </w:r>
      <w:r w:rsidR="000B242D" w:rsidRPr="00056ED7">
        <w:t>.</w:t>
      </w:r>
      <w:r w:rsidR="000B242D" w:rsidRPr="007A3749">
        <w:t xml:space="preserve"> </w:t>
      </w:r>
    </w:p>
    <w:p w:rsidR="0081287F" w:rsidRPr="007A3749" w:rsidRDefault="0081287F" w:rsidP="007A3749">
      <w:pPr>
        <w:pStyle w:val="NormalWeb"/>
      </w:pPr>
      <w:r w:rsidRPr="007A3749">
        <w:t xml:space="preserve">Ostatní provozní </w:t>
      </w:r>
      <w:r w:rsidR="004075CE">
        <w:t xml:space="preserve">náklady </w:t>
      </w:r>
      <w:r w:rsidRPr="007A3749">
        <w:t>(</w:t>
      </w:r>
      <w:r w:rsidR="006A45C3" w:rsidRPr="007A3749">
        <w:t>netto</w:t>
      </w:r>
      <w:r w:rsidRPr="007A3749">
        <w:t xml:space="preserve">) dosáhly </w:t>
      </w:r>
      <w:r w:rsidR="0018302F" w:rsidRPr="00202C43">
        <w:t xml:space="preserve">v první polovině </w:t>
      </w:r>
      <w:r w:rsidR="001147EC" w:rsidRPr="00202C43">
        <w:t xml:space="preserve">tohoto </w:t>
      </w:r>
      <w:r w:rsidR="0018302F" w:rsidRPr="00864FC2">
        <w:t xml:space="preserve">roku </w:t>
      </w:r>
      <w:r w:rsidR="006452BC" w:rsidRPr="00864FC2">
        <w:t>0,</w:t>
      </w:r>
      <w:r w:rsidR="004075CE" w:rsidRPr="002C76B2">
        <w:t>5</w:t>
      </w:r>
      <w:r w:rsidR="009E633A" w:rsidRPr="00202C43">
        <w:t xml:space="preserve"> </w:t>
      </w:r>
      <w:r w:rsidR="0068261A" w:rsidRPr="00202C43">
        <w:t>milionu</w:t>
      </w:r>
      <w:r w:rsidR="002E44BD" w:rsidRPr="00864FC2">
        <w:t xml:space="preserve"> </w:t>
      </w:r>
      <w:r w:rsidR="00684B0E" w:rsidRPr="00864FC2">
        <w:t>EUR</w:t>
      </w:r>
      <w:r w:rsidR="00056ED7" w:rsidRPr="004075CE">
        <w:t xml:space="preserve"> v porovnání s nákladem 0,9 milionu EUR ve </w:t>
      </w:r>
      <w:r w:rsidR="00811F33" w:rsidRPr="004075CE">
        <w:t>stejn</w:t>
      </w:r>
      <w:r w:rsidR="00056ED7" w:rsidRPr="004075CE">
        <w:t>é</w:t>
      </w:r>
      <w:r w:rsidR="00811F33" w:rsidRPr="004075CE">
        <w:t>m obdobím roku 201</w:t>
      </w:r>
      <w:r w:rsidR="00056ED7" w:rsidRPr="004075CE">
        <w:t>6</w:t>
      </w:r>
      <w:r w:rsidR="00F6304E" w:rsidRPr="004075CE">
        <w:t xml:space="preserve">. </w:t>
      </w:r>
      <w:r w:rsidR="005F221E" w:rsidRPr="004075CE">
        <w:t>Ve</w:t>
      </w:r>
      <w:r w:rsidR="005F221E" w:rsidRPr="007A3749">
        <w:t xml:space="preserve"> druhém čtvrtletí </w:t>
      </w:r>
      <w:r w:rsidR="00057110" w:rsidRPr="007A3749">
        <w:t>201</w:t>
      </w:r>
      <w:r w:rsidR="00056ED7">
        <w:t>7</w:t>
      </w:r>
      <w:r w:rsidR="009E633A" w:rsidRPr="007A3749">
        <w:t xml:space="preserve"> </w:t>
      </w:r>
      <w:r w:rsidR="00DC6CBA" w:rsidRPr="007A3749">
        <w:t xml:space="preserve">dosáhly ostatní provozní </w:t>
      </w:r>
      <w:r w:rsidR="004075CE">
        <w:t>náklady</w:t>
      </w:r>
      <w:r w:rsidR="00056ED7" w:rsidRPr="007A3749">
        <w:t xml:space="preserve"> </w:t>
      </w:r>
      <w:r w:rsidR="00DC6CBA" w:rsidRPr="007A3749">
        <w:t>(</w:t>
      </w:r>
      <w:r w:rsidR="006A45C3" w:rsidRPr="007A3749">
        <w:t>netto</w:t>
      </w:r>
      <w:r w:rsidR="00DC6CBA" w:rsidRPr="007A3749">
        <w:t xml:space="preserve">) </w:t>
      </w:r>
      <w:r w:rsidR="006A45C3" w:rsidRPr="007A3749">
        <w:t>částky</w:t>
      </w:r>
      <w:r w:rsidR="00DC6CBA" w:rsidRPr="007A3749">
        <w:t xml:space="preserve"> </w:t>
      </w:r>
      <w:r w:rsidR="006452BC" w:rsidRPr="007A3749">
        <w:t>0,</w:t>
      </w:r>
      <w:r w:rsidR="004075CE">
        <w:t>5</w:t>
      </w:r>
      <w:r w:rsidR="009E633A" w:rsidRPr="007A3749">
        <w:t xml:space="preserve"> </w:t>
      </w:r>
      <w:r w:rsidR="0068261A" w:rsidRPr="007A3749">
        <w:t>milionu</w:t>
      </w:r>
      <w:r w:rsidR="00DC6CBA" w:rsidRPr="007A3749">
        <w:t xml:space="preserve"> EUR</w:t>
      </w:r>
      <w:r w:rsidR="00057110" w:rsidRPr="007A3749">
        <w:t>.</w:t>
      </w:r>
    </w:p>
    <w:p w:rsidR="004F2222" w:rsidRPr="002C2EF0" w:rsidRDefault="0081287F" w:rsidP="00620C97">
      <w:pPr>
        <w:pStyle w:val="Heading4"/>
      </w:pPr>
      <w:r w:rsidRPr="002C2EF0">
        <w:rPr>
          <w:rStyle w:val="Strong"/>
          <w:b/>
        </w:rPr>
        <w:t>Odpisy</w:t>
      </w:r>
    </w:p>
    <w:p w:rsidR="00640BDC" w:rsidRPr="007A3749" w:rsidRDefault="0081287F" w:rsidP="007A3749">
      <w:pPr>
        <w:pStyle w:val="NormalWeb"/>
      </w:pPr>
      <w:r w:rsidRPr="007A3749">
        <w:t xml:space="preserve">Konsolidované odpisy </w:t>
      </w:r>
      <w:r w:rsidR="002C6FFF" w:rsidRPr="007A3749">
        <w:t xml:space="preserve">činily </w:t>
      </w:r>
      <w:r w:rsidR="00684B0E" w:rsidRPr="007A3749">
        <w:t xml:space="preserve">v první polovině </w:t>
      </w:r>
      <w:r w:rsidR="000B6EFA" w:rsidRPr="007A3749">
        <w:t xml:space="preserve">roku </w:t>
      </w:r>
      <w:r w:rsidR="00056ED7" w:rsidRPr="007A3749">
        <w:t>201</w:t>
      </w:r>
      <w:r w:rsidR="00056ED7">
        <w:t>7</w:t>
      </w:r>
      <w:r w:rsidR="00056ED7" w:rsidRPr="007A3749">
        <w:t xml:space="preserve"> </w:t>
      </w:r>
      <w:r w:rsidR="007A22DC">
        <w:t>8,</w:t>
      </w:r>
      <w:r w:rsidR="00056ED7">
        <w:t>3</w:t>
      </w:r>
      <w:r w:rsidR="00881E5F" w:rsidRPr="007A3749">
        <w:t xml:space="preserve"> </w:t>
      </w:r>
      <w:r w:rsidR="0068261A" w:rsidRPr="007A3749">
        <w:t>milionu</w:t>
      </w:r>
      <w:r w:rsidRPr="007A3749">
        <w:t xml:space="preserve"> </w:t>
      </w:r>
      <w:r w:rsidR="00684B0E" w:rsidRPr="007A3749">
        <w:t>EUR</w:t>
      </w:r>
      <w:r w:rsidRPr="007A3749">
        <w:t xml:space="preserve">, </w:t>
      </w:r>
      <w:r w:rsidR="00BE415F" w:rsidRPr="007A3749">
        <w:t xml:space="preserve">meziročně </w:t>
      </w:r>
      <w:r w:rsidRPr="007A3749">
        <w:t xml:space="preserve">o </w:t>
      </w:r>
      <w:r w:rsidR="007A22DC">
        <w:t>2</w:t>
      </w:r>
      <w:r w:rsidR="00446779" w:rsidRPr="007A3749">
        <w:t>,</w:t>
      </w:r>
      <w:r w:rsidR="00056ED7">
        <w:t>3</w:t>
      </w:r>
      <w:r w:rsidR="00484615" w:rsidRPr="007A3749">
        <w:t> </w:t>
      </w:r>
      <w:r w:rsidRPr="007A3749">
        <w:t xml:space="preserve">% </w:t>
      </w:r>
      <w:r w:rsidR="002C6FFF" w:rsidRPr="007A3749">
        <w:t>více</w:t>
      </w:r>
      <w:r w:rsidR="00BE415F" w:rsidRPr="007A3749">
        <w:t xml:space="preserve">. </w:t>
      </w:r>
      <w:r w:rsidR="000B6EFA" w:rsidRPr="007A3749">
        <w:t>V samotném druhém čtvrtletí tohoto roku</w:t>
      </w:r>
      <w:r w:rsidR="00B57F03" w:rsidRPr="007A3749">
        <w:t xml:space="preserve"> činily odpisy </w:t>
      </w:r>
      <w:r w:rsidR="007A22DC">
        <w:t>4</w:t>
      </w:r>
      <w:r w:rsidR="00446779" w:rsidRPr="007A3749">
        <w:t>,</w:t>
      </w:r>
      <w:r w:rsidR="00056ED7">
        <w:t>2</w:t>
      </w:r>
      <w:r w:rsidR="000B6EFA" w:rsidRPr="007A3749">
        <w:t xml:space="preserve"> milion</w:t>
      </w:r>
      <w:r w:rsidR="0099117E" w:rsidRPr="007A3749">
        <w:t>u</w:t>
      </w:r>
      <w:r w:rsidR="000B6EFA" w:rsidRPr="007A3749">
        <w:t xml:space="preserve"> EUR, meziročně o </w:t>
      </w:r>
      <w:r w:rsidR="00056ED7">
        <w:t>3</w:t>
      </w:r>
      <w:r w:rsidR="007A22DC">
        <w:t>,</w:t>
      </w:r>
      <w:r w:rsidR="00056ED7">
        <w:t>1</w:t>
      </w:r>
      <w:r w:rsidR="000B6EFA" w:rsidRPr="007A3749">
        <w:t xml:space="preserve"> % </w:t>
      </w:r>
      <w:r w:rsidR="00131434" w:rsidRPr="007A3749">
        <w:t>více</w:t>
      </w:r>
      <w:r w:rsidR="000B6EFA" w:rsidRPr="007A3749">
        <w:t>.</w:t>
      </w:r>
      <w:r w:rsidR="00B57F03" w:rsidRPr="007A3749">
        <w:t xml:space="preserve"> </w:t>
      </w:r>
    </w:p>
    <w:p w:rsidR="004F2222" w:rsidRPr="00856740" w:rsidRDefault="00BF1BEC" w:rsidP="00620C97">
      <w:pPr>
        <w:pStyle w:val="Heading4"/>
      </w:pPr>
      <w:r w:rsidRPr="00856740">
        <w:rPr>
          <w:rStyle w:val="Strong"/>
          <w:b/>
          <w:bCs w:val="0"/>
        </w:rPr>
        <w:t>Provozní výsledek</w:t>
      </w:r>
    </w:p>
    <w:p w:rsidR="00A61B34" w:rsidRPr="007A3749" w:rsidRDefault="00BF1BEC" w:rsidP="007A3749">
      <w:pPr>
        <w:pStyle w:val="NormalWeb"/>
      </w:pPr>
      <w:r w:rsidRPr="007A3749">
        <w:t xml:space="preserve">V první polovině roku </w:t>
      </w:r>
      <w:r w:rsidR="00640BDC" w:rsidRPr="007A3749">
        <w:t>201</w:t>
      </w:r>
      <w:r w:rsidR="00056ED7">
        <w:t>7</w:t>
      </w:r>
      <w:r w:rsidR="009E633A" w:rsidRPr="007A3749">
        <w:t xml:space="preserve"> </w:t>
      </w:r>
      <w:r w:rsidR="00290B54" w:rsidRPr="007A3749">
        <w:t xml:space="preserve">činil </w:t>
      </w:r>
      <w:r w:rsidRPr="007A3749">
        <w:t xml:space="preserve">provozní výsledek hospodaření (EBIT) </w:t>
      </w:r>
      <w:r w:rsidR="00F178E6" w:rsidRPr="007A3749">
        <w:t>1</w:t>
      </w:r>
      <w:r w:rsidR="00056ED7">
        <w:t>2</w:t>
      </w:r>
      <w:r w:rsidR="00F178E6" w:rsidRPr="007A3749">
        <w:t>,</w:t>
      </w:r>
      <w:r w:rsidR="00056ED7">
        <w:t>4</w:t>
      </w:r>
      <w:r w:rsidRPr="007A3749">
        <w:t xml:space="preserve"> milion</w:t>
      </w:r>
      <w:r w:rsidR="0068261A" w:rsidRPr="007A3749">
        <w:t>u</w:t>
      </w:r>
      <w:r w:rsidRPr="007A3749">
        <w:t xml:space="preserve"> </w:t>
      </w:r>
      <w:r w:rsidR="00684B0E" w:rsidRPr="007A3749">
        <w:t>EUR</w:t>
      </w:r>
      <w:r w:rsidRPr="007A3749">
        <w:t xml:space="preserve">, o </w:t>
      </w:r>
      <w:r w:rsidR="00056ED7">
        <w:t>15</w:t>
      </w:r>
      <w:r w:rsidR="00A455DF" w:rsidRPr="007A3749">
        <w:t>,</w:t>
      </w:r>
      <w:r w:rsidR="004075CE">
        <w:t>5</w:t>
      </w:r>
      <w:r w:rsidRPr="007A3749">
        <w:t xml:space="preserve"> % </w:t>
      </w:r>
      <w:r w:rsidR="00056ED7">
        <w:t xml:space="preserve">méně </w:t>
      </w:r>
      <w:r w:rsidRPr="007A3749">
        <w:t>n</w:t>
      </w:r>
      <w:r w:rsidR="00290B54" w:rsidRPr="007A3749">
        <w:t>ež</w:t>
      </w:r>
      <w:r w:rsidRPr="007A3749">
        <w:t xml:space="preserve"> ve stejn</w:t>
      </w:r>
      <w:r w:rsidR="00066B8A" w:rsidRPr="007A3749">
        <w:t>é</w:t>
      </w:r>
      <w:r w:rsidRPr="007A3749">
        <w:t>m o</w:t>
      </w:r>
      <w:r w:rsidR="00640BDC" w:rsidRPr="007A3749">
        <w:t>bdobí roku 201</w:t>
      </w:r>
      <w:r w:rsidR="00056ED7">
        <w:t>6</w:t>
      </w:r>
      <w:r w:rsidR="002A6E0D" w:rsidRPr="007A3749">
        <w:t xml:space="preserve">. </w:t>
      </w:r>
    </w:p>
    <w:p w:rsidR="00881E5F" w:rsidRDefault="00881E5F" w:rsidP="007A3749">
      <w:pPr>
        <w:pStyle w:val="NormalWeb"/>
      </w:pPr>
      <w:r w:rsidRPr="007A3749">
        <w:t xml:space="preserve">Ve druhém čtvrtletí </w:t>
      </w:r>
      <w:r w:rsidR="001755D6" w:rsidRPr="007A3749">
        <w:t xml:space="preserve">roku </w:t>
      </w:r>
      <w:r w:rsidR="00F178E6" w:rsidRPr="007A3749">
        <w:t>201</w:t>
      </w:r>
      <w:r w:rsidR="00056ED7">
        <w:t>7</w:t>
      </w:r>
      <w:r w:rsidR="009E633A" w:rsidRPr="007A3749">
        <w:t xml:space="preserve"> </w:t>
      </w:r>
      <w:r w:rsidRPr="007A3749">
        <w:t xml:space="preserve">provozní zisk (EBIT) </w:t>
      </w:r>
      <w:r w:rsidR="001B4D0D" w:rsidRPr="007A3749">
        <w:t xml:space="preserve">v meziročním srovnání </w:t>
      </w:r>
      <w:r w:rsidR="00056ED7">
        <w:t xml:space="preserve">poklesl </w:t>
      </w:r>
      <w:r w:rsidR="00680B83" w:rsidRPr="007A3749">
        <w:t xml:space="preserve">na </w:t>
      </w:r>
      <w:r w:rsidR="00056ED7">
        <w:t>5,3</w:t>
      </w:r>
      <w:r w:rsidR="00680B83" w:rsidRPr="007A3749">
        <w:t xml:space="preserve"> milionu EUR, tj. </w:t>
      </w:r>
      <w:r w:rsidR="00C83E10" w:rsidRPr="007A3749">
        <w:t xml:space="preserve">meziročně </w:t>
      </w:r>
      <w:r w:rsidR="00680B83" w:rsidRPr="007A3749">
        <w:t xml:space="preserve">o </w:t>
      </w:r>
      <w:r w:rsidR="00056ED7">
        <w:t>2</w:t>
      </w:r>
      <w:r w:rsidR="004075CE">
        <w:t>6</w:t>
      </w:r>
      <w:r w:rsidR="00680B83" w:rsidRPr="007A3749">
        <w:t>,</w:t>
      </w:r>
      <w:r w:rsidR="004075CE">
        <w:t>1</w:t>
      </w:r>
      <w:r w:rsidR="00680B83" w:rsidRPr="007A3749">
        <w:t xml:space="preserve"> %</w:t>
      </w:r>
      <w:r w:rsidRPr="007A3749">
        <w:t>.</w:t>
      </w:r>
    </w:p>
    <w:p w:rsidR="00811F33" w:rsidRPr="007A3749" w:rsidRDefault="00811F33" w:rsidP="007A3749">
      <w:pPr>
        <w:pStyle w:val="NormalWeb"/>
      </w:pPr>
      <w:r>
        <w:t>Nejvýznamnější vliv na provozní výsledek v meziročním srovnání představoval</w:t>
      </w:r>
      <w:r w:rsidR="00056ED7">
        <w:t xml:space="preserve"> přenosový mechanismus cen polymerů</w:t>
      </w:r>
      <w:r>
        <w:t>.</w:t>
      </w:r>
    </w:p>
    <w:p w:rsidR="004F2222" w:rsidRPr="00856740" w:rsidRDefault="00BF1BEC" w:rsidP="00620C97">
      <w:pPr>
        <w:pStyle w:val="Heading4"/>
        <w:rPr>
          <w:rStyle w:val="Strong"/>
          <w:b/>
          <w:bCs w:val="0"/>
        </w:rPr>
      </w:pPr>
      <w:r w:rsidRPr="00856740">
        <w:rPr>
          <w:rStyle w:val="Strong"/>
          <w:b/>
          <w:bCs w:val="0"/>
        </w:rPr>
        <w:t xml:space="preserve">Finanční </w:t>
      </w:r>
      <w:r w:rsidR="00823538" w:rsidRPr="00856740">
        <w:rPr>
          <w:rStyle w:val="Strong"/>
          <w:b/>
          <w:bCs w:val="0"/>
        </w:rPr>
        <w:t>výnosy</w:t>
      </w:r>
      <w:r w:rsidRPr="00856740">
        <w:rPr>
          <w:rStyle w:val="Strong"/>
          <w:b/>
          <w:bCs w:val="0"/>
        </w:rPr>
        <w:t xml:space="preserve"> a náklady</w:t>
      </w:r>
    </w:p>
    <w:p w:rsidR="00357AC0" w:rsidRPr="007A3749" w:rsidRDefault="00823538" w:rsidP="007A3749">
      <w:pPr>
        <w:pStyle w:val="NormalWeb"/>
        <w:rPr>
          <w:highlight w:val="yellow"/>
        </w:rPr>
      </w:pPr>
      <w:r w:rsidRPr="007A3749">
        <w:t xml:space="preserve">V první polovině roku </w:t>
      </w:r>
      <w:r w:rsidR="002A26B6" w:rsidRPr="007A3749">
        <w:t>201</w:t>
      </w:r>
      <w:r w:rsidR="00056ED7">
        <w:t>7</w:t>
      </w:r>
      <w:r w:rsidR="00BC1DB5" w:rsidRPr="007A3749">
        <w:t xml:space="preserve"> </w:t>
      </w:r>
      <w:r w:rsidRPr="007A3749">
        <w:t>dosáhly kurzové zisky a ostatní finanční výnosy</w:t>
      </w:r>
      <w:r w:rsidR="00050C7B" w:rsidRPr="007A3749">
        <w:t>/náklady</w:t>
      </w:r>
      <w:r w:rsidRPr="007A3749">
        <w:t xml:space="preserve"> (</w:t>
      </w:r>
      <w:r w:rsidR="006A45C3" w:rsidRPr="007A3749">
        <w:t>netto</w:t>
      </w:r>
      <w:r w:rsidRPr="007A3749">
        <w:t xml:space="preserve">) </w:t>
      </w:r>
      <w:r w:rsidR="005928EA">
        <w:t>náklad</w:t>
      </w:r>
      <w:r w:rsidR="001B4D0D" w:rsidRPr="007A3749">
        <w:t xml:space="preserve"> </w:t>
      </w:r>
      <w:r w:rsidR="004075CE">
        <w:t>3</w:t>
      </w:r>
      <w:r w:rsidR="001B4D0D" w:rsidRPr="007A3749">
        <w:t>,</w:t>
      </w:r>
      <w:r w:rsidR="00F12220">
        <w:t>1</w:t>
      </w:r>
      <w:r w:rsidR="00052298" w:rsidRPr="007A3749">
        <w:t xml:space="preserve"> </w:t>
      </w:r>
      <w:r w:rsidR="0068261A" w:rsidRPr="007A3749">
        <w:t>milionu</w:t>
      </w:r>
      <w:r w:rsidRPr="007A3749">
        <w:t xml:space="preserve"> </w:t>
      </w:r>
      <w:r w:rsidR="00684B0E" w:rsidRPr="007A3749">
        <w:t>EUR</w:t>
      </w:r>
      <w:r w:rsidR="00E52725" w:rsidRPr="007A3749">
        <w:t xml:space="preserve">, </w:t>
      </w:r>
      <w:r w:rsidR="00A455DF" w:rsidRPr="007A3749">
        <w:t>v porovnání s</w:t>
      </w:r>
      <w:r w:rsidR="001740F8">
        <w:t> nákladem 2</w:t>
      </w:r>
      <w:r w:rsidR="00A455DF" w:rsidRPr="007A3749">
        <w:t>,</w:t>
      </w:r>
      <w:r w:rsidR="001740F8">
        <w:t>0</w:t>
      </w:r>
      <w:r w:rsidR="00A455DF" w:rsidRPr="007A3749">
        <w:t xml:space="preserve"> milionu EUR dosažen</w:t>
      </w:r>
      <w:r w:rsidR="00A72BA1" w:rsidRPr="007A3749">
        <w:t>ý</w:t>
      </w:r>
      <w:r w:rsidR="00A455DF" w:rsidRPr="007A3749">
        <w:t>m ve stejném období loňského roku</w:t>
      </w:r>
      <w:r w:rsidR="00357AC0" w:rsidRPr="007A3749">
        <w:t xml:space="preserve">. Tato položka </w:t>
      </w:r>
      <w:r w:rsidR="007C7F93" w:rsidRPr="007A3749">
        <w:t xml:space="preserve">představuje </w:t>
      </w:r>
      <w:r w:rsidR="00357AC0" w:rsidRPr="007A3749">
        <w:t>realizované a nerealizované kurzové zisky/ztráty</w:t>
      </w:r>
      <w:r w:rsidR="00050C7B" w:rsidRPr="007A3749">
        <w:t xml:space="preserve"> </w:t>
      </w:r>
      <w:r w:rsidR="00BC1DB5" w:rsidRPr="007A3749">
        <w:t>a</w:t>
      </w:r>
      <w:r w:rsidR="00357AC0" w:rsidRPr="007A3749">
        <w:t xml:space="preserve"> ostatní </w:t>
      </w:r>
      <w:r w:rsidR="006902A4" w:rsidRPr="007A3749">
        <w:t>finanční</w:t>
      </w:r>
      <w:r w:rsidR="00357AC0" w:rsidRPr="007A3749">
        <w:t xml:space="preserve"> výnosy a náklady.</w:t>
      </w:r>
      <w:r w:rsidR="005F221E" w:rsidRPr="007A3749">
        <w:t xml:space="preserve"> </w:t>
      </w:r>
      <w:r w:rsidR="004F3019" w:rsidRPr="004F3019">
        <w:t xml:space="preserve">Meziroční změna byla ovlivněna zejména vývojem kurzu dolaru vůči EUR, když dolar v prvním pololetí letošního roku oslabil o </w:t>
      </w:r>
      <w:r w:rsidR="001740F8">
        <w:t>více než 8</w:t>
      </w:r>
      <w:r w:rsidR="004F3019" w:rsidRPr="004F3019">
        <w:t xml:space="preserve"> %. Oslabení</w:t>
      </w:r>
      <w:r w:rsidR="005928EA">
        <w:t>/</w:t>
      </w:r>
      <w:r w:rsidR="004F3019" w:rsidRPr="004F3019">
        <w:t xml:space="preserve">posílení kurzu dolaru vůči EUR vede k nerealizovaným kurzovým </w:t>
      </w:r>
      <w:r w:rsidR="005928EA">
        <w:t xml:space="preserve">ztrátám/ziskům </w:t>
      </w:r>
      <w:r w:rsidR="004F3019" w:rsidRPr="004F3019">
        <w:t xml:space="preserve">souvisejícím s přeceněním rozvahových položek denominovaných v EUR a to zejména z titulu přecenění vnitropodnikové půjčky dceřiné společnosti v Egyptě. </w:t>
      </w:r>
      <w:r w:rsidR="00050C7B" w:rsidRPr="007A3749">
        <w:t>K</w:t>
      </w:r>
      <w:r w:rsidR="009F4E29" w:rsidRPr="007A3749">
        <w:t xml:space="preserve">urzové </w:t>
      </w:r>
      <w:r w:rsidR="00050C7B" w:rsidRPr="007A3749">
        <w:t>změny</w:t>
      </w:r>
      <w:r w:rsidR="009F4E29" w:rsidRPr="007A3749">
        <w:t xml:space="preserve"> a ostatní finanční výnosy</w:t>
      </w:r>
      <w:r w:rsidR="00050C7B" w:rsidRPr="007A3749">
        <w:t>/náklady</w:t>
      </w:r>
      <w:r w:rsidR="009F4E29" w:rsidRPr="007A3749">
        <w:t xml:space="preserve"> (</w:t>
      </w:r>
      <w:r w:rsidR="006A45C3" w:rsidRPr="007A3749">
        <w:t>netto</w:t>
      </w:r>
      <w:r w:rsidR="009F4E29" w:rsidRPr="007A3749">
        <w:t xml:space="preserve">) </w:t>
      </w:r>
      <w:r w:rsidR="00050C7B" w:rsidRPr="007A3749">
        <w:t>představovaly v samotném druhém čtvrtletí</w:t>
      </w:r>
      <w:r w:rsidR="00291CA6" w:rsidRPr="007A3749">
        <w:t xml:space="preserve"> </w:t>
      </w:r>
      <w:r w:rsidR="00050C7B" w:rsidRPr="007A3749">
        <w:t>roku</w:t>
      </w:r>
      <w:r w:rsidR="001105CE" w:rsidRPr="007A3749">
        <w:t xml:space="preserve"> </w:t>
      </w:r>
      <w:r w:rsidR="002A26B6" w:rsidRPr="007A3749">
        <w:t>201</w:t>
      </w:r>
      <w:r w:rsidR="001740F8">
        <w:t>7</w:t>
      </w:r>
      <w:r w:rsidR="00291CA6" w:rsidRPr="007A3749">
        <w:t xml:space="preserve"> </w:t>
      </w:r>
      <w:r w:rsidR="001740F8">
        <w:t xml:space="preserve">náklad </w:t>
      </w:r>
      <w:r w:rsidR="004075CE">
        <w:t>2</w:t>
      </w:r>
      <w:r w:rsidR="003035F5" w:rsidRPr="007A3749">
        <w:t>,</w:t>
      </w:r>
      <w:r w:rsidR="00F12220">
        <w:t>1</w:t>
      </w:r>
      <w:r w:rsidR="003035F5" w:rsidRPr="007A3749">
        <w:t xml:space="preserve"> milionu EUR oproti </w:t>
      </w:r>
      <w:r w:rsidR="001740F8">
        <w:t>výnosu 1</w:t>
      </w:r>
      <w:r w:rsidR="001B4D0D" w:rsidRPr="007A3749">
        <w:t>,</w:t>
      </w:r>
      <w:r w:rsidR="001740F8">
        <w:t>7</w:t>
      </w:r>
      <w:r w:rsidR="009F4E29" w:rsidRPr="007A3749">
        <w:t xml:space="preserve"> milion</w:t>
      </w:r>
      <w:r w:rsidR="0068261A" w:rsidRPr="007A3749">
        <w:t>u</w:t>
      </w:r>
      <w:r w:rsidR="00432FEB" w:rsidRPr="007A3749">
        <w:t xml:space="preserve"> EUR</w:t>
      </w:r>
      <w:r w:rsidR="003035F5" w:rsidRPr="007A3749">
        <w:t xml:space="preserve"> ve srovnatelném období předchozího roku</w:t>
      </w:r>
      <w:r w:rsidR="00A455DF" w:rsidRPr="007A3749">
        <w:t>.</w:t>
      </w:r>
      <w:r w:rsidR="004075CE">
        <w:t xml:space="preserve"> </w:t>
      </w:r>
      <w:r w:rsidR="00100D47">
        <w:t xml:space="preserve">Na kurzové změny mělo ve druhém čtvrtletí kromě oslabujícího kurzu dolaru vůči EUR vliv i posílení kurzu Kč vůči EUR. </w:t>
      </w:r>
    </w:p>
    <w:p w:rsidR="007B3CEF" w:rsidRPr="007A3749" w:rsidRDefault="00357AC0" w:rsidP="003E01AC">
      <w:pPr>
        <w:pStyle w:val="NormalWeb"/>
      </w:pPr>
      <w:r w:rsidRPr="007A3749">
        <w:t>Úrokové náklady (</w:t>
      </w:r>
      <w:r w:rsidR="006A45C3" w:rsidRPr="007A3749">
        <w:t>netto</w:t>
      </w:r>
      <w:r w:rsidRPr="007A3749">
        <w:t xml:space="preserve">) spojené s </w:t>
      </w:r>
      <w:r w:rsidR="00774E05" w:rsidRPr="007A3749">
        <w:t>obsluhou</w:t>
      </w:r>
      <w:r w:rsidR="007C7F93" w:rsidRPr="007A3749">
        <w:t xml:space="preserve"> </w:t>
      </w:r>
      <w:r w:rsidRPr="007A3749">
        <w:t>dluhu</w:t>
      </w:r>
      <w:r w:rsidR="007C7F93" w:rsidRPr="007A3749">
        <w:t xml:space="preserve"> činily </w:t>
      </w:r>
      <w:r w:rsidR="00290B54" w:rsidRPr="007A3749">
        <w:t xml:space="preserve">v první polovině </w:t>
      </w:r>
      <w:r w:rsidR="007B3CEF" w:rsidRPr="00202C43">
        <w:t xml:space="preserve">tohoto </w:t>
      </w:r>
      <w:r w:rsidR="00290B54" w:rsidRPr="00202C43">
        <w:t xml:space="preserve">roku </w:t>
      </w:r>
      <w:r w:rsidR="00066865" w:rsidRPr="00864FC2">
        <w:t>3</w:t>
      </w:r>
      <w:r w:rsidR="002A26B6" w:rsidRPr="00100D47">
        <w:t>,</w:t>
      </w:r>
      <w:r w:rsidR="00100D47" w:rsidRPr="002C76B2">
        <w:t>7</w:t>
      </w:r>
      <w:r w:rsidR="00052298" w:rsidRPr="00202C43">
        <w:t xml:space="preserve"> </w:t>
      </w:r>
      <w:r w:rsidR="0068261A" w:rsidRPr="00864FC2">
        <w:t>milionu</w:t>
      </w:r>
      <w:r w:rsidR="007C7F93" w:rsidRPr="00864FC2">
        <w:t xml:space="preserve"> </w:t>
      </w:r>
      <w:r w:rsidR="00684B0E" w:rsidRPr="00100D47">
        <w:t>EUR</w:t>
      </w:r>
      <w:r w:rsidR="007C7F93" w:rsidRPr="00100D47">
        <w:t xml:space="preserve">, tj. o </w:t>
      </w:r>
      <w:r w:rsidR="003035F5" w:rsidRPr="00100D47">
        <w:t>1</w:t>
      </w:r>
      <w:r w:rsidR="00100D47" w:rsidRPr="002C76B2">
        <w:t>0</w:t>
      </w:r>
      <w:r w:rsidR="00A455DF" w:rsidRPr="00202C43">
        <w:t>,</w:t>
      </w:r>
      <w:r w:rsidR="00100D47" w:rsidRPr="002C76B2">
        <w:t>6</w:t>
      </w:r>
      <w:r w:rsidR="00A455DF" w:rsidRPr="00202C43">
        <w:t xml:space="preserve"> </w:t>
      </w:r>
      <w:r w:rsidR="007C7F93" w:rsidRPr="00864FC2">
        <w:t xml:space="preserve">% </w:t>
      </w:r>
      <w:r w:rsidR="00066865" w:rsidRPr="00100D47">
        <w:t xml:space="preserve">méně </w:t>
      </w:r>
      <w:r w:rsidR="007C7F93" w:rsidRPr="00100D47">
        <w:t>ve srovn</w:t>
      </w:r>
      <w:r w:rsidR="00290B54" w:rsidRPr="00100D47">
        <w:t>ání se stejným obdobím roku</w:t>
      </w:r>
      <w:r w:rsidR="002A26B6" w:rsidRPr="00100D47">
        <w:t xml:space="preserve"> 201</w:t>
      </w:r>
      <w:r w:rsidR="00066865" w:rsidRPr="00100D47">
        <w:t>6</w:t>
      </w:r>
      <w:r w:rsidR="007C7F93" w:rsidRPr="00100D47">
        <w:t xml:space="preserve">. </w:t>
      </w:r>
      <w:r w:rsidR="00BC4B7D" w:rsidRPr="00100D47">
        <w:t>Ve druhém čtvrtletí 201</w:t>
      </w:r>
      <w:r w:rsidR="00066865" w:rsidRPr="00100D47">
        <w:t>7</w:t>
      </w:r>
      <w:r w:rsidR="00BC4B7D" w:rsidRPr="00100D47">
        <w:t xml:space="preserve"> dosáhly úrokové náklady (netto) hodnoty </w:t>
      </w:r>
      <w:r w:rsidR="00066865" w:rsidRPr="00100D47">
        <w:t>1</w:t>
      </w:r>
      <w:r w:rsidR="00BC4B7D" w:rsidRPr="00100D47">
        <w:t>,</w:t>
      </w:r>
      <w:r w:rsidR="00100D47" w:rsidRPr="002C76B2">
        <w:t>9</w:t>
      </w:r>
      <w:r w:rsidR="00BC4B7D" w:rsidRPr="00202C43">
        <w:t xml:space="preserve"> milionu EUR, o </w:t>
      </w:r>
      <w:r w:rsidR="00100D47" w:rsidRPr="002C76B2">
        <w:t>6</w:t>
      </w:r>
      <w:r w:rsidR="0055740A" w:rsidRPr="00202C43">
        <w:t>,</w:t>
      </w:r>
      <w:r w:rsidR="00066865" w:rsidRPr="00202C43">
        <w:t>2</w:t>
      </w:r>
      <w:r w:rsidR="00BC4B7D" w:rsidRPr="00864FC2">
        <w:t xml:space="preserve"> % </w:t>
      </w:r>
      <w:r w:rsidR="00066865" w:rsidRPr="00100D47">
        <w:t xml:space="preserve">méně </w:t>
      </w:r>
      <w:r w:rsidR="00BC4B7D" w:rsidRPr="00100D47">
        <w:t>ve srovnání</w:t>
      </w:r>
      <w:r w:rsidR="00BC4B7D" w:rsidRPr="007A3749">
        <w:t xml:space="preserve"> se stejným obdobím loňského roku. </w:t>
      </w:r>
      <w:r w:rsidR="003E01AC">
        <w:t xml:space="preserve">Důvodem pro pokles úrokových nákladů byla expirace úrokových swapů, které souvisely s refinancovanými bankovními úvěry. </w:t>
      </w:r>
      <w:r w:rsidR="005928EA">
        <w:t xml:space="preserve"> </w:t>
      </w:r>
      <w:r w:rsidR="0055740A" w:rsidRPr="007A3749">
        <w:t xml:space="preserve"> </w:t>
      </w:r>
    </w:p>
    <w:p w:rsidR="004F2222" w:rsidRPr="00781223" w:rsidRDefault="00952495" w:rsidP="00620C97">
      <w:pPr>
        <w:pStyle w:val="Heading4"/>
      </w:pPr>
      <w:r w:rsidRPr="00781223">
        <w:t>Daň z příjm</w:t>
      </w:r>
      <w:r w:rsidR="00200660" w:rsidRPr="00781223">
        <w:t>ů</w:t>
      </w:r>
    </w:p>
    <w:p w:rsidR="006C0A86" w:rsidRPr="00DF67C4" w:rsidRDefault="00952495" w:rsidP="007A3749">
      <w:pPr>
        <w:pStyle w:val="NormalWeb"/>
      </w:pPr>
      <w:r w:rsidRPr="007A3749">
        <w:t xml:space="preserve">V první polovině </w:t>
      </w:r>
      <w:r w:rsidR="00064B52" w:rsidRPr="007A3749">
        <w:t xml:space="preserve">roku </w:t>
      </w:r>
      <w:r w:rsidR="00C031CC" w:rsidRPr="007A3749">
        <w:t>201</w:t>
      </w:r>
      <w:r w:rsidR="003E01AC">
        <w:t>7</w:t>
      </w:r>
      <w:r w:rsidR="00C031CC" w:rsidRPr="007A3749">
        <w:t xml:space="preserve"> </w:t>
      </w:r>
      <w:r w:rsidRPr="007A3749">
        <w:t>činila daň z příjm</w:t>
      </w:r>
      <w:r w:rsidR="00200660" w:rsidRPr="007A3749">
        <w:t>ů</w:t>
      </w:r>
      <w:r w:rsidRPr="007A3749">
        <w:t xml:space="preserve"> </w:t>
      </w:r>
      <w:r w:rsidR="00BE6D86">
        <w:t>1,</w:t>
      </w:r>
      <w:r w:rsidR="0048429B">
        <w:t>1</w:t>
      </w:r>
      <w:r w:rsidRPr="007A3749">
        <w:t xml:space="preserve"> milion</w:t>
      </w:r>
      <w:r w:rsidR="0086095E" w:rsidRPr="007A3749">
        <w:t>u</w:t>
      </w:r>
      <w:r w:rsidRPr="007A3749">
        <w:t xml:space="preserve"> </w:t>
      </w:r>
      <w:r w:rsidR="00055F93" w:rsidRPr="007A3749">
        <w:t>EUR</w:t>
      </w:r>
      <w:r w:rsidR="009F4E29" w:rsidRPr="007A3749">
        <w:t xml:space="preserve">, o </w:t>
      </w:r>
      <w:r w:rsidR="0048429B">
        <w:t>6,5</w:t>
      </w:r>
      <w:r w:rsidR="00865CEE" w:rsidRPr="007A3749">
        <w:t xml:space="preserve"> </w:t>
      </w:r>
      <w:r w:rsidR="009F4E29" w:rsidRPr="007A3749">
        <w:t xml:space="preserve">% </w:t>
      </w:r>
      <w:r w:rsidR="0048429B">
        <w:t xml:space="preserve">více </w:t>
      </w:r>
      <w:r w:rsidR="009F4E29" w:rsidRPr="00DF67C4">
        <w:t>než ve</w:t>
      </w:r>
      <w:r w:rsidRPr="00DF67C4">
        <w:t xml:space="preserve"> stejné</w:t>
      </w:r>
      <w:r w:rsidR="00064B52" w:rsidRPr="00DF67C4">
        <w:t>m</w:t>
      </w:r>
      <w:r w:rsidR="00DA427D" w:rsidRPr="00DF67C4">
        <w:t xml:space="preserve"> období roku </w:t>
      </w:r>
      <w:r w:rsidR="00DA427D" w:rsidRPr="003623CC">
        <w:t>201</w:t>
      </w:r>
      <w:r w:rsidR="003E01AC" w:rsidRPr="003623CC">
        <w:t>6</w:t>
      </w:r>
      <w:r w:rsidRPr="003623CC">
        <w:t xml:space="preserve">. </w:t>
      </w:r>
      <w:r w:rsidR="00E5263E" w:rsidRPr="003623CC">
        <w:t xml:space="preserve">Splatná daň </w:t>
      </w:r>
      <w:r w:rsidR="00DF67C4" w:rsidRPr="003623CC">
        <w:t xml:space="preserve">dosáhla výše </w:t>
      </w:r>
      <w:r w:rsidR="00E5263E" w:rsidRPr="003623CC">
        <w:t>1,</w:t>
      </w:r>
      <w:r w:rsidR="0048429B">
        <w:t>5</w:t>
      </w:r>
      <w:r w:rsidR="00E5263E" w:rsidRPr="003623CC">
        <w:t xml:space="preserve"> milionu EUR, změna v odložené dani </w:t>
      </w:r>
      <w:r w:rsidR="00BE6D86" w:rsidRPr="003623CC">
        <w:t>představovala výnos 0,4 milionu EUR</w:t>
      </w:r>
      <w:r w:rsidR="00E5263E" w:rsidRPr="003623CC">
        <w:t>.</w:t>
      </w:r>
      <w:r w:rsidR="005057CB" w:rsidRPr="00DF67C4">
        <w:t xml:space="preserve"> </w:t>
      </w:r>
    </w:p>
    <w:p w:rsidR="00B27F36" w:rsidRPr="007A3749" w:rsidRDefault="005F221E" w:rsidP="007A3749">
      <w:pPr>
        <w:pStyle w:val="NormalWeb"/>
      </w:pPr>
      <w:r w:rsidRPr="00DF67C4">
        <w:t>V</w:t>
      </w:r>
      <w:r w:rsidR="00064B52" w:rsidRPr="00DF67C4">
        <w:t xml:space="preserve"> samotném</w:t>
      </w:r>
      <w:r w:rsidRPr="00DF67C4">
        <w:t xml:space="preserve"> druhém čtvrtletí </w:t>
      </w:r>
      <w:r w:rsidR="00C031CC" w:rsidRPr="00DF67C4">
        <w:t>201</w:t>
      </w:r>
      <w:r w:rsidR="003E01AC">
        <w:t>7</w:t>
      </w:r>
      <w:r w:rsidR="00C031CC" w:rsidRPr="00DF67C4">
        <w:t xml:space="preserve"> </w:t>
      </w:r>
      <w:r w:rsidR="00BE6D86" w:rsidRPr="003623CC">
        <w:t>představoval</w:t>
      </w:r>
      <w:r w:rsidR="003E01AC" w:rsidRPr="003623CC">
        <w:t>a</w:t>
      </w:r>
      <w:r w:rsidR="00BE6D86" w:rsidRPr="003623CC">
        <w:t xml:space="preserve"> </w:t>
      </w:r>
      <w:r w:rsidR="009F4E29" w:rsidRPr="003623CC">
        <w:t>daň z příjm</w:t>
      </w:r>
      <w:r w:rsidR="00200660" w:rsidRPr="003623CC">
        <w:t>ů</w:t>
      </w:r>
      <w:r w:rsidR="009F4E29" w:rsidRPr="003623CC">
        <w:t xml:space="preserve"> </w:t>
      </w:r>
      <w:r w:rsidR="003E01AC" w:rsidRPr="003623CC">
        <w:t xml:space="preserve">náklad </w:t>
      </w:r>
      <w:r w:rsidR="00BE6D86" w:rsidRPr="003623CC">
        <w:t>ve výši 0,</w:t>
      </w:r>
      <w:r w:rsidR="003E01AC" w:rsidRPr="003623CC">
        <w:t>5</w:t>
      </w:r>
      <w:r w:rsidR="009F4E29" w:rsidRPr="003623CC">
        <w:t xml:space="preserve"> milion</w:t>
      </w:r>
      <w:r w:rsidR="0086095E" w:rsidRPr="003623CC">
        <w:t>u</w:t>
      </w:r>
      <w:r w:rsidR="009F4E29" w:rsidRPr="003623CC">
        <w:t xml:space="preserve"> EUR.</w:t>
      </w:r>
      <w:r w:rsidR="00B27F36" w:rsidRPr="003623CC">
        <w:t xml:space="preserve"> Splatn</w:t>
      </w:r>
      <w:r w:rsidR="00370B2E" w:rsidRPr="003623CC">
        <w:t>á</w:t>
      </w:r>
      <w:r w:rsidR="00B27F36" w:rsidRPr="003623CC">
        <w:t xml:space="preserve"> daň činila ve druhém čtvrtletí 201</w:t>
      </w:r>
      <w:r w:rsidR="003E01AC" w:rsidRPr="003623CC">
        <w:t>7</w:t>
      </w:r>
      <w:r w:rsidR="00B27F36" w:rsidRPr="003623CC">
        <w:t xml:space="preserve"> </w:t>
      </w:r>
      <w:r w:rsidR="005057CB" w:rsidRPr="003623CC">
        <w:t>0</w:t>
      </w:r>
      <w:r w:rsidR="00B27F36" w:rsidRPr="003623CC">
        <w:t>,</w:t>
      </w:r>
      <w:r w:rsidR="003623CC" w:rsidRPr="002C76B2">
        <w:t>6</w:t>
      </w:r>
      <w:r w:rsidR="00B27F36" w:rsidRPr="003623CC">
        <w:t xml:space="preserve"> milionu EUR, zatímco změna v odložené dani </w:t>
      </w:r>
      <w:r w:rsidR="009844E3" w:rsidRPr="003623CC">
        <w:t xml:space="preserve">reprezentovala </w:t>
      </w:r>
      <w:r w:rsidR="00DF67C4" w:rsidRPr="003623CC">
        <w:t xml:space="preserve">výnos </w:t>
      </w:r>
      <w:r w:rsidR="009844E3" w:rsidRPr="003623CC">
        <w:t>0,</w:t>
      </w:r>
      <w:r w:rsidR="003623CC" w:rsidRPr="002C76B2">
        <w:t>1</w:t>
      </w:r>
      <w:r w:rsidR="009844E3" w:rsidRPr="003623CC">
        <w:t xml:space="preserve"> milionu EUR</w:t>
      </w:r>
      <w:r w:rsidR="00B27F36" w:rsidRPr="003623CC">
        <w:t>.</w:t>
      </w:r>
    </w:p>
    <w:p w:rsidR="004F2222" w:rsidRPr="00781223" w:rsidRDefault="00D76825" w:rsidP="00620C97">
      <w:pPr>
        <w:pStyle w:val="Heading4"/>
      </w:pPr>
      <w:r w:rsidRPr="00781223">
        <w:t>Čistý zisk</w:t>
      </w:r>
      <w:r w:rsidR="004F2222" w:rsidRPr="00781223">
        <w:t xml:space="preserve"> </w:t>
      </w:r>
    </w:p>
    <w:p w:rsidR="00D76825" w:rsidRPr="007A3749" w:rsidRDefault="00D76825" w:rsidP="007A3749">
      <w:pPr>
        <w:pStyle w:val="NormalWeb"/>
      </w:pPr>
      <w:r w:rsidRPr="007A3749">
        <w:t xml:space="preserve">Čistý zisk dosáhl </w:t>
      </w:r>
      <w:r w:rsidR="008148DC" w:rsidRPr="007A3749">
        <w:t xml:space="preserve">v prvním pololetí </w:t>
      </w:r>
      <w:r w:rsidR="008C39D2" w:rsidRPr="007A3749">
        <w:t xml:space="preserve">roku </w:t>
      </w:r>
      <w:r w:rsidR="00C031CC" w:rsidRPr="007A3749">
        <w:t>201</w:t>
      </w:r>
      <w:r w:rsidR="003E01AC">
        <w:t>7</w:t>
      </w:r>
      <w:r w:rsidR="00C031CC" w:rsidRPr="007A3749">
        <w:t xml:space="preserve"> </w:t>
      </w:r>
      <w:r w:rsidR="008148DC" w:rsidRPr="007A3749">
        <w:t>hodnoty</w:t>
      </w:r>
      <w:r w:rsidR="009400A5" w:rsidRPr="007A3749">
        <w:t xml:space="preserve"> </w:t>
      </w:r>
      <w:r w:rsidR="00100D47">
        <w:t>4</w:t>
      </w:r>
      <w:r w:rsidR="00BE6D86">
        <w:t>,</w:t>
      </w:r>
      <w:r w:rsidR="00F12220">
        <w:t>5</w:t>
      </w:r>
      <w:r w:rsidRPr="007A3749">
        <w:t xml:space="preserve"> </w:t>
      </w:r>
      <w:r w:rsidR="0068261A" w:rsidRPr="007A3749">
        <w:t>milionu</w:t>
      </w:r>
      <w:r w:rsidRPr="007A3749">
        <w:t xml:space="preserve"> </w:t>
      </w:r>
      <w:r w:rsidR="00055F93" w:rsidRPr="007A3749">
        <w:t>EUR</w:t>
      </w:r>
      <w:r w:rsidRPr="007A3749">
        <w:t xml:space="preserve">, </w:t>
      </w:r>
      <w:r w:rsidR="009400A5" w:rsidRPr="007A3749">
        <w:t xml:space="preserve">což je </w:t>
      </w:r>
      <w:r w:rsidRPr="007A3749">
        <w:t xml:space="preserve">meziročně o </w:t>
      </w:r>
      <w:r w:rsidR="0048429B">
        <w:t>40</w:t>
      </w:r>
      <w:r w:rsidR="00BE6D86">
        <w:t>,</w:t>
      </w:r>
      <w:r w:rsidR="00100D47">
        <w:t>9</w:t>
      </w:r>
      <w:r w:rsidR="0055740A" w:rsidRPr="007A3749">
        <w:t xml:space="preserve"> </w:t>
      </w:r>
      <w:r w:rsidRPr="007A3749">
        <w:t xml:space="preserve">% </w:t>
      </w:r>
      <w:r w:rsidR="0024532C">
        <w:t xml:space="preserve">méně </w:t>
      </w:r>
      <w:r w:rsidR="0055740A" w:rsidRPr="007A3749">
        <w:t xml:space="preserve">zejména </w:t>
      </w:r>
      <w:r w:rsidR="00C078BF" w:rsidRPr="007A3749">
        <w:t xml:space="preserve">z titulu vykázaných </w:t>
      </w:r>
      <w:r w:rsidR="008613FD" w:rsidRPr="007A3749">
        <w:t>nerealizovaný</w:t>
      </w:r>
      <w:r w:rsidR="0055740A" w:rsidRPr="007A3749">
        <w:t>ch</w:t>
      </w:r>
      <w:r w:rsidR="008613FD" w:rsidRPr="007A3749">
        <w:t xml:space="preserve"> kurzový</w:t>
      </w:r>
      <w:r w:rsidR="0055740A" w:rsidRPr="007A3749">
        <w:t>ch</w:t>
      </w:r>
      <w:r w:rsidR="008613FD" w:rsidRPr="007A3749">
        <w:t xml:space="preserve"> </w:t>
      </w:r>
      <w:r w:rsidR="0055740A" w:rsidRPr="007A3749">
        <w:t>z</w:t>
      </w:r>
      <w:r w:rsidR="00C078BF" w:rsidRPr="007A3749">
        <w:t>měn v porovnávaných obdobích</w:t>
      </w:r>
      <w:r w:rsidR="0086095E" w:rsidRPr="007A3749">
        <w:t>.</w:t>
      </w:r>
      <w:r w:rsidR="005F221E" w:rsidRPr="007A3749">
        <w:t xml:space="preserve"> </w:t>
      </w:r>
      <w:r w:rsidR="003131FA">
        <w:t>Převážně</w:t>
      </w:r>
      <w:r w:rsidR="003E01AC">
        <w:t xml:space="preserve"> kvůli těmto kurzovým ztrátám </w:t>
      </w:r>
      <w:r w:rsidR="003E01AC" w:rsidRPr="007A3749">
        <w:t xml:space="preserve">vytvořila </w:t>
      </w:r>
      <w:r w:rsidR="003E01AC">
        <w:t>Společnost v</w:t>
      </w:r>
      <w:r w:rsidR="005F221E" w:rsidRPr="007A3749">
        <w:t xml:space="preserve">e druhém čtvrtletí </w:t>
      </w:r>
      <w:r w:rsidR="00820612" w:rsidRPr="007A3749">
        <w:t>201</w:t>
      </w:r>
      <w:r w:rsidR="003E01AC">
        <w:t>7</w:t>
      </w:r>
      <w:r w:rsidR="00820612" w:rsidRPr="007A3749">
        <w:t xml:space="preserve"> </w:t>
      </w:r>
      <w:r w:rsidR="0029398E" w:rsidRPr="007A3749">
        <w:t>čist</w:t>
      </w:r>
      <w:r w:rsidR="00100D47">
        <w:t xml:space="preserve">ý zisk </w:t>
      </w:r>
      <w:r w:rsidR="0029398E" w:rsidRPr="007A3749">
        <w:t xml:space="preserve">ve výši </w:t>
      </w:r>
      <w:r w:rsidR="003E01AC">
        <w:t>0</w:t>
      </w:r>
      <w:r w:rsidR="00BE6D86">
        <w:t>,</w:t>
      </w:r>
      <w:r w:rsidR="0048429B">
        <w:t>8</w:t>
      </w:r>
      <w:r w:rsidR="0029398E" w:rsidRPr="007A3749">
        <w:t xml:space="preserve"> milion</w:t>
      </w:r>
      <w:r w:rsidR="00C35987" w:rsidRPr="007A3749">
        <w:t>u</w:t>
      </w:r>
      <w:r w:rsidR="0029398E" w:rsidRPr="007A3749">
        <w:t xml:space="preserve"> EUR</w:t>
      </w:r>
      <w:r w:rsidR="004E6091" w:rsidRPr="007A3749">
        <w:t>.</w:t>
      </w:r>
      <w:r w:rsidR="00167361" w:rsidRPr="007A3749">
        <w:t xml:space="preserve"> </w:t>
      </w:r>
    </w:p>
    <w:p w:rsidR="004F2222" w:rsidRPr="00856740" w:rsidRDefault="008D1794" w:rsidP="00620C97">
      <w:pPr>
        <w:pStyle w:val="Heading4"/>
      </w:pPr>
      <w:r w:rsidRPr="00856740">
        <w:rPr>
          <w:rStyle w:val="Strong"/>
          <w:b/>
          <w:bCs w:val="0"/>
        </w:rPr>
        <w:t>I</w:t>
      </w:r>
      <w:r w:rsidR="00D76825" w:rsidRPr="00856740">
        <w:rPr>
          <w:rStyle w:val="Strong"/>
          <w:b/>
          <w:bCs w:val="0"/>
        </w:rPr>
        <w:t>nvestice</w:t>
      </w:r>
    </w:p>
    <w:p w:rsidR="007D0F0F" w:rsidRPr="007A3749" w:rsidRDefault="00FA6E60" w:rsidP="007A3749">
      <w:pPr>
        <w:pStyle w:val="NormalWeb"/>
      </w:pPr>
      <w:r w:rsidRPr="007A3749">
        <w:t xml:space="preserve">V první polovině </w:t>
      </w:r>
      <w:r w:rsidR="00BC4F01" w:rsidRPr="007A3749">
        <w:t xml:space="preserve">roku </w:t>
      </w:r>
      <w:r w:rsidRPr="007A3749">
        <w:t>20</w:t>
      </w:r>
      <w:r w:rsidR="007D0F0F" w:rsidRPr="007A3749">
        <w:t>1</w:t>
      </w:r>
      <w:r w:rsidR="003E01AC">
        <w:t>7</w:t>
      </w:r>
      <w:r w:rsidRPr="007A3749">
        <w:t xml:space="preserve"> </w:t>
      </w:r>
      <w:bookmarkStart w:id="15" w:name="OLE_LINK3"/>
      <w:bookmarkStart w:id="16" w:name="OLE_LINK4"/>
      <w:r w:rsidR="009400A5" w:rsidRPr="007A3749">
        <w:t xml:space="preserve">činily </w:t>
      </w:r>
      <w:r w:rsidRPr="007A3749">
        <w:t>konsolidované</w:t>
      </w:r>
      <w:r w:rsidR="008D1794" w:rsidRPr="007A3749">
        <w:t xml:space="preserve"> investiční</w:t>
      </w:r>
      <w:r w:rsidRPr="007A3749">
        <w:t xml:space="preserve"> výdaje </w:t>
      </w:r>
      <w:r w:rsidR="003E01AC">
        <w:t>14</w:t>
      </w:r>
      <w:r w:rsidR="00A027B0" w:rsidRPr="007A3749">
        <w:t>,</w:t>
      </w:r>
      <w:r w:rsidR="003E01AC">
        <w:t>5</w:t>
      </w:r>
      <w:r w:rsidRPr="007A3749">
        <w:t xml:space="preserve"> milion</w:t>
      </w:r>
      <w:r w:rsidR="0086095E" w:rsidRPr="007A3749">
        <w:t>u</w:t>
      </w:r>
      <w:r w:rsidRPr="007A3749">
        <w:t xml:space="preserve"> </w:t>
      </w:r>
      <w:r w:rsidR="00055F93" w:rsidRPr="007A3749">
        <w:t>EUR</w:t>
      </w:r>
      <w:bookmarkEnd w:id="15"/>
      <w:bookmarkEnd w:id="16"/>
      <w:r w:rsidR="0024532C">
        <w:t xml:space="preserve"> oproti </w:t>
      </w:r>
      <w:r w:rsidR="003E01AC">
        <w:t>6</w:t>
      </w:r>
      <w:r w:rsidR="0024532C">
        <w:t>,</w:t>
      </w:r>
      <w:r w:rsidR="003E01AC">
        <w:t>4</w:t>
      </w:r>
      <w:r w:rsidR="0024532C">
        <w:t xml:space="preserve"> milionu EUR </w:t>
      </w:r>
      <w:r w:rsidR="000A629F" w:rsidRPr="007A3749">
        <w:t>ve srovnání se stejným obdobím minulého roku.</w:t>
      </w:r>
      <w:r w:rsidR="000A629F">
        <w:t xml:space="preserve"> </w:t>
      </w:r>
      <w:r w:rsidR="000A629F" w:rsidRPr="000A629F">
        <w:t xml:space="preserve">Z této částky připadalo </w:t>
      </w:r>
      <w:r w:rsidR="003E01AC">
        <w:t>10</w:t>
      </w:r>
      <w:r w:rsidR="000A629F" w:rsidRPr="000A629F">
        <w:t>,</w:t>
      </w:r>
      <w:r w:rsidR="003E01AC">
        <w:t>4</w:t>
      </w:r>
      <w:r w:rsidR="000A629F" w:rsidRPr="000A629F">
        <w:t xml:space="preserve"> milionu EUR na investice do rozšíření výrobních a skladovacích kapacit, zbytek představovaly běžné investice.</w:t>
      </w:r>
      <w:r w:rsidRPr="007A3749">
        <w:t xml:space="preserve"> </w:t>
      </w:r>
      <w:r w:rsidR="00D25531" w:rsidRPr="007A3749">
        <w:t>Ve druhém čtvrtletí roku 201</w:t>
      </w:r>
      <w:r w:rsidR="003E01AC">
        <w:t>7</w:t>
      </w:r>
      <w:r w:rsidR="00D25531" w:rsidRPr="007A3749">
        <w:t xml:space="preserve"> činily konsolidované investice </w:t>
      </w:r>
      <w:r w:rsidR="003E01AC">
        <w:t>9</w:t>
      </w:r>
      <w:r w:rsidR="00A027B0" w:rsidRPr="007A3749">
        <w:t>,</w:t>
      </w:r>
      <w:r w:rsidR="003E01AC">
        <w:t>4</w:t>
      </w:r>
      <w:r w:rsidR="00D25531" w:rsidRPr="007A3749">
        <w:t xml:space="preserve"> milionu EUR</w:t>
      </w:r>
      <w:r w:rsidR="000A629F">
        <w:t xml:space="preserve"> oproti </w:t>
      </w:r>
      <w:r w:rsidR="003E01AC">
        <w:t>4</w:t>
      </w:r>
      <w:r w:rsidR="000A629F">
        <w:t>,</w:t>
      </w:r>
      <w:r w:rsidR="003E01AC">
        <w:t>3</w:t>
      </w:r>
      <w:r w:rsidR="000A629F">
        <w:t xml:space="preserve"> milionu EUR</w:t>
      </w:r>
      <w:r w:rsidR="00D67E9A" w:rsidRPr="007A3749">
        <w:t xml:space="preserve"> </w:t>
      </w:r>
      <w:r w:rsidR="00D25531" w:rsidRPr="007A3749">
        <w:t xml:space="preserve">ve srovnání se stejným obdobím minulého roku. </w:t>
      </w:r>
    </w:p>
    <w:p w:rsidR="004E267A" w:rsidRPr="007A3749" w:rsidRDefault="004E267A" w:rsidP="007A3749">
      <w:pPr>
        <w:pStyle w:val="NormalWeb"/>
      </w:pPr>
      <w:r w:rsidRPr="007A3749">
        <w:t>Společnost plánuje, že celkové investiční výdaje v roce 201</w:t>
      </w:r>
      <w:r w:rsidR="003E01AC">
        <w:t>7</w:t>
      </w:r>
      <w:r w:rsidRPr="007A3749">
        <w:t xml:space="preserve"> nepřesáhnou úroveň </w:t>
      </w:r>
      <w:r w:rsidR="003E01AC">
        <w:t>30</w:t>
      </w:r>
      <w:r w:rsidRPr="007A3749">
        <w:t xml:space="preserve"> mili</w:t>
      </w:r>
      <w:r w:rsidR="00A624E0" w:rsidRPr="007A3749">
        <w:t>onů EUR</w:t>
      </w:r>
      <w:r w:rsidRPr="007A3749">
        <w:t>.</w:t>
      </w:r>
    </w:p>
    <w:p w:rsidR="004F2222" w:rsidRPr="00856740" w:rsidRDefault="00611456" w:rsidP="00620C97">
      <w:pPr>
        <w:pStyle w:val="Heading4"/>
      </w:pPr>
      <w:r w:rsidRPr="00856740">
        <w:rPr>
          <w:rStyle w:val="Strong"/>
          <w:b/>
          <w:bCs w:val="0"/>
        </w:rPr>
        <w:t>Peníze a zadluženost</w:t>
      </w:r>
    </w:p>
    <w:p w:rsidR="00D74947" w:rsidRPr="007A3749" w:rsidRDefault="00611456" w:rsidP="007A3749">
      <w:pPr>
        <w:pStyle w:val="NormalWeb"/>
      </w:pPr>
      <w:r w:rsidRPr="007A3749">
        <w:t xml:space="preserve">Celková výše konsolidovaných </w:t>
      </w:r>
      <w:r w:rsidR="006902A4" w:rsidRPr="007A3749">
        <w:t>finančních</w:t>
      </w:r>
      <w:r w:rsidRPr="007A3749">
        <w:t xml:space="preserve"> dluhů (krátkodobých </w:t>
      </w:r>
      <w:r w:rsidR="003C4A78" w:rsidRPr="007A3749">
        <w:t>i</w:t>
      </w:r>
      <w:r w:rsidR="00397CD6" w:rsidRPr="007A3749">
        <w:t xml:space="preserve"> dlouhodobých) činila k 30. </w:t>
      </w:r>
      <w:r w:rsidRPr="007A3749">
        <w:t xml:space="preserve">červnu </w:t>
      </w:r>
      <w:r w:rsidR="002A034E" w:rsidRPr="007A3749">
        <w:t>201</w:t>
      </w:r>
      <w:r w:rsidR="003E01AC">
        <w:t>7</w:t>
      </w:r>
      <w:r w:rsidR="00820612" w:rsidRPr="007A3749">
        <w:t xml:space="preserve"> </w:t>
      </w:r>
      <w:r w:rsidR="003E01AC">
        <w:t>2</w:t>
      </w:r>
      <w:r w:rsidR="00100D47">
        <w:t>39</w:t>
      </w:r>
      <w:r w:rsidR="004E267A" w:rsidRPr="007A3749">
        <w:t>,</w:t>
      </w:r>
      <w:r w:rsidR="00100D47">
        <w:t>8</w:t>
      </w:r>
      <w:r w:rsidR="004E267A" w:rsidRPr="007A3749">
        <w:t xml:space="preserve"> </w:t>
      </w:r>
      <w:r w:rsidR="00CF4152" w:rsidRPr="007A3749">
        <w:t>milionů</w:t>
      </w:r>
      <w:r w:rsidRPr="007A3749">
        <w:t xml:space="preserve"> </w:t>
      </w:r>
      <w:r w:rsidR="00055F93" w:rsidRPr="007A3749">
        <w:t>EUR</w:t>
      </w:r>
      <w:r w:rsidR="0033596D">
        <w:t xml:space="preserve">. </w:t>
      </w:r>
      <w:r w:rsidR="00345DE9">
        <w:t>Čistý dluh k 30. </w:t>
      </w:r>
      <w:r w:rsidRPr="007A3749">
        <w:t>červnu 20</w:t>
      </w:r>
      <w:r w:rsidR="007B185F" w:rsidRPr="007A3749">
        <w:t>1</w:t>
      </w:r>
      <w:r w:rsidR="0033596D">
        <w:t>7</w:t>
      </w:r>
      <w:r w:rsidR="009361D0" w:rsidRPr="007A3749">
        <w:t xml:space="preserve"> dosáhl výše </w:t>
      </w:r>
      <w:r w:rsidR="004E267A" w:rsidRPr="007A3749">
        <w:t>1</w:t>
      </w:r>
      <w:r w:rsidR="00100D47">
        <w:t>69</w:t>
      </w:r>
      <w:r w:rsidR="00D25531" w:rsidRPr="007A3749">
        <w:t>,</w:t>
      </w:r>
      <w:r w:rsidR="00F12220">
        <w:t>4</w:t>
      </w:r>
      <w:r w:rsidR="007B185F" w:rsidRPr="007A3749">
        <w:t xml:space="preserve"> </w:t>
      </w:r>
      <w:r w:rsidRPr="007A3749">
        <w:t>mi</w:t>
      </w:r>
      <w:r w:rsidR="002D541A" w:rsidRPr="007A3749">
        <w:t>lion</w:t>
      </w:r>
      <w:r w:rsidR="004E267A" w:rsidRPr="007A3749">
        <w:t>ů</w:t>
      </w:r>
      <w:r w:rsidR="002D541A" w:rsidRPr="007A3749">
        <w:t xml:space="preserve"> </w:t>
      </w:r>
      <w:r w:rsidR="00055F93" w:rsidRPr="007A3749">
        <w:t>EUR</w:t>
      </w:r>
      <w:r w:rsidR="006531A8" w:rsidRPr="007A3749">
        <w:t xml:space="preserve">, </w:t>
      </w:r>
      <w:r w:rsidR="00BC1D7F" w:rsidRPr="007A3749">
        <w:t>což je</w:t>
      </w:r>
      <w:r w:rsidR="002D541A" w:rsidRPr="007A3749">
        <w:t xml:space="preserve"> </w:t>
      </w:r>
      <w:r w:rsidR="006531A8" w:rsidRPr="007A3749">
        <w:t xml:space="preserve">o </w:t>
      </w:r>
      <w:r w:rsidR="00100D47">
        <w:t>5</w:t>
      </w:r>
      <w:r w:rsidR="004E267A" w:rsidRPr="007A3749">
        <w:t>,</w:t>
      </w:r>
      <w:r w:rsidR="00F12220">
        <w:t>4</w:t>
      </w:r>
      <w:r w:rsidR="002D541A" w:rsidRPr="007A3749">
        <w:t xml:space="preserve"> % </w:t>
      </w:r>
      <w:r w:rsidR="0033596D">
        <w:t xml:space="preserve">více </w:t>
      </w:r>
      <w:r w:rsidR="006531A8" w:rsidRPr="007A3749">
        <w:t>v porovnání s</w:t>
      </w:r>
      <w:r w:rsidR="0033596D">
        <w:t xml:space="preserve"> </w:t>
      </w:r>
      <w:r w:rsidR="001C7420" w:rsidRPr="007A3749">
        <w:t>3</w:t>
      </w:r>
      <w:r w:rsidR="00FA5933" w:rsidRPr="007A3749">
        <w:t>1</w:t>
      </w:r>
      <w:r w:rsidR="00397CD6" w:rsidRPr="007A3749">
        <w:t>. </w:t>
      </w:r>
      <w:r w:rsidR="000A629F">
        <w:t>p</w:t>
      </w:r>
      <w:r w:rsidR="00FA5933" w:rsidRPr="007A3749">
        <w:t>rosincem</w:t>
      </w:r>
      <w:r w:rsidR="000A629F">
        <w:t xml:space="preserve"> </w:t>
      </w:r>
      <w:r w:rsidR="002A034E" w:rsidRPr="007A3749">
        <w:t>201</w:t>
      </w:r>
      <w:r w:rsidR="0033596D">
        <w:t>6</w:t>
      </w:r>
      <w:r w:rsidRPr="007A3749">
        <w:t xml:space="preserve">. </w:t>
      </w:r>
      <w:r w:rsidR="00E27EB3" w:rsidRPr="007A3749">
        <w:t>P</w:t>
      </w:r>
      <w:r w:rsidR="00D74947" w:rsidRPr="007A3749">
        <w:t>oměr Čistý dluh</w:t>
      </w:r>
      <w:r w:rsidR="002A034E" w:rsidRPr="007A3749">
        <w:t>/EBITDA dosáhl k 30. červnu 201</w:t>
      </w:r>
      <w:r w:rsidR="0033596D">
        <w:t>7</w:t>
      </w:r>
      <w:r w:rsidR="002A034E" w:rsidRPr="007A3749">
        <w:t xml:space="preserve"> 3,</w:t>
      </w:r>
      <w:r w:rsidR="0033596D">
        <w:t>8</w:t>
      </w:r>
      <w:r w:rsidR="00F12220">
        <w:t>0</w:t>
      </w:r>
      <w:r w:rsidR="00D74947" w:rsidRPr="007A3749">
        <w:t xml:space="preserve"> násobku.</w:t>
      </w:r>
      <w:r w:rsidR="003623CC">
        <w:t xml:space="preserve"> Vývoj čistého dluhu byl do jisté míry negativně ovlivněn posílením kurzu Kč proti EUR, což vedlo ke zvýšení závazků vyjádřených v</w:t>
      </w:r>
      <w:r w:rsidR="003131FA">
        <w:t xml:space="preserve"> reportovací měně EUR z titulu </w:t>
      </w:r>
      <w:r w:rsidR="003623CC">
        <w:t>dluhopisů</w:t>
      </w:r>
      <w:r w:rsidR="003131FA">
        <w:t>, které jsou</w:t>
      </w:r>
      <w:r w:rsidR="003623CC">
        <w:t xml:space="preserve"> </w:t>
      </w:r>
      <w:r w:rsidR="007E3172">
        <w:t>denominov</w:t>
      </w:r>
      <w:r w:rsidR="003131FA">
        <w:t>á</w:t>
      </w:r>
      <w:r w:rsidR="007E3172">
        <w:t>n</w:t>
      </w:r>
      <w:r w:rsidR="003131FA">
        <w:t>y</w:t>
      </w:r>
      <w:r w:rsidR="003623CC">
        <w:t xml:space="preserve"> v Kč. Tyto </w:t>
      </w:r>
      <w:r w:rsidR="003131FA">
        <w:t xml:space="preserve">korunové </w:t>
      </w:r>
      <w:r w:rsidR="003623CC">
        <w:t>dluhopisy jsou však zajištěny křížovými měnovými swapy, jejichž hodnota k 30.</w:t>
      </w:r>
      <w:r w:rsidR="007E3172">
        <w:t> </w:t>
      </w:r>
      <w:r w:rsidR="003623CC">
        <w:t xml:space="preserve">červnu 2017 představuje pohledávku Společnosti téměř 6,4 milionu EUR a efektivně </w:t>
      </w:r>
      <w:r w:rsidR="00100D47">
        <w:t xml:space="preserve">tak </w:t>
      </w:r>
      <w:r w:rsidR="003623CC">
        <w:t>snižuje hodnotu čistého dluhu</w:t>
      </w:r>
      <w:r w:rsidR="00100D47">
        <w:t xml:space="preserve"> na 163,</w:t>
      </w:r>
      <w:r w:rsidR="00F12220">
        <w:t>0</w:t>
      </w:r>
      <w:r w:rsidR="00100D47">
        <w:t xml:space="preserve"> milionu EUR</w:t>
      </w:r>
      <w:r w:rsidR="003623CC">
        <w:t>.</w:t>
      </w:r>
      <w:r w:rsidR="007E3172">
        <w:t xml:space="preserve"> </w:t>
      </w:r>
    </w:p>
    <w:p w:rsidR="009719CC" w:rsidRPr="007A3749" w:rsidRDefault="009719CC" w:rsidP="00396F0C">
      <w:pPr>
        <w:pStyle w:val="Heading2"/>
      </w:pPr>
      <w:bookmarkStart w:id="17" w:name="_Toc269907488"/>
      <w:bookmarkStart w:id="18" w:name="_Toc487810680"/>
      <w:r w:rsidRPr="007A3749">
        <w:t xml:space="preserve">Přehled </w:t>
      </w:r>
      <w:r w:rsidR="00856740">
        <w:t xml:space="preserve">hospodaření Společnosti </w:t>
      </w:r>
      <w:r w:rsidR="001A640F">
        <w:t>v p</w:t>
      </w:r>
      <w:r w:rsidR="00856740">
        <w:t>rvním pololetí 201</w:t>
      </w:r>
      <w:bookmarkEnd w:id="17"/>
      <w:r w:rsidR="00476D67">
        <w:t>7</w:t>
      </w:r>
      <w:bookmarkEnd w:id="18"/>
    </w:p>
    <w:p w:rsidR="003A7460" w:rsidRPr="007A3749" w:rsidRDefault="003A7460" w:rsidP="007A3749">
      <w:pPr>
        <w:pStyle w:val="NormalWeb"/>
        <w:rPr>
          <w:highlight w:val="yellow"/>
        </w:rPr>
      </w:pPr>
      <w:r w:rsidRPr="007A3749">
        <w:t xml:space="preserve">Celková produkce v první jakosti dosáhla v prvním pololetí roku </w:t>
      </w:r>
      <w:r w:rsidR="007B6264" w:rsidRPr="007A3749">
        <w:t>201</w:t>
      </w:r>
      <w:r w:rsidR="009F248C">
        <w:t>7</w:t>
      </w:r>
      <w:r w:rsidR="001C7420" w:rsidRPr="007A3749">
        <w:t xml:space="preserve"> </w:t>
      </w:r>
      <w:r w:rsidR="00B07AE0" w:rsidRPr="007A3749">
        <w:t xml:space="preserve">hodnoty </w:t>
      </w:r>
      <w:r w:rsidR="00A624E0" w:rsidRPr="007A3749">
        <w:t>5</w:t>
      </w:r>
      <w:r w:rsidR="009F248C">
        <w:t>2</w:t>
      </w:r>
      <w:r w:rsidR="00A624E0" w:rsidRPr="007A3749">
        <w:t xml:space="preserve"> </w:t>
      </w:r>
      <w:r w:rsidR="009F248C">
        <w:t>428</w:t>
      </w:r>
      <w:r w:rsidR="001C7420" w:rsidRPr="007A3749">
        <w:t xml:space="preserve"> </w:t>
      </w:r>
      <w:r w:rsidRPr="007A3749">
        <w:t xml:space="preserve">tun, což představuje </w:t>
      </w:r>
      <w:r w:rsidR="009F248C">
        <w:t xml:space="preserve">nárůst </w:t>
      </w:r>
      <w:r w:rsidRPr="007A3749">
        <w:t xml:space="preserve">o </w:t>
      </w:r>
      <w:r w:rsidR="009F248C">
        <w:t>1</w:t>
      </w:r>
      <w:r w:rsidR="004E267A" w:rsidRPr="007A3749">
        <w:t>,</w:t>
      </w:r>
      <w:r w:rsidR="009F248C">
        <w:t>4</w:t>
      </w:r>
      <w:r w:rsidR="00071F1D" w:rsidRPr="007A3749">
        <w:t xml:space="preserve"> </w:t>
      </w:r>
      <w:r w:rsidRPr="007A3749">
        <w:t>% ve srov</w:t>
      </w:r>
      <w:r w:rsidR="006F76AA" w:rsidRPr="007A3749">
        <w:t>n</w:t>
      </w:r>
      <w:r w:rsidR="00071F1D" w:rsidRPr="007A3749">
        <w:t>ání s prvním pololetím roku 201</w:t>
      </w:r>
      <w:r w:rsidR="009F248C">
        <w:t>6</w:t>
      </w:r>
      <w:r w:rsidRPr="007A3749">
        <w:t>.</w:t>
      </w:r>
      <w:r w:rsidR="002B6D72" w:rsidRPr="007A3749">
        <w:t xml:space="preserve"> Ve druhém čtvrtletí 201</w:t>
      </w:r>
      <w:r w:rsidR="000D7C6F">
        <w:t>7</w:t>
      </w:r>
      <w:r w:rsidR="002B6D72" w:rsidRPr="007A3749">
        <w:t xml:space="preserve"> Společnost vyrobila </w:t>
      </w:r>
      <w:r w:rsidR="009F248C" w:rsidRPr="009F248C">
        <w:t>27</w:t>
      </w:r>
      <w:r w:rsidR="009F248C">
        <w:t xml:space="preserve"> </w:t>
      </w:r>
      <w:r w:rsidR="009F248C" w:rsidRPr="009F248C">
        <w:t>085</w:t>
      </w:r>
      <w:r w:rsidR="002B6D72" w:rsidRPr="007A3749">
        <w:t xml:space="preserve"> tun,</w:t>
      </w:r>
      <w:r w:rsidR="00345DE9">
        <w:t xml:space="preserve"> tj.</w:t>
      </w:r>
      <w:r w:rsidR="002B6D72" w:rsidRPr="007A3749">
        <w:t xml:space="preserve"> o </w:t>
      </w:r>
      <w:r w:rsidR="009F248C">
        <w:t>5</w:t>
      </w:r>
      <w:r w:rsidR="002B6D72" w:rsidRPr="007A3749">
        <w:t>,</w:t>
      </w:r>
      <w:r w:rsidR="009F248C">
        <w:t>6</w:t>
      </w:r>
      <w:r w:rsidR="002B6D72" w:rsidRPr="007A3749">
        <w:t xml:space="preserve"> % více v porovnání se stejným obdobím loňského roku.</w:t>
      </w:r>
      <w:r w:rsidR="00B07AE0" w:rsidRPr="007A3749">
        <w:rPr>
          <w:highlight w:val="yellow"/>
        </w:rPr>
        <w:t xml:space="preserve"> </w:t>
      </w:r>
    </w:p>
    <w:p w:rsidR="00E837FB" w:rsidRPr="009E561C" w:rsidRDefault="003A7460" w:rsidP="007A3749">
      <w:pPr>
        <w:pStyle w:val="NormalWeb"/>
      </w:pPr>
      <w:r w:rsidRPr="009E561C">
        <w:t xml:space="preserve">Podíl výnosů z prodeje netkaných textilií určených k výrobě hygienických produktů na celkových výnosech činil v prvním </w:t>
      </w:r>
      <w:r w:rsidR="009361D0" w:rsidRPr="009E561C">
        <w:t>pololetí</w:t>
      </w:r>
      <w:r w:rsidRPr="009E561C">
        <w:t xml:space="preserve"> roku 20</w:t>
      </w:r>
      <w:r w:rsidR="006F76AA" w:rsidRPr="009E561C">
        <w:t>1</w:t>
      </w:r>
      <w:r w:rsidR="007B461C">
        <w:t>7</w:t>
      </w:r>
      <w:r w:rsidRPr="009E561C">
        <w:t xml:space="preserve"> </w:t>
      </w:r>
      <w:r w:rsidR="009E7EF7" w:rsidRPr="009E561C">
        <w:t>8</w:t>
      </w:r>
      <w:r w:rsidR="007B461C">
        <w:t>5</w:t>
      </w:r>
      <w:r w:rsidR="009316E2" w:rsidRPr="009E561C">
        <w:t>,</w:t>
      </w:r>
      <w:r w:rsidR="00AA705A">
        <w:t>8</w:t>
      </w:r>
      <w:r w:rsidR="009316E2" w:rsidRPr="009E561C">
        <w:t xml:space="preserve"> </w:t>
      </w:r>
      <w:r w:rsidRPr="009E561C">
        <w:t>%</w:t>
      </w:r>
      <w:r w:rsidR="002B6D72" w:rsidRPr="009E561C">
        <w:t xml:space="preserve"> a mírně se tak meziročně </w:t>
      </w:r>
      <w:r w:rsidR="007B461C">
        <w:t>snížil</w:t>
      </w:r>
      <w:r w:rsidR="00432FEB" w:rsidRPr="009E561C">
        <w:t xml:space="preserve">. </w:t>
      </w:r>
      <w:r w:rsidR="00CF50B7" w:rsidRPr="009E561C">
        <w:t>Vysoký podíl výrobků v této kategorii potvrzuje významnou pozici Společnosti na tomto trhu</w:t>
      </w:r>
      <w:r w:rsidRPr="009E561C">
        <w:t xml:space="preserve">. </w:t>
      </w:r>
      <w:r w:rsidR="00767FC6" w:rsidRPr="009E561C">
        <w:t>Ve druhém čtvrtletí 20</w:t>
      </w:r>
      <w:r w:rsidR="00071F1D" w:rsidRPr="009E561C">
        <w:t>1</w:t>
      </w:r>
      <w:r w:rsidR="007B461C">
        <w:t>7</w:t>
      </w:r>
      <w:r w:rsidR="00767FC6" w:rsidRPr="009E561C">
        <w:t xml:space="preserve"> činil podíl výnosů z prodeje netkaných textilií určených k výrobě hygienických produktů na celkových výnosech </w:t>
      </w:r>
      <w:r w:rsidR="002B6D72" w:rsidRPr="009E561C">
        <w:t>8</w:t>
      </w:r>
      <w:r w:rsidR="007B461C">
        <w:t>6</w:t>
      </w:r>
      <w:r w:rsidR="00541DBF" w:rsidRPr="009E561C">
        <w:t>,</w:t>
      </w:r>
      <w:r w:rsidR="00AA705A">
        <w:t>7</w:t>
      </w:r>
      <w:r w:rsidR="00865CEE" w:rsidRPr="009E561C">
        <w:t xml:space="preserve"> </w:t>
      </w:r>
      <w:r w:rsidR="00767FC6" w:rsidRPr="009E561C">
        <w:t xml:space="preserve">%, což představuje </w:t>
      </w:r>
      <w:r w:rsidR="009E561C" w:rsidRPr="009E561C">
        <w:t xml:space="preserve">nárůst </w:t>
      </w:r>
      <w:r w:rsidR="00767FC6" w:rsidRPr="009E561C">
        <w:t xml:space="preserve">o </w:t>
      </w:r>
      <w:r w:rsidR="007B461C">
        <w:t>2,</w:t>
      </w:r>
      <w:r w:rsidR="00AA705A">
        <w:t>2</w:t>
      </w:r>
      <w:r w:rsidR="00767FC6" w:rsidRPr="009E561C">
        <w:t xml:space="preserve"> proce</w:t>
      </w:r>
      <w:r w:rsidR="0086072E" w:rsidRPr="009E561C">
        <w:t>n</w:t>
      </w:r>
      <w:r w:rsidR="00767FC6" w:rsidRPr="009E561C">
        <w:t>tníh</w:t>
      </w:r>
      <w:r w:rsidR="00C931D2" w:rsidRPr="009E561C">
        <w:t>o</w:t>
      </w:r>
      <w:r w:rsidR="00767FC6" w:rsidRPr="009E561C">
        <w:t xml:space="preserve"> bod</w:t>
      </w:r>
      <w:r w:rsidR="00C931D2" w:rsidRPr="009E561C">
        <w:t>u</w:t>
      </w:r>
      <w:r w:rsidR="00767FC6" w:rsidRPr="009E561C">
        <w:t xml:space="preserve"> v porovnání se stejným obdobím loňského roku.</w:t>
      </w:r>
      <w:r w:rsidR="00E837FB" w:rsidRPr="009E561C">
        <w:t xml:space="preserve"> </w:t>
      </w:r>
    </w:p>
    <w:p w:rsidR="00E837FB" w:rsidRPr="009E561C" w:rsidRDefault="00E837FB" w:rsidP="007A3749">
      <w:pPr>
        <w:pStyle w:val="NormalWeb"/>
      </w:pPr>
      <w:r w:rsidRPr="009E561C">
        <w:t>Podíl výnosů z prodeje produktů mimo segment hygieny na celkových výnosech v prvním pololetí roku 201</w:t>
      </w:r>
      <w:r w:rsidR="007B461C">
        <w:t>7</w:t>
      </w:r>
      <w:r w:rsidRPr="009E561C">
        <w:t xml:space="preserve"> činil 1</w:t>
      </w:r>
      <w:r w:rsidR="007B461C">
        <w:t>4</w:t>
      </w:r>
      <w:r w:rsidRPr="009E561C">
        <w:t>,</w:t>
      </w:r>
      <w:r w:rsidR="00AA705A">
        <w:t>2</w:t>
      </w:r>
      <w:r w:rsidRPr="009E561C">
        <w:t xml:space="preserve"> %</w:t>
      </w:r>
      <w:r w:rsidR="00835450" w:rsidRPr="009E561C">
        <w:t>, resp. 1</w:t>
      </w:r>
      <w:r w:rsidR="007B461C">
        <w:t>3</w:t>
      </w:r>
      <w:r w:rsidR="00835450" w:rsidRPr="009E561C">
        <w:t>,</w:t>
      </w:r>
      <w:r w:rsidR="00AA705A">
        <w:t>3</w:t>
      </w:r>
      <w:r w:rsidR="00835450" w:rsidRPr="009E561C">
        <w:t xml:space="preserve"> %</w:t>
      </w:r>
      <w:r w:rsidRPr="009E561C">
        <w:t xml:space="preserve"> ve</w:t>
      </w:r>
      <w:r w:rsidR="00835450" w:rsidRPr="009E561C">
        <w:t xml:space="preserve"> druhém čtvrtletí.</w:t>
      </w:r>
    </w:p>
    <w:p w:rsidR="003A7460" w:rsidRPr="007A3749" w:rsidRDefault="003A7460" w:rsidP="007A3749">
      <w:pPr>
        <w:pStyle w:val="NormalWeb"/>
      </w:pPr>
      <w:r w:rsidRPr="009E561C">
        <w:t>Rozdělení výnosů dle geografie trhů</w:t>
      </w:r>
      <w:r w:rsidRPr="009E561C">
        <w:rPr>
          <w:rStyle w:val="FootnoteReference"/>
          <w:rFonts w:cs="Arial"/>
        </w:rPr>
        <w:footnoteReference w:id="1"/>
      </w:r>
      <w:r w:rsidRPr="009E561C">
        <w:t xml:space="preserve"> potvrzuje stálou koncentraci odbytu Společnosti na širší oblast Evropy. Výnosy z prodejů do západní Evropy dosáhly v prvním </w:t>
      </w:r>
      <w:r w:rsidR="009361D0" w:rsidRPr="009E561C">
        <w:t>pololetí</w:t>
      </w:r>
      <w:r w:rsidRPr="009E561C">
        <w:t xml:space="preserve"> roku 20</w:t>
      </w:r>
      <w:r w:rsidR="006F76AA" w:rsidRPr="009E561C">
        <w:t>1</w:t>
      </w:r>
      <w:r w:rsidR="007B461C">
        <w:t>7</w:t>
      </w:r>
      <w:r w:rsidRPr="009E561C">
        <w:t xml:space="preserve"> </w:t>
      </w:r>
      <w:r w:rsidR="007B461C">
        <w:t>38</w:t>
      </w:r>
      <w:r w:rsidR="00B620E4" w:rsidRPr="009E561C">
        <w:t>,</w:t>
      </w:r>
      <w:r w:rsidR="007B461C">
        <w:t>4</w:t>
      </w:r>
      <w:r w:rsidRPr="009E561C">
        <w:t xml:space="preserve"> milion</w:t>
      </w:r>
      <w:r w:rsidR="00E837FB" w:rsidRPr="009E561C">
        <w:t>u</w:t>
      </w:r>
      <w:r w:rsidRPr="009E561C">
        <w:t xml:space="preserve"> EUR, což představuje </w:t>
      </w:r>
      <w:r w:rsidR="00B620E4" w:rsidRPr="009E561C">
        <w:t>3</w:t>
      </w:r>
      <w:r w:rsidR="007B461C">
        <w:t>4</w:t>
      </w:r>
      <w:r w:rsidR="00B620E4" w:rsidRPr="009E561C">
        <w:t>,</w:t>
      </w:r>
      <w:r w:rsidR="00AA705A">
        <w:t>4</w:t>
      </w:r>
      <w:r w:rsidRPr="009E561C">
        <w:t>% podíl na celkových výnosech ve srovnání s</w:t>
      </w:r>
      <w:r w:rsidR="00CB3B97" w:rsidRPr="009E561C">
        <w:t> 3</w:t>
      </w:r>
      <w:r w:rsidR="007B461C">
        <w:t>9</w:t>
      </w:r>
      <w:r w:rsidR="00CB3B97" w:rsidRPr="009E561C">
        <w:t>,</w:t>
      </w:r>
      <w:r w:rsidR="007B461C">
        <w:t>9</w:t>
      </w:r>
      <w:r w:rsidRPr="009E561C">
        <w:t>% po</w:t>
      </w:r>
      <w:r w:rsidR="006F76AA" w:rsidRPr="009E561C">
        <w:t>d</w:t>
      </w:r>
      <w:r w:rsidR="00F437E8" w:rsidRPr="009E561C">
        <w:t>ílem ve stejném období roku 201</w:t>
      </w:r>
      <w:r w:rsidR="007B461C">
        <w:t>6</w:t>
      </w:r>
      <w:r w:rsidRPr="009E561C">
        <w:t xml:space="preserve">. Výnosy z prodeje do střední a východní Evropy a Ruska dosáhly v tomto období výše </w:t>
      </w:r>
      <w:r w:rsidR="00E837FB" w:rsidRPr="009E561C">
        <w:t>4</w:t>
      </w:r>
      <w:r w:rsidR="007B461C">
        <w:t>5</w:t>
      </w:r>
      <w:r w:rsidR="00B620E4" w:rsidRPr="009E561C">
        <w:t>,</w:t>
      </w:r>
      <w:r w:rsidR="007B461C">
        <w:t>6</w:t>
      </w:r>
      <w:r w:rsidRPr="009E561C">
        <w:t xml:space="preserve"> milionu EUR a představovaly tak </w:t>
      </w:r>
      <w:r w:rsidR="009E561C" w:rsidRPr="009E561C">
        <w:t>4</w:t>
      </w:r>
      <w:r w:rsidR="00AA705A">
        <w:t>0</w:t>
      </w:r>
      <w:r w:rsidR="00B620E4" w:rsidRPr="009E561C">
        <w:t>,</w:t>
      </w:r>
      <w:r w:rsidR="00AA705A">
        <w:t>8</w:t>
      </w:r>
      <w:r w:rsidR="00835450" w:rsidRPr="009E561C">
        <w:t>% podíl na celkových výnosech</w:t>
      </w:r>
      <w:r w:rsidR="0086072E" w:rsidRPr="009E561C">
        <w:t>.</w:t>
      </w:r>
      <w:r w:rsidRPr="009E561C">
        <w:t xml:space="preserve"> Výnosy z prodeje do ostatních teritorií činily </w:t>
      </w:r>
      <w:r w:rsidR="007B461C">
        <w:t>27</w:t>
      </w:r>
      <w:r w:rsidR="00B620E4" w:rsidRPr="009E561C">
        <w:t>,</w:t>
      </w:r>
      <w:r w:rsidR="00AA705A">
        <w:t>7</w:t>
      </w:r>
      <w:r w:rsidRPr="009E561C">
        <w:t xml:space="preserve"> milion</w:t>
      </w:r>
      <w:r w:rsidR="007822F3" w:rsidRPr="009E561C">
        <w:t>u</w:t>
      </w:r>
      <w:r w:rsidRPr="009E561C">
        <w:t xml:space="preserve"> EUR a představovaly </w:t>
      </w:r>
      <w:r w:rsidR="007B461C">
        <w:t>24</w:t>
      </w:r>
      <w:r w:rsidR="00B620E4" w:rsidRPr="009E561C">
        <w:t>,</w:t>
      </w:r>
      <w:r w:rsidR="00AA705A">
        <w:t>8</w:t>
      </w:r>
      <w:r w:rsidRPr="009E561C">
        <w:t>%</w:t>
      </w:r>
      <w:r w:rsidR="00835450" w:rsidRPr="009E561C">
        <w:t xml:space="preserve"> </w:t>
      </w:r>
      <w:r w:rsidRPr="009E561C">
        <w:t>podíl na celkových výnosech</w:t>
      </w:r>
      <w:r w:rsidR="00602AC8" w:rsidRPr="009E561C">
        <w:t>.</w:t>
      </w:r>
    </w:p>
    <w:p w:rsidR="00403C79" w:rsidRPr="007A3749" w:rsidRDefault="00677CAE" w:rsidP="00396F0C">
      <w:pPr>
        <w:pStyle w:val="Heading2"/>
      </w:pPr>
      <w:bookmarkStart w:id="19" w:name="_Toc269907490"/>
      <w:bookmarkStart w:id="20" w:name="_Toc487810681"/>
      <w:bookmarkStart w:id="21" w:name="OLE_LINK1"/>
      <w:bookmarkStart w:id="22" w:name="OLE_LINK2"/>
      <w:bookmarkStart w:id="23" w:name="_Toc165188441"/>
      <w:r w:rsidRPr="008A66C6">
        <w:t>Výzkum</w:t>
      </w:r>
      <w:r w:rsidR="001C2FF9" w:rsidRPr="008A66C6">
        <w:t xml:space="preserve"> a</w:t>
      </w:r>
      <w:r w:rsidR="00403C79" w:rsidRPr="008A66C6">
        <w:t xml:space="preserve"> </w:t>
      </w:r>
      <w:r w:rsidRPr="008A66C6">
        <w:t>vývoj</w:t>
      </w:r>
      <w:bookmarkEnd w:id="19"/>
      <w:bookmarkEnd w:id="20"/>
    </w:p>
    <w:p w:rsidR="00C40188" w:rsidRDefault="00C40188" w:rsidP="00C40188">
      <w:bookmarkStart w:id="24" w:name="_Toc269111121"/>
      <w:bookmarkStart w:id="25" w:name="_Toc269118394"/>
      <w:bookmarkStart w:id="26" w:name="_Toc269139293"/>
      <w:bookmarkStart w:id="27" w:name="_Toc269111123"/>
      <w:bookmarkStart w:id="28" w:name="_Toc269118396"/>
      <w:bookmarkStart w:id="29" w:name="_Toc269139295"/>
      <w:bookmarkStart w:id="30" w:name="_Toc269111128"/>
      <w:bookmarkStart w:id="31" w:name="_Toc269118401"/>
      <w:bookmarkStart w:id="32" w:name="_Toc269139300"/>
      <w:bookmarkStart w:id="33" w:name="_Toc269907491"/>
      <w:bookmarkEnd w:id="21"/>
      <w:bookmarkEnd w:id="22"/>
      <w:bookmarkEnd w:id="24"/>
      <w:bookmarkEnd w:id="25"/>
      <w:bookmarkEnd w:id="26"/>
      <w:bookmarkEnd w:id="27"/>
      <w:bookmarkEnd w:id="28"/>
      <w:bookmarkEnd w:id="29"/>
      <w:bookmarkEnd w:id="30"/>
      <w:bookmarkEnd w:id="31"/>
      <w:bookmarkEnd w:id="32"/>
      <w:r>
        <w:t>Vývoj nových aplikací, výrobků a optimalizace technologií jsou jednou z klíčových součástí současné a budoucí strategie Společnosti. Tato základna je podporována týmem inženýrů, kteří se věnují vývoji nové výrobkové základny</w:t>
      </w:r>
      <w:r w:rsidR="00476D67">
        <w:t xml:space="preserve"> a </w:t>
      </w:r>
      <w:r>
        <w:t xml:space="preserve">zákaznické a technické podpoře našich partnerů.  </w:t>
      </w:r>
    </w:p>
    <w:p w:rsidR="00C40188" w:rsidRDefault="00C40188" w:rsidP="00C40188">
      <w:r>
        <w:t>Tým se zaměřuje na více směrů, které je možné obecně rozdělit na průmyslové a hygienické aplikace s primárním zaměřením na oblast hygieny</w:t>
      </w:r>
      <w:r w:rsidR="00476D67">
        <w:t>.</w:t>
      </w:r>
      <w:r>
        <w:t xml:space="preserve"> </w:t>
      </w:r>
      <w:r w:rsidR="00476D67">
        <w:t>Tímto směrem se orientuje</w:t>
      </w:r>
      <w:r>
        <w:t xml:space="preserve"> většin</w:t>
      </w:r>
      <w:r w:rsidR="00476D67">
        <w:t>a</w:t>
      </w:r>
      <w:r>
        <w:t xml:space="preserve"> důležitých projektů Společnosti.</w:t>
      </w:r>
    </w:p>
    <w:p w:rsidR="00C40188" w:rsidRDefault="00C40188" w:rsidP="00C40188">
      <w:r>
        <w:t xml:space="preserve">Z technologického hlediska pracuje technické oddělení na dvou základních cílech: </w:t>
      </w:r>
    </w:p>
    <w:p w:rsidR="00C40188" w:rsidRPr="00DF67C4" w:rsidRDefault="00C40188" w:rsidP="00C40188">
      <w:pPr>
        <w:rPr>
          <w:i/>
        </w:rPr>
      </w:pPr>
      <w:r>
        <w:t xml:space="preserve">1) </w:t>
      </w:r>
      <w:r w:rsidRPr="00DF67C4">
        <w:rPr>
          <w:i/>
        </w:rPr>
        <w:t xml:space="preserve">zlepšit kvalitu, výkonnost a efektivnost výroby standardních výrobků a </w:t>
      </w:r>
    </w:p>
    <w:p w:rsidR="00C40188" w:rsidRPr="00DF67C4" w:rsidRDefault="00C40188" w:rsidP="00C40188">
      <w:pPr>
        <w:rPr>
          <w:i/>
        </w:rPr>
      </w:pPr>
      <w:r w:rsidRPr="00DF67C4">
        <w:rPr>
          <w:i/>
        </w:rPr>
        <w:t>2) vyvíjet výrobky s přidanou hodnotou prostřednictvím současných a nových technologií včetně bikomponentní technologie zvlákňování</w:t>
      </w:r>
      <w:r w:rsidR="00476D67">
        <w:rPr>
          <w:i/>
        </w:rPr>
        <w:t>.</w:t>
      </w:r>
    </w:p>
    <w:p w:rsidR="00C40188" w:rsidRDefault="00C40188" w:rsidP="00C40188">
      <w:r>
        <w:t xml:space="preserve">Oba cíle jsou naplňovány společně s dodavateli surovin za použití standardních a nových speciálních polymerů a/nebo s dodavateli zařízení, což </w:t>
      </w:r>
      <w:r w:rsidR="00476D67">
        <w:t xml:space="preserve">Společnosti </w:t>
      </w:r>
      <w:r>
        <w:t xml:space="preserve">umožňuje </w:t>
      </w:r>
      <w:r w:rsidR="00476D67">
        <w:t>nabídnout zákazníkům přidanou hodnotu</w:t>
      </w:r>
      <w:r>
        <w:t xml:space="preserve">. </w:t>
      </w:r>
    </w:p>
    <w:p w:rsidR="00C40188" w:rsidRDefault="00C40188" w:rsidP="00476D67">
      <w:r w:rsidRPr="00CB0DAC">
        <w:t xml:space="preserve">V oblasti technologií vyvinul </w:t>
      </w:r>
      <w:r w:rsidR="00476D67" w:rsidRPr="00CB0DAC">
        <w:t>P</w:t>
      </w:r>
      <w:r w:rsidR="00476D67">
        <w:t>EGAS</w:t>
      </w:r>
      <w:r w:rsidR="00476D67" w:rsidRPr="00CB0DAC">
        <w:t xml:space="preserve"> </w:t>
      </w:r>
      <w:r w:rsidRPr="00CB0DAC">
        <w:t>ve spolupráci s klíčovým dodavatelem zařízení novou technologii</w:t>
      </w:r>
      <w:r w:rsidR="00476D67">
        <w:t>,</w:t>
      </w:r>
      <w:r w:rsidRPr="00CB0DAC">
        <w:t xml:space="preserve"> tzv. Compact</w:t>
      </w:r>
      <w:r w:rsidR="00476D67">
        <w:t>.</w:t>
      </w:r>
      <w:r w:rsidRPr="00CB0DAC">
        <w:t xml:space="preserve"> </w:t>
      </w:r>
      <w:r w:rsidR="00476D67">
        <w:t>Ta</w:t>
      </w:r>
      <w:r w:rsidR="00476D67" w:rsidRPr="00CB0DAC">
        <w:t xml:space="preserve"> </w:t>
      </w:r>
      <w:r w:rsidRPr="00CB0DAC">
        <w:t xml:space="preserve">by měla firmě umožnit jednodušší a rychlejší vstup na rozvíjející se trhy, </w:t>
      </w:r>
      <w:r w:rsidR="00476D67">
        <w:t>jež</w:t>
      </w:r>
      <w:r w:rsidR="00476D67" w:rsidRPr="00CB0DAC">
        <w:t xml:space="preserve"> </w:t>
      </w:r>
      <w:r w:rsidRPr="00CB0DAC">
        <w:t xml:space="preserve">se vyznačují řadou specifických rizik spojených například s výší investice, okamžitým prodejem celkové kapacity linky nebo komplikovaností zprovoznění velkých výrobních linek. </w:t>
      </w:r>
      <w:r w:rsidR="00476D67" w:rsidRPr="00476D67">
        <w:t xml:space="preserve">Tato nová technologie by zároveň měla zpřístupnit technologicky vyspělé výrobky pro rozvíjející se trhy. </w:t>
      </w:r>
      <w:r w:rsidRPr="00CB0DAC">
        <w:t xml:space="preserve">Pro první instalaci této nové </w:t>
      </w:r>
      <w:r w:rsidR="00476D67">
        <w:t>technologie</w:t>
      </w:r>
      <w:r w:rsidR="00476D67" w:rsidRPr="00CB0DAC">
        <w:t xml:space="preserve"> </w:t>
      </w:r>
      <w:r w:rsidRPr="00CB0DAC">
        <w:t xml:space="preserve">byl vybrán výrobní závod </w:t>
      </w:r>
      <w:r w:rsidR="004332FA" w:rsidRPr="009B25FA">
        <w:t xml:space="preserve">ve Znojmě </w:t>
      </w:r>
      <w:r w:rsidRPr="009B25FA">
        <w:t xml:space="preserve">a </w:t>
      </w:r>
      <w:r w:rsidR="004D2BD6">
        <w:t>linka je od konce druhého čtvrletí v plném komerčním provozu</w:t>
      </w:r>
      <w:r w:rsidRPr="00CE11D5">
        <w:t>.</w:t>
      </w:r>
      <w:r w:rsidRPr="00CB0DAC">
        <w:t xml:space="preserve"> </w:t>
      </w:r>
      <w:r w:rsidR="00CA7B36">
        <w:t>J</w:t>
      </w:r>
      <w:r w:rsidRPr="00CB0DAC">
        <w:t>ejí parametr</w:t>
      </w:r>
      <w:r w:rsidR="00CA7B36">
        <w:t>y jsou v současné době ověřovány</w:t>
      </w:r>
      <w:r w:rsidRPr="00CB0DAC">
        <w:t xml:space="preserve"> v reálném provozu</w:t>
      </w:r>
      <w:r w:rsidR="00CA7B36">
        <w:t>.</w:t>
      </w:r>
      <w:r w:rsidRPr="00CB0DAC">
        <w:t xml:space="preserve"> </w:t>
      </w:r>
      <w:r w:rsidR="00CA7B36">
        <w:t xml:space="preserve">Následně </w:t>
      </w:r>
      <w:r w:rsidRPr="00CB0DAC">
        <w:t xml:space="preserve">by měla Společnosti přinést potenciál pro další rozvoj v nových regionech a zároveň posílit a potvrdit přední pozici </w:t>
      </w:r>
      <w:r w:rsidR="00476D67" w:rsidRPr="00CB0DAC">
        <w:t>P</w:t>
      </w:r>
      <w:r w:rsidR="00476D67">
        <w:t>EGAS</w:t>
      </w:r>
      <w:r w:rsidR="00476D67" w:rsidRPr="00CB0DAC">
        <w:t xml:space="preserve">u </w:t>
      </w:r>
      <w:r w:rsidRPr="00CB0DAC">
        <w:t>v oblasti technologie.</w:t>
      </w:r>
      <w:r>
        <w:t xml:space="preserve"> </w:t>
      </w:r>
    </w:p>
    <w:p w:rsidR="00C40188" w:rsidRDefault="00C40188" w:rsidP="00C40188">
      <w:r>
        <w:t>Kromě vývoje nových technologií PEGAS aktivně pracuje na vývoji netkaných textilií, které jsou jemné, splývavé, objemné a příjemné na dotek. Tyto materiály jsou již dnes postupně úspěšně uváděny do komerční výroby a přináš</w:t>
      </w:r>
      <w:r w:rsidR="00104CB2">
        <w:t>ejí</w:t>
      </w:r>
      <w:r>
        <w:t xml:space="preserve"> řadu výhod zákazníkům. Vývoj v této oblasti dále pokračuje a v budo</w:t>
      </w:r>
      <w:r w:rsidR="00D17321">
        <w:t>u</w:t>
      </w:r>
      <w:r>
        <w:t xml:space="preserve">cnu </w:t>
      </w:r>
      <w:r w:rsidR="00104CB2">
        <w:t xml:space="preserve">bude </w:t>
      </w:r>
      <w:r>
        <w:t>zaměřen na tzv. 3D struktury netkaných textilií s potenciálním vizualním efektem.  Vývoj je postaven na bázi požadavků klíčových zákazníků a v řadě případů se jedná o výrobek šitý na míru pro konkretního partnera.</w:t>
      </w:r>
    </w:p>
    <w:p w:rsidR="00C40188" w:rsidRDefault="00104CB2" w:rsidP="00C40188">
      <w:r w:rsidRPr="00104CB2">
        <w:t xml:space="preserve">Dalším z klíčových projektů je komercializace Nano MB technologie. Na konci roku 2016 byly úspěšně dokončeny garanční testy, nová technologie je validována a připravena pro zahájení kvalifikací u vybraných zákazníků. Hlavním přínosem výroby netkané textilie na bázi MB nanovláken je </w:t>
      </w:r>
      <w:r w:rsidR="00C40188">
        <w:t xml:space="preserve">významné zlepšení </w:t>
      </w:r>
      <w:r>
        <w:t xml:space="preserve">jejích </w:t>
      </w:r>
      <w:r w:rsidR="00C40188">
        <w:t>bariérových vlastností především pro účely aplikací v hygienické oblasti.</w:t>
      </w:r>
    </w:p>
    <w:p w:rsidR="00C40188" w:rsidRDefault="00C40188" w:rsidP="00C40188">
      <w:r>
        <w:t xml:space="preserve">PEGAS spolupracuje s mnoha institucemi, </w:t>
      </w:r>
      <w:r w:rsidR="00104CB2" w:rsidRPr="00104CB2">
        <w:t>jako jsou univerzity a výzkumná centra</w:t>
      </w:r>
      <w:r w:rsidR="00104CB2" w:rsidRPr="00104CB2" w:rsidDel="00104CB2">
        <w:t xml:space="preserve"> </w:t>
      </w:r>
      <w:r>
        <w:t>především v České republice a na Slovensku, ale také v západní Evropě</w:t>
      </w:r>
      <w:r w:rsidR="00104CB2">
        <w:t>.</w:t>
      </w:r>
      <w:r>
        <w:t xml:space="preserve"> </w:t>
      </w:r>
      <w:r w:rsidR="00967CBA">
        <w:t xml:space="preserve">Tyto instituce </w:t>
      </w:r>
      <w:r>
        <w:t xml:space="preserve">poskytují </w:t>
      </w:r>
      <w:r w:rsidR="003131FA">
        <w:t xml:space="preserve">Společnosti </w:t>
      </w:r>
      <w:r>
        <w:t xml:space="preserve">zvláštní podporu v různých odborných </w:t>
      </w:r>
      <w:r w:rsidR="00967CBA" w:rsidRPr="00967CBA">
        <w:t>oblastech výzkumu včetně možností vyvíjení výrobků na pilotních zařízeních, ale i poradenství např. v oblastech patentové rešerše, při tvorbě patentů, modelování struktur netkaných textilií či testování nových technologií a vstupních surovin.</w:t>
      </w:r>
    </w:p>
    <w:p w:rsidR="006372C0" w:rsidRPr="007A3749" w:rsidRDefault="00313F5E" w:rsidP="00396F0C">
      <w:pPr>
        <w:pStyle w:val="Heading2"/>
      </w:pPr>
      <w:bookmarkStart w:id="34" w:name="_Toc487810682"/>
      <w:r w:rsidRPr="008A66C6">
        <w:t>Strategie</w:t>
      </w:r>
      <w:bookmarkEnd w:id="33"/>
      <w:bookmarkEnd w:id="34"/>
    </w:p>
    <w:p w:rsidR="00643DD6" w:rsidRDefault="00643DD6" w:rsidP="00643DD6">
      <w:r>
        <w:t>S</w:t>
      </w:r>
      <w:r w:rsidR="002F454E">
        <w:t xml:space="preserve">trategickým záměrem Společnosti </w:t>
      </w:r>
      <w:r>
        <w:t xml:space="preserve">v budoucnosti bude: </w:t>
      </w:r>
    </w:p>
    <w:p w:rsidR="00643DD6" w:rsidRPr="00DF67C4" w:rsidRDefault="00643DD6" w:rsidP="00643DD6">
      <w:pPr>
        <w:rPr>
          <w:i/>
        </w:rPr>
      </w:pPr>
      <w:r>
        <w:t>1</w:t>
      </w:r>
      <w:r w:rsidRPr="00DF67C4">
        <w:rPr>
          <w:i/>
        </w:rPr>
        <w:t>) rozvíjení a využití růstových tržních příležitostí k posílení tržní pozice,</w:t>
      </w:r>
    </w:p>
    <w:p w:rsidR="00643DD6" w:rsidRPr="00DF67C4" w:rsidRDefault="00643DD6" w:rsidP="00643DD6">
      <w:pPr>
        <w:rPr>
          <w:i/>
        </w:rPr>
      </w:pPr>
      <w:r w:rsidRPr="00DF67C4">
        <w:rPr>
          <w:i/>
        </w:rPr>
        <w:t xml:space="preserve">2) udržení a rozšíření technologické </w:t>
      </w:r>
      <w:r w:rsidR="00905037">
        <w:rPr>
          <w:i/>
        </w:rPr>
        <w:t xml:space="preserve">excelence </w:t>
      </w:r>
      <w:r w:rsidRPr="00DF67C4">
        <w:rPr>
          <w:i/>
        </w:rPr>
        <w:t>na evropském trhu netkaných textilií typu spunmelt pro výrobu hygienických výrobků na jednorázové použití v EMEA regionu a</w:t>
      </w:r>
    </w:p>
    <w:p w:rsidR="00643DD6" w:rsidRPr="00DF67C4" w:rsidRDefault="00643DD6" w:rsidP="00643DD6">
      <w:pPr>
        <w:rPr>
          <w:i/>
        </w:rPr>
      </w:pPr>
      <w:r w:rsidRPr="00DF67C4">
        <w:rPr>
          <w:i/>
        </w:rPr>
        <w:t xml:space="preserve">3) zajištění solidní návratnosti pro akcionáře. </w:t>
      </w:r>
    </w:p>
    <w:p w:rsidR="00643DD6" w:rsidRDefault="00643DD6" w:rsidP="00643DD6">
      <w:r>
        <w:t>Záměrem PEGASu je naplňovat tuto strategii tím, že se zaměří na následující oblasti:</w:t>
      </w:r>
    </w:p>
    <w:p w:rsidR="00643DD6" w:rsidRDefault="00643DD6" w:rsidP="00643DD6">
      <w:r w:rsidRPr="004E4380">
        <w:rPr>
          <w:b/>
          <w:color w:val="E2001C"/>
        </w:rPr>
        <w:t>Pokračování v investicích do technologicky vyspělých výrobních kapacit:</w:t>
      </w:r>
      <w:r w:rsidRPr="004E4380">
        <w:t xml:space="preserve"> PEGAS bude pokračovat v instalacích nejmodernějších výrobních kapacit. Poslední výrobní linka ve Znojmě byla spuštěna ve druhé</w:t>
      </w:r>
      <w:r w:rsidR="00967CBA">
        <w:t>m</w:t>
      </w:r>
      <w:r w:rsidRPr="004E4380">
        <w:t xml:space="preserve"> </w:t>
      </w:r>
      <w:r w:rsidR="00967CBA">
        <w:t>čtvrtletí</w:t>
      </w:r>
      <w:r w:rsidR="00967CBA" w:rsidRPr="004E4380">
        <w:t xml:space="preserve"> </w:t>
      </w:r>
      <w:r w:rsidRPr="004E4380">
        <w:t>roku 201</w:t>
      </w:r>
      <w:r w:rsidR="00967CBA">
        <w:t>7</w:t>
      </w:r>
      <w:r w:rsidRPr="004E4380">
        <w:t xml:space="preserve">. </w:t>
      </w:r>
      <w:r w:rsidR="00202C43">
        <w:t xml:space="preserve">Jedná se o </w:t>
      </w:r>
      <w:r w:rsidRPr="009B25FA">
        <w:t>výrobní link</w:t>
      </w:r>
      <w:r w:rsidR="00202C43">
        <w:t>u</w:t>
      </w:r>
      <w:r w:rsidR="004332FA" w:rsidRPr="009B25FA">
        <w:t xml:space="preserve"> typu COMPACT</w:t>
      </w:r>
      <w:r w:rsidRPr="004E4380">
        <w:t>, která</w:t>
      </w:r>
      <w:r w:rsidR="00202C43">
        <w:t xml:space="preserve"> je založena na „flat-floor“ konceptu</w:t>
      </w:r>
      <w:r w:rsidRPr="004E4380">
        <w:t xml:space="preserve"> Tento nový typ výrobní linky je vzhledem k nižším celkovým investičním výdajům, nižším nárokům na infrastrukturu a nižší kapacitě považován za expanzivní platformu vhodnou pro etablování se na nových, zejména rozvíjejících se trzích.</w:t>
      </w:r>
      <w:r w:rsidR="00CE11D5">
        <w:t xml:space="preserve"> A </w:t>
      </w:r>
      <w:r w:rsidR="00202C43">
        <w:t xml:space="preserve">právě </w:t>
      </w:r>
      <w:r w:rsidR="00CE11D5">
        <w:t>z těchto důvodů byla vybrána obdobná výrobní linka i pro nový výrobní závod v Jihoafrické re</w:t>
      </w:r>
      <w:r w:rsidR="00202C43">
        <w:t>pub</w:t>
      </w:r>
      <w:r w:rsidR="00CE11D5">
        <w:t xml:space="preserve">lice. </w:t>
      </w:r>
    </w:p>
    <w:p w:rsidR="00643DD6" w:rsidRDefault="00643DD6" w:rsidP="00643DD6">
      <w:r w:rsidRPr="00643DD6">
        <w:rPr>
          <w:b/>
          <w:color w:val="E2001C"/>
        </w:rPr>
        <w:t>Úzká spolupráce se zákazníky a dodavateli:</w:t>
      </w:r>
      <w:r>
        <w:t xml:space="preserve"> PEGAS bude dále pokračovat ve spolupráci se svými zákazníky, výrobci zařízení a dodavateli surovin ve vývoji nových projektů výzkumu a vývoje</w:t>
      </w:r>
      <w:r w:rsidR="00185286" w:rsidRPr="00185286">
        <w:t>, aby si na trhu i nadále udržel předstih před konkurencí.</w:t>
      </w:r>
      <w:r>
        <w:t xml:space="preserve"> Cílem Společnosti je zůstat na špičce technického rozvoje v odvětví, dodávat zákazníkům výrobky té nejvyšší kvality a pravidelně vyvíjet nové materiály.</w:t>
      </w:r>
    </w:p>
    <w:p w:rsidR="00643DD6" w:rsidRDefault="00643DD6" w:rsidP="00643DD6">
      <w:r w:rsidRPr="00643DD6">
        <w:rPr>
          <w:b/>
          <w:color w:val="E2001C"/>
        </w:rPr>
        <w:t>Zaměření na technologicky pokročilé produkty:</w:t>
      </w:r>
      <w:r>
        <w:t xml:space="preserve"> PEGAS je největším výrobcem speciálních bi-komponentních netkaných textilií typu spunmelt v regionu EMEA s rozsáhlými zkušenostmi s konfigurací a výrobou ultralehkých materiálů. </w:t>
      </w:r>
      <w:r w:rsidRPr="009B25FA">
        <w:t>V</w:t>
      </w:r>
      <w:r w:rsidR="004332FA" w:rsidRPr="009B25FA">
        <w:t xml:space="preserve"> minulých </w:t>
      </w:r>
      <w:r w:rsidRPr="009B25FA">
        <w:t>letech Společnost</w:t>
      </w:r>
      <w:r>
        <w:t xml:space="preserve"> úspěšně komercializovala nové materiály s mimořádnými vlastnostmi.</w:t>
      </w:r>
    </w:p>
    <w:p w:rsidR="00643DD6" w:rsidRDefault="00643DD6" w:rsidP="00643DD6">
      <w:r w:rsidRPr="00643DD6">
        <w:rPr>
          <w:b/>
          <w:color w:val="E2001C"/>
        </w:rPr>
        <w:t xml:space="preserve">Udržení </w:t>
      </w:r>
      <w:r w:rsidR="00D17321">
        <w:rPr>
          <w:b/>
          <w:color w:val="E2001C"/>
        </w:rPr>
        <w:t xml:space="preserve">dobré </w:t>
      </w:r>
      <w:r w:rsidRPr="00643DD6">
        <w:rPr>
          <w:b/>
          <w:color w:val="E2001C"/>
        </w:rPr>
        <w:t>finanční výkonnosti v odvětví:</w:t>
      </w:r>
      <w:r>
        <w:t xml:space="preserve">  Hlavními cíli PEGASu je růst spolu se svým hlavním trhem, vykazov</w:t>
      </w:r>
      <w:r w:rsidR="00185286">
        <w:t>at</w:t>
      </w:r>
      <w:r>
        <w:t xml:space="preserve"> trž</w:t>
      </w:r>
      <w:r w:rsidR="00185286">
        <w:t>by</w:t>
      </w:r>
      <w:r>
        <w:t xml:space="preserve"> v souladu s tímto růstem a dosahov</w:t>
      </w:r>
      <w:r w:rsidR="00185286">
        <w:t>at</w:t>
      </w:r>
      <w:r>
        <w:t xml:space="preserve"> vysokých provozních marží v porovnání s konkurenty. PEGAS efektivně vytváří velké hotovostní prostředky, které jsou dále používány na další expanzi, snížení dluhu a umožňují výplatu dividendy.</w:t>
      </w:r>
    </w:p>
    <w:p w:rsidR="008D5593" w:rsidRPr="007A3749" w:rsidRDefault="00643DD6" w:rsidP="00643DD6">
      <w:r w:rsidRPr="00643DD6">
        <w:rPr>
          <w:b/>
          <w:color w:val="E2001C"/>
        </w:rPr>
        <w:t>Monitorování investičních příležitostí:</w:t>
      </w:r>
      <w:r>
        <w:t xml:space="preserve"> Společnost bude i nadále monitorovat investiční příležitosti mimo Českou republiku, jež by mohly vést buď k akvizici, nebo k otevření výrobních kapacit v jiných teritoriích.</w:t>
      </w:r>
    </w:p>
    <w:p w:rsidR="00C80B0E" w:rsidRPr="007A3749" w:rsidRDefault="00161F66" w:rsidP="00396F0C">
      <w:pPr>
        <w:pStyle w:val="Heading2"/>
      </w:pPr>
      <w:bookmarkStart w:id="35" w:name="_Toc269907492"/>
      <w:bookmarkStart w:id="36" w:name="_Toc487810683"/>
      <w:r w:rsidRPr="008A66C6">
        <w:t>Rizikové faktory</w:t>
      </w:r>
      <w:bookmarkEnd w:id="35"/>
      <w:bookmarkEnd w:id="36"/>
    </w:p>
    <w:p w:rsidR="002F454E" w:rsidRDefault="002F454E" w:rsidP="002F454E">
      <w:r>
        <w:t>Podnikání, provozní a finanční činnost Společnosti mohou být nepříznivě ovlivněny následujícími faktory:</w:t>
      </w:r>
    </w:p>
    <w:p w:rsidR="007F1D52" w:rsidRDefault="007F1D52" w:rsidP="007F1D52">
      <w:pPr>
        <w:pStyle w:val="Heading4"/>
      </w:pPr>
      <w:r>
        <w:t>Marketing a Prodej</w:t>
      </w:r>
    </w:p>
    <w:p w:rsidR="007F1D52" w:rsidRDefault="007F1D52" w:rsidP="007F1D52">
      <w:r>
        <w:t>PEGAS provozuje podnikání na vysoce konkurenčním trhu a vznik nových konkurentů nebo spuštění nových výrobních kapacit jedním ze stávajících konkurentů může negativně ovlivnit prodeje a marže Společnosti.</w:t>
      </w:r>
    </w:p>
    <w:p w:rsidR="007F1D52" w:rsidRDefault="007F1D52" w:rsidP="007F1D52">
      <w:r>
        <w:t>Vysoká koncentrace zákazníků, kteří představují významné procento tržeb Společnosti, a ztráta jednoho nebo více takových zákazníků může mít negativní vliv na tržby a ziskovost Společnosti.</w:t>
      </w:r>
    </w:p>
    <w:p w:rsidR="007F1D52" w:rsidRDefault="007F1D52" w:rsidP="007F1D52">
      <w:r>
        <w:t>Změna v poptávce koncových uživatelů hygienických výrobků a přesun preferencí k levnějším výrobkům může vést ke změně prodejního portfolia a ovlivnit prodeje a ziskovost Společnosti.</w:t>
      </w:r>
    </w:p>
    <w:p w:rsidR="00AC69B4" w:rsidRDefault="00AC69B4" w:rsidP="00AC69B4">
      <w:pPr>
        <w:pStyle w:val="Heading4"/>
      </w:pPr>
      <w:r>
        <w:t>Výroba</w:t>
      </w:r>
    </w:p>
    <w:p w:rsidR="00AC69B4" w:rsidRDefault="00AC69B4" w:rsidP="00AC69B4">
      <w:r>
        <w:t>Přerušení výroby může mít materiální vliv na chod Společnosti. PEGAS je závislý na jednom výrobci strojů a poskytovateli technické podpory výrobních linek. PEGAS nebude moci rekonfigurovat své výrobní linky včas a tímto reagovat na změny poptávky po určitých typech netkaných textilií. Výrobní zařízení od jiných výrobců se mohou ukázat jako výkonnější a rychleji rozvíjející se než ta, která nabízí dodavatel zařízení pro PEGAS.</w:t>
      </w:r>
    </w:p>
    <w:p w:rsidR="002F454E" w:rsidRPr="00AC69B4" w:rsidRDefault="002F454E" w:rsidP="00AC69B4">
      <w:pPr>
        <w:pStyle w:val="Heading4"/>
        <w:rPr>
          <w:b w:val="0"/>
          <w:color w:val="auto"/>
        </w:rPr>
      </w:pPr>
      <w:r w:rsidRPr="00AC69B4">
        <w:rPr>
          <w:b w:val="0"/>
          <w:color w:val="auto"/>
        </w:rPr>
        <w:t>Konkurenti Společnosti mohou mít přístup k většímu objemu kapitálových zdrojů za lepších podmínek</w:t>
      </w:r>
      <w:r w:rsidR="007F1D52" w:rsidRPr="00AC69B4">
        <w:rPr>
          <w:b w:val="0"/>
          <w:color w:val="auto"/>
        </w:rPr>
        <w:t>,</w:t>
      </w:r>
      <w:r w:rsidRPr="00AC69B4">
        <w:rPr>
          <w:b w:val="0"/>
          <w:color w:val="auto"/>
        </w:rPr>
        <w:t xml:space="preserve"> a tím mohou být schopni modernizovat a </w:t>
      </w:r>
      <w:r w:rsidR="00ED38FE" w:rsidRPr="00AC69B4">
        <w:rPr>
          <w:b w:val="0"/>
          <w:color w:val="auto"/>
        </w:rPr>
        <w:t xml:space="preserve">rozšiřovat </w:t>
      </w:r>
      <w:r w:rsidRPr="00AC69B4">
        <w:rPr>
          <w:b w:val="0"/>
          <w:color w:val="auto"/>
        </w:rPr>
        <w:t>jejich výrobu rychleji než PEGAS</w:t>
      </w:r>
      <w:r w:rsidR="00ED38FE" w:rsidRPr="00AC69B4">
        <w:rPr>
          <w:b w:val="0"/>
          <w:color w:val="auto"/>
        </w:rPr>
        <w:t>,</w:t>
      </w:r>
      <w:r w:rsidRPr="00AC69B4">
        <w:rPr>
          <w:b w:val="0"/>
          <w:color w:val="auto"/>
        </w:rPr>
        <w:t xml:space="preserve"> a získat tak významnou konkurenční výhodu.</w:t>
      </w:r>
    </w:p>
    <w:p w:rsidR="002F454E" w:rsidRDefault="002F454E" w:rsidP="002F454E">
      <w:r>
        <w:t xml:space="preserve">Stabilita dodávek a dopravy výrobků Společnosti zákazníkům může být předmětem rizik a nejistot. </w:t>
      </w:r>
    </w:p>
    <w:p w:rsidR="002F454E" w:rsidRDefault="002F454E" w:rsidP="002F454E">
      <w:r>
        <w:t xml:space="preserve">PEGAS je závislý na externích dodavatelích klíčových surovin a růst nákladů surovin a elektrické energie může mít materiální vliv na finanční a provozní výkonnost Společnosti, přestože je růst cen polymerů převážně přenesen do zákaznických cen. </w:t>
      </w:r>
    </w:p>
    <w:p w:rsidR="002F454E" w:rsidRDefault="002F454E" w:rsidP="002F454E">
      <w:pPr>
        <w:pStyle w:val="Heading4"/>
      </w:pPr>
      <w:r>
        <w:t>Výzkum a vývoj</w:t>
      </w:r>
    </w:p>
    <w:p w:rsidR="002F454E" w:rsidRDefault="002F454E" w:rsidP="002F454E">
      <w:r>
        <w:t>Konkurenti Společnosti mohou vyvinout nové materiály požadované zákazníky</w:t>
      </w:r>
      <w:r w:rsidR="00ED38FE">
        <w:t>,</w:t>
      </w:r>
      <w:r>
        <w:t xml:space="preserve"> a získat tak konkurenční výhodu, jež může mít negativní vliv na tržby a ziskovost Společnosti. </w:t>
      </w:r>
    </w:p>
    <w:p w:rsidR="002F454E" w:rsidRDefault="002F454E" w:rsidP="002F454E">
      <w:pPr>
        <w:pStyle w:val="Heading4"/>
      </w:pPr>
      <w:r>
        <w:t>Potenciální expanze</w:t>
      </w:r>
    </w:p>
    <w:p w:rsidR="002F454E" w:rsidRDefault="002F454E" w:rsidP="002F454E">
      <w:r>
        <w:t>PEGAS je vystaven riziku spojenému s možnými akvizicemi</w:t>
      </w:r>
      <w:r w:rsidR="00ED38FE">
        <w:t>,</w:t>
      </w:r>
      <w:r>
        <w:t xml:space="preserve"> investicemi, strategickým partnerstvím nebo alianc</w:t>
      </w:r>
      <w:r w:rsidR="004332FA">
        <w:t>emi</w:t>
      </w:r>
      <w:r>
        <w:t xml:space="preserve">, </w:t>
      </w:r>
      <w:r w:rsidR="004332FA">
        <w:t xml:space="preserve">které </w:t>
      </w:r>
      <w:r>
        <w:t>zahrnuj</w:t>
      </w:r>
      <w:r w:rsidR="004332FA">
        <w:t>e</w:t>
      </w:r>
      <w:r>
        <w:t xml:space="preserve"> identifikaci příležitosti, riziko dokončení transakce a integrace třetích stran do Společnosti.</w:t>
      </w:r>
    </w:p>
    <w:p w:rsidR="002F454E" w:rsidRDefault="002F454E" w:rsidP="002F454E">
      <w:pPr>
        <w:pStyle w:val="Heading4"/>
      </w:pPr>
      <w:r>
        <w:t>Právo a duševní vlastnictví</w:t>
      </w:r>
    </w:p>
    <w:p w:rsidR="002F454E" w:rsidRDefault="002F454E" w:rsidP="002F454E">
      <w:r>
        <w:t xml:space="preserve">Podnikání Společnosti je vystaveno finančním a provozním nejistotám a ovlivněno legislativou a právním rámcem, jež mohou mít vliv na provozní a finanční výkonnost.  </w:t>
      </w:r>
    </w:p>
    <w:p w:rsidR="002F454E" w:rsidRDefault="002F454E" w:rsidP="002F454E">
      <w:r>
        <w:t xml:space="preserve">PEGAS může porušovat právo týkající se duševního vlastnictví jiných osob. </w:t>
      </w:r>
    </w:p>
    <w:p w:rsidR="002F454E" w:rsidRDefault="002F454E" w:rsidP="002F454E">
      <w:r>
        <w:t>Negativní výsledek soudních sporů PEGASu může mít vliv na chod Společnosti a její budoucí výhledy.</w:t>
      </w:r>
    </w:p>
    <w:p w:rsidR="002F454E" w:rsidRDefault="002F454E" w:rsidP="002F454E">
      <w:pPr>
        <w:pStyle w:val="Heading4"/>
      </w:pPr>
      <w:r>
        <w:t>Finance</w:t>
      </w:r>
    </w:p>
    <w:p w:rsidR="002F454E" w:rsidRDefault="002F454E" w:rsidP="002F454E">
      <w:r>
        <w:t>Zadlužení Společnosti může negativně ovlivnit finanční podmínky a provozní výsledky. Výše úroků placených na externím dluhu může být bankami přehodnocena důsledkem krize finančního sektoru a zvýšené úrokové náklady mohou negativně ovlivnit ziskovost Společnosti.</w:t>
      </w:r>
    </w:p>
    <w:p w:rsidR="002F454E" w:rsidRDefault="002F454E" w:rsidP="002F454E">
      <w:r>
        <w:t>Současné zadlužení a změna podmínek externího dluhu (kovenanty) mohou vést k změně současné progresivní dividendové politiky Společnosti.</w:t>
      </w:r>
    </w:p>
    <w:p w:rsidR="004332FA" w:rsidRDefault="002F454E" w:rsidP="002F454E">
      <w:r>
        <w:t xml:space="preserve">Volatilita kurzu české koruny a Eura může negativně ovlivnit ziskovost Společnosti. </w:t>
      </w:r>
    </w:p>
    <w:p w:rsidR="002F454E" w:rsidRDefault="002F454E" w:rsidP="002F454E">
      <w:r>
        <w:t>Provozní společnosti PEGASu těží z daňových výhod přiznaných českou vládou. Pokud dojde ke změnám v daňovém systému, snížení nebo zrušení daňových výhod, bude to mít negativní vliv na ziskovost Společnosti.</w:t>
      </w:r>
    </w:p>
    <w:p w:rsidR="002F454E" w:rsidRDefault="002F454E" w:rsidP="002F454E">
      <w:r>
        <w:t>Fluktuace cen polymerů, jež je přenášena na zákazníka s určitým zpožděním</w:t>
      </w:r>
      <w:r w:rsidR="004332FA">
        <w:t>,</w:t>
      </w:r>
      <w:r>
        <w:t xml:space="preserve"> může krátkodobě ovlivnit výnosy Společnosti a její ziskovost.</w:t>
      </w:r>
    </w:p>
    <w:p w:rsidR="002F454E" w:rsidRDefault="002F454E" w:rsidP="002F454E">
      <w:r>
        <w:t>Pojistné krytí nemusí dostatečně krýt veškerá rizika ztráty.</w:t>
      </w:r>
    </w:p>
    <w:p w:rsidR="002F454E" w:rsidRDefault="007E3172" w:rsidP="002F454E">
      <w:pPr>
        <w:pStyle w:val="Heading4"/>
      </w:pPr>
      <w:r>
        <w:br w:type="column"/>
      </w:r>
      <w:r w:rsidR="002F454E">
        <w:t>Bezpečnost, životní prostředí a bezpečnost práce</w:t>
      </w:r>
    </w:p>
    <w:p w:rsidR="002F454E" w:rsidRDefault="002F454E" w:rsidP="002F454E">
      <w:r>
        <w:t>Plnění zákonných povinností a změny v zákonech týkající se bezpečnosti, zdraví a životního prostředí mohou mít vliv na provozní a finanční výkonnost Společnosti.</w:t>
      </w:r>
    </w:p>
    <w:p w:rsidR="002F454E" w:rsidRDefault="002F454E" w:rsidP="002F454E">
      <w:pPr>
        <w:pStyle w:val="Heading4"/>
      </w:pPr>
      <w:r>
        <w:t xml:space="preserve">Klíčoví zaměstnanci a technická expertíza </w:t>
      </w:r>
    </w:p>
    <w:p w:rsidR="002F454E" w:rsidRDefault="002F454E" w:rsidP="002F454E">
      <w:r>
        <w:t xml:space="preserve">Ztráta klíčových manažerů Společnosti může mít negativní vliv na chod Společnosti. </w:t>
      </w:r>
    </w:p>
    <w:p w:rsidR="002F454E" w:rsidRDefault="002F454E" w:rsidP="002F454E">
      <w:r>
        <w:t xml:space="preserve">PEGAS nemusí být schopen zaměstnat a udržet požadovaný počet kvalifikovaných pracovních sil vzhledem k jejich omezenému počtu na trhu a vysoké poptávce. </w:t>
      </w:r>
    </w:p>
    <w:p w:rsidR="00AC69B4" w:rsidRDefault="00AC69B4" w:rsidP="00AC69B4">
      <w:pPr>
        <w:pStyle w:val="Heading4"/>
      </w:pPr>
      <w:r>
        <w:t>Změny vlastnictví</w:t>
      </w:r>
    </w:p>
    <w:p w:rsidR="00AC69B4" w:rsidRDefault="00AC69B4" w:rsidP="00AC69B4">
      <w:r>
        <w:t xml:space="preserve">100% akcií PEGASu je volně obchodovatelných a vlastnická struktura je roztříštěná a rozdělená mezi mnoho akcionářů. Potenciální vstup majoritního investora do Společnosti může vést k náhlé změně dlouhodobé strategie a ovlivnit hodnotu akcií. </w:t>
      </w:r>
    </w:p>
    <w:p w:rsidR="00AC69B4" w:rsidRDefault="00AC69B4" w:rsidP="00AC69B4">
      <w:pPr>
        <w:pStyle w:val="Heading4"/>
      </w:pPr>
      <w:r>
        <w:t>Rizikové faktory související s investicí v Egyptě</w:t>
      </w:r>
    </w:p>
    <w:p w:rsidR="002F454E" w:rsidRDefault="00AC69B4" w:rsidP="00AC69B4">
      <w:r>
        <w:t xml:space="preserve">Investice na rozvíjejících se trzích jako je Egypt, obvykle nesou vyšší úroveň rizika nežli investice v rozvinutějších zemích. Tato rizika zahrnují, ale nejsou omezeny na změny v politickém prostředí, transfer zisků, znárodnění nebo politicky motivované páchání škod. Egyptská ekonomika může být v budoucnu náchylná k negativním dopadům, které jsou obdobné jako v jiných rozvíjejících se zemích. </w:t>
      </w:r>
    </w:p>
    <w:p w:rsidR="002F454E" w:rsidRDefault="002F454E" w:rsidP="002F454E">
      <w:r>
        <w:t xml:space="preserve">Egypt se nachází v regionu, který je zejména v posledních letech předmětem neustálých politických a bezpečnostních nepokojů. Stejně jako v jiných zemích v tomto regionu, Egypt byl v minulosti cílem náhodných teroristických útoků. Není zaručeno, že extremisté nebo teroristické skupiny nebudou vyvolávat nebo pokračovat v náhodných aktech násilí nebo že vláda bude i nadále schopna relativně úspěšně udržet současnou úroveň pořádku a stability v zemi. </w:t>
      </w:r>
    </w:p>
    <w:p w:rsidR="007B4094" w:rsidRPr="007A3749" w:rsidRDefault="002F454E" w:rsidP="002F454E">
      <w:pPr>
        <w:rPr>
          <w:rFonts w:cs="Arial"/>
        </w:rPr>
      </w:pPr>
      <w:r>
        <w:t>Ačkoliv PEGAS uzavřel pojistnou smlouvu s EGAPem na krytí rizik spojených s investicí v Egyptě, která zahrnuje pojištění investice vůči rizikům</w:t>
      </w:r>
      <w:r w:rsidR="00AC69B4">
        <w:t>,</w:t>
      </w:r>
      <w:r>
        <w:t xml:space="preserve"> jako j</w:t>
      </w:r>
      <w:r w:rsidR="00AC69B4">
        <w:t>sou</w:t>
      </w:r>
      <w:r>
        <w:t xml:space="preserve"> ochrana transferu zisků, znárodnění nebo politicky motivované páchání škod, je tu riziko, že pojistné krytí dostatečně neochrání PEGAS vůči veškerým možným ztrátám v souvislosti s investicí v Egyptě.</w:t>
      </w:r>
    </w:p>
    <w:p w:rsidR="00BD78CE" w:rsidRPr="007A3749" w:rsidRDefault="00BD78CE" w:rsidP="007A3749">
      <w:pPr>
        <w:pStyle w:val="NormalWeb"/>
      </w:pPr>
      <w:r w:rsidRPr="007A3749">
        <w:t xml:space="preserve"> </w:t>
      </w:r>
    </w:p>
    <w:p w:rsidR="00A910E6" w:rsidRPr="007A3749" w:rsidRDefault="00A910E6" w:rsidP="00396F0C">
      <w:pPr>
        <w:pStyle w:val="Heading1"/>
        <w:sectPr w:rsidR="00A910E6" w:rsidRPr="007A3749" w:rsidSect="00396F0C">
          <w:type w:val="continuous"/>
          <w:pgSz w:w="11906" w:h="16838"/>
          <w:pgMar w:top="1417" w:right="1417" w:bottom="1417" w:left="1417" w:header="708" w:footer="708" w:gutter="0"/>
          <w:cols w:num="2" w:space="708"/>
          <w:docGrid w:linePitch="360"/>
        </w:sectPr>
      </w:pPr>
      <w:bookmarkStart w:id="37" w:name="_Toc165188447"/>
      <w:bookmarkEnd w:id="23"/>
    </w:p>
    <w:p w:rsidR="006E2C36" w:rsidRDefault="00A910E6" w:rsidP="00396F0C">
      <w:pPr>
        <w:pStyle w:val="Heading1"/>
      </w:pPr>
      <w:bookmarkStart w:id="38" w:name="_Toc269907493"/>
      <w:bookmarkStart w:id="39" w:name="_Toc487810684"/>
      <w:r w:rsidRPr="002C2EF0">
        <w:t>Akcie a akcionářská struktura</w:t>
      </w:r>
      <w:bookmarkEnd w:id="38"/>
      <w:bookmarkEnd w:id="39"/>
    </w:p>
    <w:p w:rsidR="00153CF7" w:rsidRDefault="00153CF7" w:rsidP="00396F0C">
      <w:pPr>
        <w:pStyle w:val="Heading1"/>
      </w:pPr>
      <w:r w:rsidRPr="002C2EF0">
        <w:t xml:space="preserve"> </w:t>
      </w:r>
    </w:p>
    <w:p w:rsidR="006E2C36" w:rsidRDefault="006E2C36" w:rsidP="006E2C36">
      <w:pPr>
        <w:sectPr w:rsidR="006E2C36" w:rsidSect="006E2C36">
          <w:pgSz w:w="11906" w:h="16838"/>
          <w:pgMar w:top="1417" w:right="1417" w:bottom="1417" w:left="1417" w:header="708" w:footer="708" w:gutter="0"/>
          <w:cols w:space="708"/>
          <w:docGrid w:linePitch="360"/>
        </w:sectPr>
      </w:pPr>
    </w:p>
    <w:p w:rsidR="00C7706F" w:rsidRPr="002C2EF0" w:rsidRDefault="00A910E6" w:rsidP="00396F0C">
      <w:pPr>
        <w:pStyle w:val="Heading4"/>
      </w:pPr>
      <w:r w:rsidRPr="008A66C6">
        <w:t>Struktura akcionářů k 30</w:t>
      </w:r>
      <w:r w:rsidR="00EC395D" w:rsidRPr="008A66C6">
        <w:t>. červnu 20</w:t>
      </w:r>
      <w:r w:rsidR="00BB2343" w:rsidRPr="008A66C6">
        <w:t>1</w:t>
      </w:r>
      <w:r w:rsidR="00E550D3">
        <w:t>7</w:t>
      </w:r>
    </w:p>
    <w:tbl>
      <w:tblPr>
        <w:tblW w:w="4625" w:type="pct"/>
        <w:tblBorders>
          <w:top w:val="single" w:sz="4" w:space="0" w:color="9C9D9F"/>
          <w:left w:val="single" w:sz="4" w:space="0" w:color="9C9D9F"/>
          <w:bottom w:val="single" w:sz="4" w:space="0" w:color="9C9D9F"/>
          <w:right w:val="single" w:sz="4" w:space="0" w:color="9C9D9F"/>
          <w:insideH w:val="single" w:sz="4" w:space="0" w:color="9C9D9F"/>
        </w:tblBorders>
        <w:tblLook w:val="01E0" w:firstRow="1" w:lastRow="1" w:firstColumn="1" w:lastColumn="1" w:noHBand="0" w:noVBand="0"/>
      </w:tblPr>
      <w:tblGrid>
        <w:gridCol w:w="2988"/>
        <w:gridCol w:w="1080"/>
      </w:tblGrid>
      <w:tr w:rsidR="00C7706F" w:rsidRPr="007A3749" w:rsidTr="009358D2">
        <w:tc>
          <w:tcPr>
            <w:tcW w:w="3673" w:type="pct"/>
          </w:tcPr>
          <w:p w:rsidR="00C7706F" w:rsidRPr="007A3749" w:rsidRDefault="00A910E6" w:rsidP="009358D2">
            <w:pPr>
              <w:jc w:val="left"/>
            </w:pPr>
            <w:r w:rsidRPr="007A3749">
              <w:t xml:space="preserve">Institucionální a drobní investoři </w:t>
            </w:r>
          </w:p>
        </w:tc>
        <w:tc>
          <w:tcPr>
            <w:tcW w:w="1327" w:type="pct"/>
          </w:tcPr>
          <w:p w:rsidR="00C7706F" w:rsidRPr="007A3749" w:rsidRDefault="00D04D50" w:rsidP="00396F0C">
            <w:pPr>
              <w:jc w:val="right"/>
            </w:pPr>
            <w:r w:rsidRPr="007A3749">
              <w:t>100</w:t>
            </w:r>
            <w:r w:rsidR="00396F0C">
              <w:t>,0</w:t>
            </w:r>
            <w:r w:rsidR="00865CEE" w:rsidRPr="007A3749">
              <w:t xml:space="preserve"> </w:t>
            </w:r>
            <w:r w:rsidR="00C7706F" w:rsidRPr="007A3749">
              <w:t>%</w:t>
            </w:r>
          </w:p>
        </w:tc>
      </w:tr>
      <w:tr w:rsidR="00C7706F" w:rsidRPr="007A3749" w:rsidTr="009358D2">
        <w:tc>
          <w:tcPr>
            <w:tcW w:w="3673" w:type="pct"/>
          </w:tcPr>
          <w:p w:rsidR="00C7706F" w:rsidRPr="007A3749" w:rsidRDefault="000D6B8A" w:rsidP="00E550D3">
            <w:pPr>
              <w:ind w:left="270"/>
              <w:jc w:val="left"/>
            </w:pPr>
            <w:r w:rsidRPr="007A3749">
              <w:t>z</w:t>
            </w:r>
            <w:r w:rsidR="0094528D" w:rsidRPr="007A3749">
              <w:t xml:space="preserve"> toho</w:t>
            </w:r>
            <w:r w:rsidR="00A910E6" w:rsidRPr="007A3749">
              <w:t xml:space="preserve"> </w:t>
            </w:r>
            <w:r w:rsidR="00E550D3">
              <w:t>vedení</w:t>
            </w:r>
            <w:r w:rsidR="00E550D3" w:rsidRPr="007A3749">
              <w:t xml:space="preserve"> </w:t>
            </w:r>
            <w:r w:rsidR="00A910E6" w:rsidRPr="007A3749">
              <w:t>Společnosti</w:t>
            </w:r>
          </w:p>
        </w:tc>
        <w:tc>
          <w:tcPr>
            <w:tcW w:w="1327" w:type="pct"/>
          </w:tcPr>
          <w:p w:rsidR="00C7706F" w:rsidRPr="007A3749" w:rsidRDefault="009358D2" w:rsidP="00396F0C">
            <w:pPr>
              <w:jc w:val="right"/>
            </w:pPr>
            <w:r>
              <w:t>0,0</w:t>
            </w:r>
            <w:r w:rsidR="002A78C5" w:rsidRPr="007A3749">
              <w:t xml:space="preserve"> </w:t>
            </w:r>
            <w:r w:rsidR="00C7706F" w:rsidRPr="007A3749">
              <w:t>%</w:t>
            </w:r>
          </w:p>
        </w:tc>
      </w:tr>
    </w:tbl>
    <w:p w:rsidR="00A910E6" w:rsidRDefault="00BB2343" w:rsidP="007A3749">
      <w:pPr>
        <w:pStyle w:val="NormalWeb"/>
      </w:pPr>
      <w:r>
        <w:t xml:space="preserve">K </w:t>
      </w:r>
      <w:r w:rsidR="009358D2">
        <w:t>31. prosinci 201</w:t>
      </w:r>
      <w:r w:rsidR="00E550D3">
        <w:t>6</w:t>
      </w:r>
      <w:r w:rsidR="009358D2">
        <w:t xml:space="preserve"> a </w:t>
      </w:r>
      <w:r>
        <w:t xml:space="preserve">30. </w:t>
      </w:r>
      <w:r w:rsidR="009358D2">
        <w:t>č</w:t>
      </w:r>
      <w:r>
        <w:t>ervnu 201</w:t>
      </w:r>
      <w:r w:rsidR="00E550D3">
        <w:t>7</w:t>
      </w:r>
      <w:r>
        <w:t xml:space="preserve"> </w:t>
      </w:r>
      <w:r w:rsidR="004332FA">
        <w:t>nevlastnil</w:t>
      </w:r>
      <w:r>
        <w:t xml:space="preserve"> </w:t>
      </w:r>
      <w:r w:rsidR="004C4DE2" w:rsidRPr="007A3749">
        <w:t>management</w:t>
      </w:r>
      <w:r w:rsidR="00A910E6" w:rsidRPr="007A3749">
        <w:t xml:space="preserve"> </w:t>
      </w:r>
      <w:r>
        <w:t xml:space="preserve">žádnou akcii </w:t>
      </w:r>
      <w:r w:rsidR="00A910E6" w:rsidRPr="007A3749">
        <w:t>Společnosti</w:t>
      </w:r>
      <w:r>
        <w:t>.</w:t>
      </w:r>
      <w:r w:rsidR="00A910E6" w:rsidRPr="007A3749">
        <w:t xml:space="preserve"> </w:t>
      </w:r>
    </w:p>
    <w:p w:rsidR="00E550D3" w:rsidRDefault="00E550D3" w:rsidP="007A3749">
      <w:pPr>
        <w:pStyle w:val="NormalWeb"/>
      </w:pPr>
      <w:r w:rsidRPr="00E550D3">
        <w:t>Dne 24. ledna 2017 obdržela Společnost hlášení akcionáře o tom, že společnost PKO Towarzystwo Funduszy Inwestycyj</w:t>
      </w:r>
      <w:r w:rsidR="004D2BD6">
        <w:t>-</w:t>
      </w:r>
      <w:r w:rsidRPr="00E550D3">
        <w:t>nych SA se sídlem ul. Chłodna 52, 00-872 Warszawa, Polsko držela ke dni 20. ledna 2017 466 526 akcií společnosti PEGAS NONWOVENS SA, což představuje 5,05% podíl na základním kapitálu a hlasovacích právech Společnosti. Před 20. lednem 2017 společnost PKO Towarzystwo Fundu</w:t>
      </w:r>
      <w:r w:rsidR="004D2BD6">
        <w:t>-</w:t>
      </w:r>
      <w:r w:rsidRPr="00E550D3">
        <w:t>szy Inwestycyjnych SA držela 460 937 akcií Společnosti, což představovalo 4,99% podíl na základním kapitálu a hlasovacích právech Společnosti.</w:t>
      </w:r>
    </w:p>
    <w:p w:rsidR="00E550D3" w:rsidRDefault="00E550D3" w:rsidP="007A3749">
      <w:pPr>
        <w:pStyle w:val="NormalWeb"/>
      </w:pPr>
      <w:r w:rsidRPr="00E550D3">
        <w:t>Dne 28. dubna 2017 obdržela Společnost hlášení akcionáře o tom, že společnost R2G Wealth, s.r.o. držela ke dni 7. dubna 2017 489 232 akcií společnosti PEGAS NONWOVENS SA, což představuje 5,30% podíl na základním kapitálu a hlasovacích právech Společnosti.</w:t>
      </w:r>
    </w:p>
    <w:p w:rsidR="00E550D3" w:rsidRPr="007A3749" w:rsidRDefault="00E550D3" w:rsidP="007A3749">
      <w:pPr>
        <w:pStyle w:val="NormalWeb"/>
      </w:pPr>
      <w:r w:rsidRPr="00E550D3">
        <w:t>Dne 16. května 2017 obdržela Společnost hlášení akcionáře o tom, že společnost Wood Textiles Holding Limited držela 2</w:t>
      </w:r>
      <w:r w:rsidR="00FA01BE">
        <w:t> </w:t>
      </w:r>
      <w:r w:rsidRPr="00E550D3">
        <w:t>332</w:t>
      </w:r>
      <w:r w:rsidR="00FA01BE">
        <w:t> </w:t>
      </w:r>
      <w:r w:rsidRPr="00E550D3">
        <w:t>740 akcií společnosti PEGAS NONWOVENS SA ke dni 16. května 2017, což představuje 25,28% podíl na základním kapitálu a hlasovacích právech Společnosti. Předchozí hlášení akcionáře Wood Textiles Holding Limited Společnost obdržela dne 22. června 2015. Podle tohoto hlášení držel Wood Textiles Holding Limited ke dni 15. června 2015 1</w:t>
      </w:r>
      <w:r w:rsidR="004D2BD6">
        <w:t> </w:t>
      </w:r>
      <w:r w:rsidRPr="00E550D3">
        <w:t>885</w:t>
      </w:r>
      <w:r w:rsidR="004D2BD6">
        <w:t> </w:t>
      </w:r>
      <w:r w:rsidRPr="00E550D3">
        <w:t>983 akcií Společnosti, což představovalo 20,43% podíl na základním kapitálu a hlasovacích právech Společnosti.</w:t>
      </w:r>
    </w:p>
    <w:p w:rsidR="00801657" w:rsidRDefault="004D2A3A" w:rsidP="007A3749">
      <w:r w:rsidRPr="007A3749">
        <w:t xml:space="preserve">Kromě </w:t>
      </w:r>
      <w:r w:rsidR="009358D2">
        <w:t xml:space="preserve">těchto </w:t>
      </w:r>
      <w:r w:rsidRPr="007A3749">
        <w:t xml:space="preserve">hlášení Společnost neobdržela za </w:t>
      </w:r>
      <w:r w:rsidR="00BD78CE" w:rsidRPr="007A3749">
        <w:t>období prvních šesti měsíc</w:t>
      </w:r>
      <w:r w:rsidR="00A34576" w:rsidRPr="007A3749">
        <w:t xml:space="preserve">ů </w:t>
      </w:r>
      <w:r w:rsidR="007F2709" w:rsidRPr="007A3749">
        <w:t>roku</w:t>
      </w:r>
      <w:r w:rsidR="00801657" w:rsidRPr="007A3749">
        <w:t xml:space="preserve"> 201</w:t>
      </w:r>
      <w:r w:rsidR="00E550D3">
        <w:t>7</w:t>
      </w:r>
      <w:r w:rsidR="003426C4" w:rsidRPr="007A3749">
        <w:t xml:space="preserve"> žádn</w:t>
      </w:r>
      <w:r w:rsidR="008601BB" w:rsidRPr="007A3749">
        <w:t>é</w:t>
      </w:r>
      <w:r w:rsidR="003426C4" w:rsidRPr="007A3749">
        <w:t xml:space="preserve"> </w:t>
      </w:r>
      <w:r w:rsidRPr="007A3749">
        <w:t xml:space="preserve">další </w:t>
      </w:r>
      <w:r w:rsidR="003426C4" w:rsidRPr="007A3749">
        <w:t xml:space="preserve">hlášení akcionáře o nabytí či změně významného podílu na základním kapitálu a hlasovacích právech </w:t>
      </w:r>
      <w:r w:rsidR="00BD1725" w:rsidRPr="007A3749">
        <w:t>spojených s akciemi vydan</w:t>
      </w:r>
      <w:r w:rsidR="006902A4" w:rsidRPr="007A3749">
        <w:t xml:space="preserve">ých Společností. </w:t>
      </w:r>
    </w:p>
    <w:p w:rsidR="00331EE0" w:rsidRDefault="00331EE0" w:rsidP="00202C43">
      <w:pPr>
        <w:pStyle w:val="Heading4"/>
      </w:pPr>
      <w:r>
        <w:t>Vyřazení akcicí z obchodování na Varšavské burze</w:t>
      </w:r>
    </w:p>
    <w:p w:rsidR="00331EE0" w:rsidRPr="00331EE0" w:rsidRDefault="00331EE0" w:rsidP="00331EE0">
      <w:r w:rsidRPr="00331EE0">
        <w:t>Dne 5.</w:t>
      </w:r>
      <w:r w:rsidR="003131FA">
        <w:t> </w:t>
      </w:r>
      <w:r w:rsidRPr="00331EE0">
        <w:t>ledna</w:t>
      </w:r>
      <w:r w:rsidR="003131FA">
        <w:t> </w:t>
      </w:r>
      <w:r w:rsidRPr="00331EE0">
        <w:t>2017 schválilo předsta</w:t>
      </w:r>
      <w:r w:rsidR="003131FA">
        <w:t>-</w:t>
      </w:r>
      <w:r w:rsidRPr="00331EE0">
        <w:t>venstvo Společnosti záměr vyřadit akcie Společnosti z obchodování na Varšavské burze cenných papírů. Toto rozhodnutí bylo učiněno s ohledem na velmi nízký objem obchodů s akciemi Společnosti na Varšavské burze cenných papírů, který neodpovídá nákladům na takovou kotaci. Následně, dne 23. ledna 2017, polský dozorový orgán schválil nabídku na odkup akcií, kterou Společnost předložila v souvislosti s tímto záměrem. Společnost v této souvislosti nakonec přijala požadavky a v březnu 2017 odkoupila 4 071 akcií, které představ</w:t>
      </w:r>
      <w:r w:rsidR="00FA01BE">
        <w:t>ovaly</w:t>
      </w:r>
      <w:r w:rsidRPr="00331EE0">
        <w:t xml:space="preserve"> 0,04% základního kapitálu a hlasovacích práv Společnosti. Vyřazení z obchodování na Varšavské burze nyní čeká na schválení od polského dozorového orgánu. V souladu s požadovaným postupem, po vydání souhlasu, Společnost následně požádá Varšavskou burzu o schválení vyřazení akcií z obchodování. Očekává se, že akcie Společnosti přestanou být obchodovány na Varšavské burze během </w:t>
      </w:r>
      <w:r>
        <w:t>druhé</w:t>
      </w:r>
      <w:r w:rsidRPr="00331EE0">
        <w:t xml:space="preserve"> poloviny roku 2017</w:t>
      </w:r>
      <w:r>
        <w:t>.</w:t>
      </w:r>
    </w:p>
    <w:p w:rsidR="00C7706F" w:rsidRPr="002C2EF0" w:rsidRDefault="00BD1725" w:rsidP="00396F0C">
      <w:pPr>
        <w:pStyle w:val="Heading4"/>
      </w:pPr>
      <w:r w:rsidRPr="008A66C6">
        <w:t xml:space="preserve">Vývoj ceny akcií a vývoj obchodování v první polovině </w:t>
      </w:r>
      <w:r w:rsidR="00C036D9" w:rsidRPr="008A66C6">
        <w:t xml:space="preserve">roku </w:t>
      </w:r>
      <w:r w:rsidR="003426C4" w:rsidRPr="008A66C6">
        <w:t>20</w:t>
      </w:r>
      <w:r w:rsidR="00640CBC" w:rsidRPr="008A66C6">
        <w:t>1</w:t>
      </w:r>
      <w:r w:rsidR="00E550D3">
        <w:t>7</w:t>
      </w:r>
    </w:p>
    <w:p w:rsidR="006505EC" w:rsidRPr="007A3749" w:rsidRDefault="006505EC" w:rsidP="007A3749">
      <w:pPr>
        <w:pStyle w:val="NormalWeb"/>
      </w:pPr>
      <w:r w:rsidRPr="007A3749">
        <w:t>Akc</w:t>
      </w:r>
      <w:r w:rsidR="00C00806" w:rsidRPr="007A3749">
        <w:t xml:space="preserve">ie jsou obchodovány na </w:t>
      </w:r>
      <w:r w:rsidR="004E6C73">
        <w:t>B</w:t>
      </w:r>
      <w:r w:rsidR="00C036D9" w:rsidRPr="007A3749">
        <w:t xml:space="preserve">urze cenných papírů </w:t>
      </w:r>
      <w:r w:rsidR="00187ADB" w:rsidRPr="007A3749">
        <w:t xml:space="preserve">v </w:t>
      </w:r>
      <w:r w:rsidR="00C036D9" w:rsidRPr="007A3749">
        <w:t>Pra</w:t>
      </w:r>
      <w:r w:rsidR="00187ADB" w:rsidRPr="007A3749">
        <w:t>ze</w:t>
      </w:r>
      <w:r w:rsidR="00C036D9" w:rsidRPr="007A3749">
        <w:t xml:space="preserve"> (</w:t>
      </w:r>
      <w:r w:rsidR="00C00806" w:rsidRPr="007A3749">
        <w:t>BCP</w:t>
      </w:r>
      <w:r w:rsidRPr="007A3749">
        <w:t>P</w:t>
      </w:r>
      <w:r w:rsidR="00C036D9" w:rsidRPr="007A3749">
        <w:t>)</w:t>
      </w:r>
      <w:r w:rsidRPr="007A3749">
        <w:t xml:space="preserve"> pod </w:t>
      </w:r>
      <w:r w:rsidR="00C036D9" w:rsidRPr="007A3749">
        <w:t xml:space="preserve">identifikačním číslem </w:t>
      </w:r>
      <w:r w:rsidR="00C7706F" w:rsidRPr="007A3749">
        <w:t>ISIN LU0275164910</w:t>
      </w:r>
      <w:r w:rsidR="00C036D9" w:rsidRPr="007A3749">
        <w:t xml:space="preserve">, zkratkou </w:t>
      </w:r>
      <w:r w:rsidR="00C7706F" w:rsidRPr="007A3749">
        <w:t>BAAPEGAS a</w:t>
      </w:r>
      <w:r w:rsidRPr="007A3749">
        <w:t xml:space="preserve"> na burze ve Varšavě pod </w:t>
      </w:r>
      <w:r w:rsidR="00C036D9" w:rsidRPr="007A3749">
        <w:t xml:space="preserve">zkratkou </w:t>
      </w:r>
      <w:r w:rsidR="00C7706F" w:rsidRPr="007A3749">
        <w:t xml:space="preserve">PGS. </w:t>
      </w:r>
      <w:r w:rsidRPr="007A3749">
        <w:t>Akcie</w:t>
      </w:r>
      <w:r w:rsidR="00C7706F" w:rsidRPr="007A3749">
        <w:t xml:space="preserve"> PEGAS </w:t>
      </w:r>
      <w:r w:rsidR="004A3055" w:rsidRPr="007A3749">
        <w:t>NONWOVENS SA</w:t>
      </w:r>
      <w:r w:rsidR="00C7706F" w:rsidRPr="007A3749">
        <w:t xml:space="preserve"> </w:t>
      </w:r>
      <w:r w:rsidRPr="007A3749">
        <w:t xml:space="preserve">jsou od 19. března 2007 součástí </w:t>
      </w:r>
      <w:r w:rsidR="00C7706F" w:rsidRPr="007A3749">
        <w:t>PX index</w:t>
      </w:r>
      <w:r w:rsidRPr="007A3749">
        <w:t>u</w:t>
      </w:r>
      <w:r w:rsidR="00C7706F" w:rsidRPr="007A3749">
        <w:t>,</w:t>
      </w:r>
      <w:r w:rsidRPr="007A3749">
        <w:t xml:space="preserve"> jenž se sestává</w:t>
      </w:r>
      <w:r w:rsidR="00EB18EC" w:rsidRPr="007A3749">
        <w:t xml:space="preserve"> ze všech hlavních emisí na B</w:t>
      </w:r>
      <w:r w:rsidRPr="007A3749">
        <w:t>CP</w:t>
      </w:r>
      <w:r w:rsidR="00EB18EC" w:rsidRPr="007A3749">
        <w:t>P</w:t>
      </w:r>
      <w:r w:rsidRPr="007A3749">
        <w:t>.</w:t>
      </w:r>
      <w:r w:rsidR="00C7706F" w:rsidRPr="007A3749">
        <w:t xml:space="preserve"> </w:t>
      </w:r>
    </w:p>
    <w:p w:rsidR="006505EC" w:rsidRPr="007A3749" w:rsidRDefault="00EE3124" w:rsidP="007A3749">
      <w:pPr>
        <w:pStyle w:val="NormalWeb"/>
      </w:pPr>
      <w:r w:rsidRPr="007A3749">
        <w:t xml:space="preserve">V první polovině </w:t>
      </w:r>
      <w:r w:rsidR="00187ADB" w:rsidRPr="007A3749">
        <w:t xml:space="preserve">roku </w:t>
      </w:r>
      <w:r w:rsidRPr="007A3749">
        <w:t>201</w:t>
      </w:r>
      <w:r w:rsidR="00E550D3">
        <w:t>7</w:t>
      </w:r>
      <w:r w:rsidR="006505EC" w:rsidRPr="007A3749">
        <w:t xml:space="preserve"> se akcie PEGASu na BC</w:t>
      </w:r>
      <w:r w:rsidR="00C00806" w:rsidRPr="007A3749">
        <w:t>P</w:t>
      </w:r>
      <w:r w:rsidR="006505EC" w:rsidRPr="007A3749">
        <w:t xml:space="preserve">P zobchodovaly v celkovém objemu </w:t>
      </w:r>
      <w:r w:rsidR="00612599">
        <w:t>1 184</w:t>
      </w:r>
      <w:r w:rsidR="00612599" w:rsidRPr="007A3749">
        <w:t xml:space="preserve"> </w:t>
      </w:r>
      <w:r w:rsidR="00B37D73" w:rsidRPr="007A3749">
        <w:t>milionů</w:t>
      </w:r>
      <w:r w:rsidR="006505EC" w:rsidRPr="007A3749">
        <w:t xml:space="preserve"> Kč a na burze ve Varšavě v celkovém objemu </w:t>
      </w:r>
      <w:r w:rsidR="007E725A">
        <w:t>6,2</w:t>
      </w:r>
      <w:r w:rsidR="00B37D73" w:rsidRPr="007A3749">
        <w:t xml:space="preserve"> </w:t>
      </w:r>
      <w:r w:rsidR="00326B49" w:rsidRPr="007A3749">
        <w:t>milionu</w:t>
      </w:r>
      <w:r w:rsidR="006505EC" w:rsidRPr="007A3749">
        <w:t xml:space="preserve"> PLN. Nejnižší cena byl</w:t>
      </w:r>
      <w:r w:rsidR="00D04D50" w:rsidRPr="007A3749">
        <w:t>a</w:t>
      </w:r>
      <w:r w:rsidR="00C036D9" w:rsidRPr="007A3749">
        <w:t xml:space="preserve"> </w:t>
      </w:r>
      <w:r w:rsidR="005F221E" w:rsidRPr="007A3749">
        <w:t>v průběhu</w:t>
      </w:r>
      <w:r w:rsidR="00C036D9" w:rsidRPr="007A3749">
        <w:t xml:space="preserve"> </w:t>
      </w:r>
      <w:r w:rsidR="0084562B" w:rsidRPr="007A3749">
        <w:t xml:space="preserve">prvních </w:t>
      </w:r>
      <w:r w:rsidR="005F221E" w:rsidRPr="007A3749">
        <w:t>šesti</w:t>
      </w:r>
      <w:r w:rsidR="00C036D9" w:rsidRPr="007A3749">
        <w:t xml:space="preserve"> měsíců</w:t>
      </w:r>
      <w:r w:rsidR="00D04D50" w:rsidRPr="007A3749">
        <w:t xml:space="preserve"> </w:t>
      </w:r>
      <w:r w:rsidR="00801657" w:rsidRPr="007A3749">
        <w:t>roku 201</w:t>
      </w:r>
      <w:r w:rsidR="00E550D3">
        <w:t>7</w:t>
      </w:r>
      <w:r w:rsidR="0084562B" w:rsidRPr="007A3749">
        <w:t xml:space="preserve"> </w:t>
      </w:r>
      <w:r w:rsidR="00612599">
        <w:t>759</w:t>
      </w:r>
      <w:r w:rsidR="00996FAE">
        <w:t>,10</w:t>
      </w:r>
      <w:r w:rsidR="001D4B26" w:rsidRPr="007A3749">
        <w:t xml:space="preserve"> </w:t>
      </w:r>
      <w:r w:rsidR="00C036D9" w:rsidRPr="007A3749">
        <w:t>K</w:t>
      </w:r>
      <w:r w:rsidR="00C036D9" w:rsidRPr="00BE2338">
        <w:t>č</w:t>
      </w:r>
      <w:r w:rsidR="005E065A">
        <w:t xml:space="preserve"> </w:t>
      </w:r>
      <w:r w:rsidR="00C036D9" w:rsidRPr="007A3749">
        <w:t>a nejvyšší</w:t>
      </w:r>
      <w:r w:rsidR="006505EC" w:rsidRPr="007A3749">
        <w:t xml:space="preserve"> </w:t>
      </w:r>
      <w:r w:rsidR="00612599">
        <w:t>970,00</w:t>
      </w:r>
      <w:r w:rsidR="001D4B26" w:rsidRPr="007A3749">
        <w:t xml:space="preserve"> </w:t>
      </w:r>
      <w:r w:rsidR="00BD78CE" w:rsidRPr="007A3749">
        <w:t xml:space="preserve">Kč </w:t>
      </w:r>
      <w:r w:rsidR="006505EC" w:rsidRPr="007A3749">
        <w:t>na</w:t>
      </w:r>
      <w:r w:rsidR="00C00806" w:rsidRPr="007A3749">
        <w:t xml:space="preserve"> BCP</w:t>
      </w:r>
      <w:r w:rsidR="001736F6" w:rsidRPr="007A3749">
        <w:t>P.</w:t>
      </w:r>
    </w:p>
    <w:p w:rsidR="00C7706F" w:rsidRPr="007A3749" w:rsidRDefault="006505EC" w:rsidP="007A3749">
      <w:pPr>
        <w:pStyle w:val="NormalWeb"/>
      </w:pPr>
      <w:r w:rsidRPr="007A3749">
        <w:t>Z</w:t>
      </w:r>
      <w:r w:rsidR="00C036D9" w:rsidRPr="007A3749">
        <w:t>ávěrečná</w:t>
      </w:r>
      <w:r w:rsidR="0028728A" w:rsidRPr="007A3749">
        <w:t xml:space="preserve"> cena 30. června 201</w:t>
      </w:r>
      <w:r w:rsidR="00E550D3">
        <w:t>7</w:t>
      </w:r>
      <w:r w:rsidRPr="007A3749">
        <w:t xml:space="preserve"> činila </w:t>
      </w:r>
      <w:r w:rsidR="00612599">
        <w:t>917</w:t>
      </w:r>
      <w:r w:rsidR="00996FAE">
        <w:t>,60</w:t>
      </w:r>
      <w:r w:rsidR="001D4B26" w:rsidRPr="007A3749">
        <w:t xml:space="preserve"> </w:t>
      </w:r>
      <w:r w:rsidRPr="007A3749">
        <w:t xml:space="preserve">Kč </w:t>
      </w:r>
      <w:r w:rsidR="00C00806" w:rsidRPr="007A3749">
        <w:t>na BCP</w:t>
      </w:r>
      <w:r w:rsidRPr="007A3749">
        <w:t xml:space="preserve">P </w:t>
      </w:r>
      <w:r w:rsidR="00C00806" w:rsidRPr="007A3749">
        <w:t xml:space="preserve">a tržní kapitalizace dosáhla </w:t>
      </w:r>
      <w:r w:rsidR="007E725A">
        <w:t>8</w:t>
      </w:r>
      <w:r w:rsidR="00326B49" w:rsidRPr="007A3749">
        <w:t>,</w:t>
      </w:r>
      <w:r w:rsidR="00BE2338">
        <w:t>0</w:t>
      </w:r>
      <w:r w:rsidR="00C00806" w:rsidRPr="007A3749">
        <w:t xml:space="preserve"> miliard</w:t>
      </w:r>
      <w:r w:rsidR="006762F4" w:rsidRPr="007A3749">
        <w:t>y</w:t>
      </w:r>
      <w:r w:rsidR="00C00806" w:rsidRPr="007A3749">
        <w:t xml:space="preserve"> Kč</w:t>
      </w:r>
      <w:r w:rsidR="003E2244" w:rsidRPr="007A3749">
        <w:t>.</w:t>
      </w:r>
      <w:r w:rsidR="00C00806" w:rsidRPr="007A3749">
        <w:t xml:space="preserve"> </w:t>
      </w:r>
    </w:p>
    <w:p w:rsidR="00331EE0" w:rsidRDefault="00331EE0" w:rsidP="00331EE0">
      <w:pPr>
        <w:pStyle w:val="Heading4"/>
      </w:pPr>
      <w:r>
        <w:t>Následné události</w:t>
      </w:r>
    </w:p>
    <w:p w:rsidR="00FA1E35" w:rsidRPr="00811AE0" w:rsidRDefault="00FA1E35" w:rsidP="00FA1E35">
      <w:pPr>
        <w:pStyle w:val="Heading5"/>
        <w:numPr>
          <w:ilvl w:val="0"/>
          <w:numId w:val="0"/>
        </w:numPr>
        <w:rPr>
          <w:b/>
          <w:i/>
          <w:color w:val="000000" w:themeColor="text1"/>
        </w:rPr>
      </w:pPr>
      <w:r>
        <w:rPr>
          <w:b/>
          <w:i/>
          <w:color w:val="000000" w:themeColor="text1"/>
        </w:rPr>
        <w:t>Hlášení akcionářů</w:t>
      </w:r>
    </w:p>
    <w:p w:rsidR="00FA01BE" w:rsidRDefault="00811AE0" w:rsidP="00331EE0">
      <w:r w:rsidRPr="00811AE0">
        <w:t>Dne 17. července 2017 obdržela Společnost hlášení akcionáře o tom, že společnost R2G Wealth s.r.o. držela ke dni 11. července 2017 81 387 akcií společnosti PEGAS NONWOVENS SA, což představovalo 0,93% podíl na základním kapitálu a hlasovacích právech Společnosti. Předchozí hlášení akcionáře R2G Wealth s.r.o. Společnost obdržela dne 2</w:t>
      </w:r>
      <w:r w:rsidR="003131FA">
        <w:t>8</w:t>
      </w:r>
      <w:r w:rsidRPr="00811AE0">
        <w:t xml:space="preserve">. </w:t>
      </w:r>
      <w:r w:rsidR="003131FA">
        <w:t xml:space="preserve">dubna </w:t>
      </w:r>
      <w:r w:rsidRPr="00811AE0">
        <w:t xml:space="preserve">2017. Podle tohoto hlášení společnost R2G Wealth s.r.o. držela ke dni 7. dubna 2017 489 232 akcií Společnosti, což představovalo 5,30% podíl na základním kapitálu a hlasovacích právech Společnosti. </w:t>
      </w:r>
    </w:p>
    <w:p w:rsidR="00FA01BE" w:rsidRDefault="00811AE0" w:rsidP="00331EE0">
      <w:r w:rsidRPr="00811AE0">
        <w:t>Dne 17. července 2017 obdržela Společnost hlášení akcionáře o tom, že R2G Foundation držela ke dni 11. července 2017 přímo 612</w:t>
      </w:r>
      <w:r w:rsidR="00FA01BE">
        <w:t> </w:t>
      </w:r>
      <w:r w:rsidRPr="00811AE0">
        <w:t>854 a nepřímo prostřednictvím společnosti R2G Wealth s.r.o. 81</w:t>
      </w:r>
      <w:r w:rsidR="00FA01BE">
        <w:t> </w:t>
      </w:r>
      <w:r w:rsidRPr="00811AE0">
        <w:t>387, tj. celkem 694</w:t>
      </w:r>
      <w:r w:rsidR="00FA01BE">
        <w:t> </w:t>
      </w:r>
      <w:r w:rsidRPr="00811AE0">
        <w:t xml:space="preserve">241 akcií společnosti PEGAS NONWOVENS SA, což dohromady představovalo 7,92% podíl na základním kapitálu a hlasovacích právech Společnosti. </w:t>
      </w:r>
    </w:p>
    <w:p w:rsidR="00FA01BE" w:rsidRDefault="00811AE0" w:rsidP="00331EE0">
      <w:r w:rsidRPr="00811AE0">
        <w:t xml:space="preserve">Dne 17. července 2017 obdržela Společnost hlášení akcionáře o tom, že R2G Foundation držela ke dni 13. července 2017 0 akcií společnosti PEGAS NONWOVENS SA, což představovalo 0,0% podíl na základním kapitálu a hlasovacích právech Společnosti. </w:t>
      </w:r>
    </w:p>
    <w:p w:rsidR="00811AE0" w:rsidRDefault="00811AE0" w:rsidP="00331EE0">
      <w:r w:rsidRPr="00811AE0">
        <w:t>Dne 17. července 2017 obdržela Společnost hlášení akcionáře o tom, že společnost R2G Rohan S.à r.l. držela ke dni 13.</w:t>
      </w:r>
      <w:r w:rsidR="00864FC2">
        <w:t> </w:t>
      </w:r>
      <w:r w:rsidRPr="00811AE0">
        <w:t>července</w:t>
      </w:r>
      <w:r w:rsidR="00864FC2">
        <w:t> </w:t>
      </w:r>
      <w:r w:rsidRPr="00811AE0">
        <w:t>2017</w:t>
      </w:r>
      <w:r w:rsidR="00864FC2">
        <w:t xml:space="preserve"> </w:t>
      </w:r>
      <w:r w:rsidRPr="00811AE0">
        <w:t>nepřímo</w:t>
      </w:r>
      <w:r w:rsidR="00864FC2">
        <w:t xml:space="preserve"> </w:t>
      </w:r>
      <w:r w:rsidRPr="00811AE0">
        <w:t>prostřednic</w:t>
      </w:r>
      <w:r w:rsidR="00864FC2">
        <w:t>-</w:t>
      </w:r>
      <w:r w:rsidRPr="00811AE0">
        <w:t>tvím R2G Rohan Czech s.r.o. 694</w:t>
      </w:r>
      <w:r w:rsidR="00FA01BE">
        <w:t> </w:t>
      </w:r>
      <w:r w:rsidRPr="00811AE0">
        <w:t>241 akcií společnosti PEGAS NONWOVENS SA, což představovalo 7,92% podíl na základním kapitálu a hlasovacích právech Společnosti.</w:t>
      </w:r>
    </w:p>
    <w:p w:rsidR="00067DC3" w:rsidRDefault="00067DC3" w:rsidP="00331EE0">
      <w:r w:rsidRPr="00067DC3">
        <w:t>Dne 18. srpna 2017 obdržela Společnost hlášení akcionáře o tom, že společnost R2G Rohan S.à r.l. držela ke dni 18. srpna 2017 nepřímo prostřednictvím společnosti R2G Rohan Czech s.r.o. 948 375 akcií společnosti PEGAS NONWOVENS SA, což představuje 10,82% podíl na základním kapitálu a hlasovacích právech Společnosti.</w:t>
      </w:r>
    </w:p>
    <w:p w:rsidR="00FA1E35" w:rsidRDefault="00FA1E35" w:rsidP="00FA1E35">
      <w:pPr>
        <w:pStyle w:val="Heading5"/>
        <w:numPr>
          <w:ilvl w:val="0"/>
          <w:numId w:val="0"/>
        </w:numPr>
        <w:rPr>
          <w:b/>
          <w:i/>
          <w:color w:val="000000" w:themeColor="text1"/>
        </w:rPr>
      </w:pPr>
      <w:r>
        <w:rPr>
          <w:b/>
          <w:i/>
          <w:color w:val="000000" w:themeColor="text1"/>
        </w:rPr>
        <w:t>Snížení kapitálu</w:t>
      </w:r>
    </w:p>
    <w:p w:rsidR="00FA1E35" w:rsidRDefault="00FA1E35" w:rsidP="00FA1E35">
      <w:r>
        <w:t xml:space="preserve">K datu konání řádné valné hromady (15. června 2017) byl základní kapitál Společnosti tvořen 9 229 400 ks akcií. Řádná valná hromada </w:t>
      </w:r>
      <w:r w:rsidRPr="00544669">
        <w:t>rozhodla o snížení z</w:t>
      </w:r>
      <w:r>
        <w:t>ákladního kapitálu na částku 10 867 </w:t>
      </w:r>
      <w:r w:rsidRPr="00544669">
        <w:t xml:space="preserve">185,16 EUR prostřednictvím zrušení 465 541 kusů vlastních akciích držených společností PEGAS (jejichž celková jmenovitá hodnota činí 577 270,84 EUR). Základní kapitál po tomto snížení </w:t>
      </w:r>
      <w:r>
        <w:t xml:space="preserve">je </w:t>
      </w:r>
      <w:r w:rsidRPr="00544669">
        <w:t>tedy tvořen 8 763 859 ks akcií o jmenovité hodnotě 1,24 EUR.</w:t>
      </w:r>
    </w:p>
    <w:p w:rsidR="00FA1E35" w:rsidRDefault="00FA1E35" w:rsidP="00B45D2F">
      <w:pPr>
        <w:rPr>
          <w:b/>
          <w:i/>
          <w:color w:val="000000" w:themeColor="text1"/>
        </w:rPr>
      </w:pPr>
      <w:r>
        <w:t>Snížení kapitálu bylo</w:t>
      </w:r>
      <w:r w:rsidR="00B45D2F">
        <w:t xml:space="preserve"> následně</w:t>
      </w:r>
      <w:r>
        <w:t xml:space="preserve"> efektivně registrováno Lucemburským obchodním rejstříkem v souladu s příslušnými zákony</w:t>
      </w:r>
      <w:r w:rsidR="00B45D2F">
        <w:t>. Ke dni 27. července 2017 bylo snížení kapitálu promítnuto v příslušných depozitářích cenných papírů.</w:t>
      </w:r>
    </w:p>
    <w:p w:rsidR="00811AE0" w:rsidRPr="00811AE0" w:rsidRDefault="00811AE0" w:rsidP="00811AE0">
      <w:pPr>
        <w:pStyle w:val="Heading5"/>
        <w:numPr>
          <w:ilvl w:val="0"/>
          <w:numId w:val="0"/>
        </w:numPr>
        <w:rPr>
          <w:b/>
          <w:i/>
          <w:color w:val="000000" w:themeColor="text1"/>
        </w:rPr>
      </w:pPr>
      <w:r w:rsidRPr="00811AE0">
        <w:rPr>
          <w:b/>
          <w:i/>
          <w:color w:val="000000" w:themeColor="text1"/>
        </w:rPr>
        <w:t>Dobrovolná nabídka převzetí</w:t>
      </w:r>
    </w:p>
    <w:p w:rsidR="00811AE0" w:rsidRDefault="00811AE0" w:rsidP="00331EE0">
      <w:r>
        <w:t>Dne 17. července 2017 oznámila společnost R2G Rohan Czech s.r.o. rozhodnutí o záměru nabídnout v rámci dobrovolné nabídky převzetí PEGASu všem jeho akcionářům odkup jejich akci</w:t>
      </w:r>
      <w:r w:rsidR="00475C5A">
        <w:t>í</w:t>
      </w:r>
      <w:r>
        <w:t xml:space="preserve">, a to za cenu 1 010 Kč na jednu akcii. </w:t>
      </w:r>
    </w:p>
    <w:p w:rsidR="00B45D2F" w:rsidRDefault="00831FBD" w:rsidP="00C65512">
      <w:pPr>
        <w:spacing w:before="0" w:beforeAutospacing="0" w:after="240" w:afterAutospacing="0"/>
      </w:pPr>
      <w:r>
        <w:t xml:space="preserve">Dne 14. srpna 2017 Společnost oznámila, že obdržela od společnosti R2G Rohan Czech s.r.o. dobrovolnou nabídku převzetí za účelem nabytí akcií Společnosti za cenu ve výši 1 010 Kč za akcii. </w:t>
      </w:r>
    </w:p>
    <w:p w:rsidR="00B45D2F" w:rsidRDefault="001C1AE9" w:rsidP="00C65512">
      <w:pPr>
        <w:spacing w:before="0" w:beforeAutospacing="0" w:after="240" w:afterAutospacing="0"/>
      </w:pPr>
      <w:r>
        <w:t xml:space="preserve">Dne </w:t>
      </w:r>
      <w:r w:rsidR="004A756A">
        <w:t>21</w:t>
      </w:r>
      <w:r>
        <w:t xml:space="preserve">. srpna 2017 Společnost oznámila, že představenstvo Společnosti </w:t>
      </w:r>
      <w:r w:rsidRPr="001C1AE9">
        <w:t>vypracoval</w:t>
      </w:r>
      <w:r>
        <w:t>o</w:t>
      </w:r>
      <w:r w:rsidRPr="001C1AE9">
        <w:t xml:space="preserve"> a </w:t>
      </w:r>
      <w:r>
        <w:t xml:space="preserve">následně navrhovateli a České národní bance </w:t>
      </w:r>
      <w:r w:rsidRPr="001C1AE9">
        <w:t>doručil</w:t>
      </w:r>
      <w:r>
        <w:t>o</w:t>
      </w:r>
      <w:r w:rsidRPr="001C1AE9">
        <w:t xml:space="preserve"> stanovisko k dobrovolné nabídce převzetí</w:t>
      </w:r>
      <w:r>
        <w:t>.</w:t>
      </w:r>
    </w:p>
    <w:p w:rsidR="00B45D2F" w:rsidRDefault="00B45D2F" w:rsidP="00831FBD">
      <w:pPr>
        <w:sectPr w:rsidR="00B45D2F" w:rsidSect="005A7FA2">
          <w:type w:val="continuous"/>
          <w:pgSz w:w="11906" w:h="16838"/>
          <w:pgMar w:top="1417" w:right="1417" w:bottom="1417" w:left="1417" w:header="708" w:footer="708" w:gutter="0"/>
          <w:cols w:num="2" w:space="708"/>
          <w:docGrid w:linePitch="360"/>
        </w:sectPr>
      </w:pPr>
    </w:p>
    <w:p w:rsidR="00B45D2F" w:rsidRDefault="00B45D2F" w:rsidP="00831FBD">
      <w:pPr>
        <w:sectPr w:rsidR="00B45D2F" w:rsidSect="00B45D2F">
          <w:pgSz w:w="11906" w:h="16838"/>
          <w:pgMar w:top="1417" w:right="1417" w:bottom="1417" w:left="1417" w:header="708" w:footer="708" w:gutter="0"/>
          <w:cols w:num="2" w:space="708"/>
          <w:docGrid w:linePitch="360"/>
        </w:sectPr>
      </w:pPr>
    </w:p>
    <w:p w:rsidR="005A7FA2" w:rsidRDefault="005A7FA2" w:rsidP="005A7FA2">
      <w:pPr>
        <w:rPr>
          <w:b/>
          <w:color w:val="E2001C"/>
        </w:rPr>
      </w:pPr>
      <w:r w:rsidRPr="008A66C6">
        <w:rPr>
          <w:b/>
          <w:color w:val="E2001C"/>
        </w:rPr>
        <w:t>Vývoj ceny akcie PEGASu na BCPP (od 1. ledna 201</w:t>
      </w:r>
      <w:r>
        <w:rPr>
          <w:b/>
          <w:color w:val="E2001C"/>
        </w:rPr>
        <w:t>7</w:t>
      </w:r>
      <w:r w:rsidRPr="008A66C6">
        <w:rPr>
          <w:b/>
          <w:color w:val="E2001C"/>
        </w:rPr>
        <w:t xml:space="preserve"> do 30. června 201</w:t>
      </w:r>
      <w:r>
        <w:rPr>
          <w:b/>
          <w:color w:val="E2001C"/>
        </w:rPr>
        <w:t>7</w:t>
      </w:r>
      <w:r w:rsidRPr="008A66C6">
        <w:rPr>
          <w:b/>
          <w:color w:val="E2001C"/>
        </w:rPr>
        <w:t>)</w:t>
      </w:r>
    </w:p>
    <w:p w:rsidR="005A7FA2" w:rsidRDefault="005A7FA2" w:rsidP="000B0299">
      <w:pPr>
        <w:spacing w:after="0" w:afterAutospacing="0"/>
        <w:jc w:val="center"/>
      </w:pPr>
      <w:r>
        <w:rPr>
          <w:noProof/>
          <w:lang w:val="en-US" w:eastAsia="en-US"/>
        </w:rPr>
        <w:drawing>
          <wp:inline distT="0" distB="0" distL="0" distR="0" wp14:anchorId="3FA2AB08" wp14:editId="5E883A81">
            <wp:extent cx="5143500" cy="3091799"/>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7065" cy="3093942"/>
                    </a:xfrm>
                    <a:prstGeom prst="rect">
                      <a:avLst/>
                    </a:prstGeom>
                    <a:noFill/>
                  </pic:spPr>
                </pic:pic>
              </a:graphicData>
            </a:graphic>
          </wp:inline>
        </w:drawing>
      </w:r>
    </w:p>
    <w:p w:rsidR="005A7FA2" w:rsidRDefault="005A7FA2" w:rsidP="005A7FA2">
      <w:pPr>
        <w:spacing w:before="0" w:beforeAutospacing="0"/>
        <w:jc w:val="left"/>
      </w:pPr>
      <w:r>
        <w:rPr>
          <w:i/>
          <w:sz w:val="20"/>
          <w:szCs w:val="20"/>
        </w:rPr>
        <w:t>Zdroj: BCPP</w:t>
      </w:r>
    </w:p>
    <w:p w:rsidR="005A7FA2" w:rsidRDefault="005A7FA2" w:rsidP="005A7FA2">
      <w:pPr>
        <w:spacing w:before="0" w:beforeAutospacing="0" w:after="0" w:afterAutospacing="0"/>
        <w:jc w:val="center"/>
      </w:pPr>
      <w:r>
        <w:rPr>
          <w:noProof/>
          <w:lang w:val="en-US" w:eastAsia="en-US"/>
        </w:rPr>
        <w:drawing>
          <wp:inline distT="0" distB="0" distL="0" distR="0" wp14:anchorId="2B395695" wp14:editId="51BB654C">
            <wp:extent cx="5118172" cy="3076575"/>
            <wp:effectExtent l="0" t="0" r="635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613" cy="3085857"/>
                    </a:xfrm>
                    <a:prstGeom prst="rect">
                      <a:avLst/>
                    </a:prstGeom>
                    <a:noFill/>
                  </pic:spPr>
                </pic:pic>
              </a:graphicData>
            </a:graphic>
          </wp:inline>
        </w:drawing>
      </w:r>
    </w:p>
    <w:p w:rsidR="005A7FA2" w:rsidRDefault="005A7FA2" w:rsidP="005A7FA2">
      <w:pPr>
        <w:spacing w:before="0" w:beforeAutospacing="0"/>
        <w:jc w:val="left"/>
      </w:pPr>
      <w:r>
        <w:rPr>
          <w:i/>
          <w:sz w:val="20"/>
          <w:szCs w:val="20"/>
        </w:rPr>
        <w:t>Zdroj: BCPP</w:t>
      </w:r>
    </w:p>
    <w:p w:rsidR="005A7FA2" w:rsidRDefault="005A7FA2" w:rsidP="005A7FA2">
      <w:pPr>
        <w:spacing w:before="0" w:beforeAutospacing="0" w:after="0" w:afterAutospacing="0"/>
        <w:jc w:val="left"/>
      </w:pPr>
    </w:p>
    <w:p w:rsidR="005A7FA2" w:rsidRPr="00864FC2" w:rsidRDefault="005A7FA2" w:rsidP="005A7FA2">
      <w:pPr>
        <w:spacing w:before="0" w:beforeAutospacing="0" w:after="0" w:afterAutospacing="0"/>
        <w:jc w:val="left"/>
        <w:sectPr w:rsidR="005A7FA2" w:rsidRPr="00864FC2" w:rsidSect="00864FC2">
          <w:type w:val="continuous"/>
          <w:pgSz w:w="11906" w:h="16838"/>
          <w:pgMar w:top="1417" w:right="1417" w:bottom="1417" w:left="1417" w:header="708" w:footer="708" w:gutter="0"/>
          <w:cols w:space="708"/>
          <w:docGrid w:linePitch="360"/>
        </w:sectPr>
      </w:pPr>
    </w:p>
    <w:p w:rsidR="00943A77" w:rsidRDefault="00943A77" w:rsidP="00396F0C">
      <w:pPr>
        <w:pStyle w:val="Heading1"/>
      </w:pPr>
      <w:bookmarkStart w:id="40" w:name="_Toc269907494"/>
      <w:bookmarkStart w:id="41" w:name="_Toc487810685"/>
      <w:r w:rsidRPr="008A66C6">
        <w:t>Dividend</w:t>
      </w:r>
      <w:r w:rsidR="00E96538" w:rsidRPr="008A66C6">
        <w:t>ová politika a vyhlášení dividendy</w:t>
      </w:r>
      <w:bookmarkEnd w:id="40"/>
      <w:bookmarkEnd w:id="41"/>
    </w:p>
    <w:p w:rsidR="006E2C36" w:rsidRDefault="006E2C36" w:rsidP="006E2C36">
      <w:pPr>
        <w:sectPr w:rsidR="006E2C36" w:rsidSect="00B520ED">
          <w:pgSz w:w="11906" w:h="16838"/>
          <w:pgMar w:top="1417" w:right="1417" w:bottom="1417" w:left="1417" w:header="708" w:footer="708" w:gutter="0"/>
          <w:cols w:space="708"/>
          <w:docGrid w:linePitch="360"/>
        </w:sectPr>
      </w:pPr>
    </w:p>
    <w:p w:rsidR="006E2C36" w:rsidRPr="006E2C36" w:rsidRDefault="006E2C36" w:rsidP="006E2C36"/>
    <w:p w:rsidR="00C52BAC" w:rsidRPr="007A3749" w:rsidRDefault="00C52BAC" w:rsidP="0028513E">
      <w:pPr>
        <w:pStyle w:val="NormalWeb"/>
      </w:pPr>
      <w:r w:rsidRPr="007A3749">
        <w:t>Řádná valná hromada společnosti PEGAS NONWOVENS SA, jež se konala dne 1</w:t>
      </w:r>
      <w:r w:rsidR="00CB450F" w:rsidRPr="007A3749">
        <w:t>5</w:t>
      </w:r>
      <w:r w:rsidR="00170FA2">
        <w:t>. </w:t>
      </w:r>
      <w:r w:rsidRPr="007A3749">
        <w:t>června 201</w:t>
      </w:r>
      <w:r w:rsidR="00800C84">
        <w:t>7</w:t>
      </w:r>
      <w:r w:rsidRPr="007A3749">
        <w:t xml:space="preserve"> v Lucemburku, rozhodla o schválení navržené výplaty dividendy ve výši </w:t>
      </w:r>
      <w:r w:rsidR="00170FA2" w:rsidRPr="00170FA2">
        <w:t xml:space="preserve">11 </w:t>
      </w:r>
      <w:r w:rsidR="00800C84">
        <w:t>998 220</w:t>
      </w:r>
      <w:r w:rsidR="003C4710" w:rsidRPr="007A3749">
        <w:t xml:space="preserve"> </w:t>
      </w:r>
      <w:r w:rsidRPr="007A3749">
        <w:t>EUR, tj. 1,</w:t>
      </w:r>
      <w:r w:rsidR="00800C84">
        <w:t>30</w:t>
      </w:r>
      <w:r w:rsidRPr="007A3749">
        <w:t xml:space="preserve"> EUR na akcii. Zdrojem výplaty dividendy bude zisk roku 201</w:t>
      </w:r>
      <w:r w:rsidR="00800C84">
        <w:t>6</w:t>
      </w:r>
      <w:r w:rsidRPr="007A3749">
        <w:t xml:space="preserve">. </w:t>
      </w:r>
      <w:r w:rsidR="00091A85">
        <w:t xml:space="preserve">Dividenda </w:t>
      </w:r>
      <w:r w:rsidR="00331EE0">
        <w:t>v celkové výši 6</w:t>
      </w:r>
      <w:r w:rsidR="00FA01BE">
        <w:t>05 203,30</w:t>
      </w:r>
      <w:r w:rsidR="00331EE0">
        <w:t xml:space="preserve"> EUR </w:t>
      </w:r>
      <w:r w:rsidR="00091A85">
        <w:t xml:space="preserve">nebude vyplacena na </w:t>
      </w:r>
      <w:r w:rsidR="00331EE0">
        <w:t>46</w:t>
      </w:r>
      <w:r w:rsidR="00FA01BE">
        <w:t>5</w:t>
      </w:r>
      <w:r w:rsidR="00331EE0">
        <w:t> </w:t>
      </w:r>
      <w:r w:rsidR="00FA01BE">
        <w:t>541</w:t>
      </w:r>
      <w:r w:rsidR="00091A85">
        <w:t xml:space="preserve"> ks vlastních akcií Společnosti</w:t>
      </w:r>
      <w:r w:rsidR="00810C0A">
        <w:t>, o které byl rozhodnutím valné hromady snížen základní kapitál Společnosti</w:t>
      </w:r>
      <w:r w:rsidR="00091A85">
        <w:t xml:space="preserve">. </w:t>
      </w:r>
      <w:r w:rsidRPr="007A3749">
        <w:t>Rozhodný den pro vznik nároku na dividendu (tj. den, na jehož konci jsou akcie s nárokem na dividendu registrovány na účtech oprávněných osob ve vypořádacích systémech Centrálního depozitáře cenných papírů, a.s., Krajowy Depozyt Papierów Wartościowych Spółka Akcyjna či jiných příslušných vypořádacích systémů) byl stanoven na 1</w:t>
      </w:r>
      <w:r w:rsidR="00800C84">
        <w:t>3</w:t>
      </w:r>
      <w:r w:rsidRPr="007A3749">
        <w:t>. října 201</w:t>
      </w:r>
      <w:r w:rsidR="00800C84">
        <w:t>7</w:t>
      </w:r>
      <w:r w:rsidRPr="007A3749">
        <w:t xml:space="preserve"> a</w:t>
      </w:r>
      <w:r w:rsidR="00810C0A">
        <w:t xml:space="preserve"> </w:t>
      </w:r>
      <w:r w:rsidRPr="007A3749">
        <w:t xml:space="preserve">den výplaty dividendy na </w:t>
      </w:r>
      <w:r w:rsidR="00871F2A" w:rsidRPr="007A3749">
        <w:t>2</w:t>
      </w:r>
      <w:r w:rsidR="00170FA2">
        <w:t>6</w:t>
      </w:r>
      <w:r w:rsidRPr="007A3749">
        <w:t>. října 201</w:t>
      </w:r>
      <w:r w:rsidR="00800C84">
        <w:t>7</w:t>
      </w:r>
      <w:r w:rsidRPr="007A3749">
        <w:t>.</w:t>
      </w:r>
    </w:p>
    <w:p w:rsidR="00111C15" w:rsidRPr="007A3749" w:rsidRDefault="0028728A" w:rsidP="007A3749">
      <w:pPr>
        <w:pStyle w:val="NormalWeb"/>
      </w:pPr>
      <w:r w:rsidRPr="007A3749">
        <w:t xml:space="preserve">Podaří-li se udržet uspokojivé finanční výsledky a nevyskytnou-li se jiné atraktivní </w:t>
      </w:r>
      <w:r w:rsidR="003C4710" w:rsidRPr="007A3749">
        <w:t xml:space="preserve">investiční </w:t>
      </w:r>
      <w:r w:rsidRPr="007A3749">
        <w:t>příležitosti, bude se PEGAS snažit pokračovat ve své progresivní dividendové politice. Konkrétní cíle jako poměr výplaty dividendy na čistém zisku nebo předpokládaný dividendový výnos nebyly Společností stanoveny.</w:t>
      </w:r>
    </w:p>
    <w:p w:rsidR="00C7706F" w:rsidRPr="007A3749" w:rsidRDefault="00C7706F" w:rsidP="007A3749"/>
    <w:p w:rsidR="00F85AB0" w:rsidRPr="007A3749" w:rsidRDefault="00F85AB0" w:rsidP="007A3749">
      <w:pPr>
        <w:sectPr w:rsidR="00F85AB0" w:rsidRPr="007A3749" w:rsidSect="006E2C36">
          <w:type w:val="continuous"/>
          <w:pgSz w:w="11906" w:h="16838"/>
          <w:pgMar w:top="1417" w:right="1417" w:bottom="1417" w:left="1417" w:header="708" w:footer="708" w:gutter="0"/>
          <w:cols w:num="2" w:space="708"/>
          <w:docGrid w:linePitch="360"/>
        </w:sectPr>
      </w:pPr>
    </w:p>
    <w:p w:rsidR="00943A77" w:rsidRDefault="00136A1A" w:rsidP="00396F0C">
      <w:pPr>
        <w:pStyle w:val="Heading1"/>
      </w:pPr>
      <w:bookmarkStart w:id="42" w:name="_Toc269907495"/>
      <w:bookmarkStart w:id="43" w:name="_Toc487810686"/>
      <w:r w:rsidRPr="007A3749">
        <w:t>Zpráva o vztazích</w:t>
      </w:r>
      <w:bookmarkEnd w:id="42"/>
      <w:bookmarkEnd w:id="43"/>
    </w:p>
    <w:p w:rsidR="006E2C36" w:rsidRDefault="006E2C36" w:rsidP="006E2C36">
      <w:pPr>
        <w:sectPr w:rsidR="006E2C36" w:rsidSect="002508E3">
          <w:pgSz w:w="11906" w:h="16838"/>
          <w:pgMar w:top="1417" w:right="1417" w:bottom="1417" w:left="1417" w:header="708" w:footer="708" w:gutter="0"/>
          <w:cols w:space="708"/>
          <w:docGrid w:linePitch="360"/>
        </w:sectPr>
      </w:pPr>
    </w:p>
    <w:p w:rsidR="00BD2B0F" w:rsidRPr="00781223" w:rsidRDefault="00BD2B0F" w:rsidP="00995FDF">
      <w:pPr>
        <w:pStyle w:val="Heading4"/>
        <w:jc w:val="left"/>
      </w:pPr>
      <w:r w:rsidRPr="008A66C6">
        <w:t>Odměňování exekutivní</w:t>
      </w:r>
      <w:r w:rsidR="00851A96" w:rsidRPr="008A66C6">
        <w:t>ch</w:t>
      </w:r>
      <w:r w:rsidRPr="008A66C6">
        <w:t xml:space="preserve"> a neexekutivních ředitelů</w:t>
      </w:r>
    </w:p>
    <w:p w:rsidR="008E60DA" w:rsidRPr="007A3749" w:rsidRDefault="008E60DA" w:rsidP="007A3749">
      <w:r w:rsidRPr="007A3749">
        <w:t xml:space="preserve">Společnost </w:t>
      </w:r>
      <w:r w:rsidR="000A3491" w:rsidRPr="007A3749">
        <w:t xml:space="preserve">PEGAS NONWOVENS SA </w:t>
      </w:r>
      <w:r w:rsidRPr="007A3749">
        <w:t>uzavřela se svými exekutivními a neexekutivními řediteli smlouv</w:t>
      </w:r>
      <w:r w:rsidR="002673F3" w:rsidRPr="007A3749">
        <w:t>y</w:t>
      </w:r>
      <w:r w:rsidRPr="007A3749">
        <w:t xml:space="preserve"> o poskytování služeb. </w:t>
      </w:r>
      <w:r w:rsidR="000A3491" w:rsidRPr="007A3749">
        <w:t>Exekutivní ředitelé získávají od dceřiných společností Společnosti odměny za své služby.</w:t>
      </w:r>
      <w:r w:rsidRPr="007A3749">
        <w:t xml:space="preserve"> </w:t>
      </w:r>
    </w:p>
    <w:p w:rsidR="00BD2B0F" w:rsidRDefault="008E60DA" w:rsidP="007A3749">
      <w:r w:rsidRPr="007A3749">
        <w:t xml:space="preserve">Exekutivní </w:t>
      </w:r>
      <w:r w:rsidR="002673F3" w:rsidRPr="007A3749">
        <w:t xml:space="preserve">ředitelé, resp. </w:t>
      </w:r>
      <w:r w:rsidRPr="007A3749">
        <w:t>člen</w:t>
      </w:r>
      <w:r w:rsidR="002673F3" w:rsidRPr="007A3749">
        <w:t>ové</w:t>
      </w:r>
      <w:r w:rsidRPr="007A3749">
        <w:t xml:space="preserve"> představenst</w:t>
      </w:r>
      <w:r w:rsidR="002673F3" w:rsidRPr="007A3749">
        <w:t>e</w:t>
      </w:r>
      <w:r w:rsidRPr="007A3749">
        <w:t>v</w:t>
      </w:r>
      <w:r w:rsidR="002673F3" w:rsidRPr="007A3749">
        <w:t xml:space="preserve"> a jednatelé v České republice</w:t>
      </w:r>
      <w:r w:rsidRPr="007A3749">
        <w:t xml:space="preserve"> smí používat služební automobily i pro soukromé účely. Kromě výše zmíněného</w:t>
      </w:r>
      <w:r w:rsidR="00BC115C" w:rsidRPr="007A3749">
        <w:t xml:space="preserve"> nevyužívají exekutivní ředitelé</w:t>
      </w:r>
      <w:r w:rsidRPr="007A3749">
        <w:t xml:space="preserve"> žádných dalších výhod.</w:t>
      </w:r>
    </w:p>
    <w:p w:rsidR="00D17321" w:rsidRPr="00781223" w:rsidRDefault="00D17321" w:rsidP="00D17321">
      <w:pPr>
        <w:pStyle w:val="Heading4"/>
      </w:pPr>
      <w:r w:rsidRPr="008A66C6">
        <w:t>Manažerský bonusový plán</w:t>
      </w:r>
    </w:p>
    <w:p w:rsidR="00D17321" w:rsidRPr="007A3749" w:rsidRDefault="00D17321" w:rsidP="00D17321">
      <w:r w:rsidRPr="007A3749">
        <w:t>Valná hromada schválila v roce 2008 principy bonusového plánu určeného vrcholovému managementu Společnosti na rok 2008 a následující finanční roky.</w:t>
      </w:r>
    </w:p>
    <w:p w:rsidR="00D17321" w:rsidRPr="007A3749" w:rsidRDefault="00D17321" w:rsidP="00D17321">
      <w:r w:rsidRPr="007A3749">
        <w:t>Hlavní principy bonusového plánu:</w:t>
      </w:r>
    </w:p>
    <w:p w:rsidR="00D17321" w:rsidRDefault="00D17321" w:rsidP="00D17321">
      <w:pPr>
        <w:pStyle w:val="ListParagraph"/>
        <w:numPr>
          <w:ilvl w:val="0"/>
          <w:numId w:val="34"/>
        </w:numPr>
        <w:spacing w:before="0" w:beforeAutospacing="0" w:after="120" w:afterAutospacing="0"/>
        <w:ind w:left="360"/>
      </w:pPr>
      <w:r w:rsidRPr="007A3749">
        <w:t>Plán byl vytvořen s cílem zajistit motivaci vrcholového managementu na plnění ekonomických cílů stanovených obchodním plánem Společnosti, které v tomto případě představuje ukazatel plánované EBITDA. Tento bonusový plán je platný na rok 2008 a roky následující.</w:t>
      </w:r>
    </w:p>
    <w:p w:rsidR="00D17321" w:rsidRPr="009B25FA" w:rsidRDefault="00D17321" w:rsidP="00D17321">
      <w:pPr>
        <w:pStyle w:val="ListParagraph"/>
        <w:numPr>
          <w:ilvl w:val="0"/>
          <w:numId w:val="34"/>
        </w:numPr>
        <w:spacing w:before="0" w:beforeAutospacing="0" w:after="120" w:afterAutospacing="0"/>
        <w:ind w:left="360"/>
      </w:pPr>
      <w:r w:rsidRPr="009B25FA">
        <w:t xml:space="preserve">Základem pro výpočet bonusu je ukazatel EBITDA za Skupinu </w:t>
      </w:r>
      <w:r w:rsidR="00800C84" w:rsidRPr="009B25FA">
        <w:t>P</w:t>
      </w:r>
      <w:r w:rsidR="00800C84">
        <w:t>EGAS</w:t>
      </w:r>
      <w:r w:rsidR="00800C84" w:rsidRPr="009B25FA">
        <w:t xml:space="preserve"> </w:t>
      </w:r>
      <w:r w:rsidRPr="009B25FA">
        <w:t>vypočtený v souladu s mezinárodními standardy pro účetní výkaznictví na konsolidované úrovni, jenž je očištěn o určité mimořádné a jednorázové položky.</w:t>
      </w:r>
    </w:p>
    <w:p w:rsidR="00D17321" w:rsidRPr="007A3749" w:rsidRDefault="00D17321" w:rsidP="00D17321">
      <w:pPr>
        <w:pStyle w:val="ListParagraph"/>
        <w:numPr>
          <w:ilvl w:val="0"/>
          <w:numId w:val="34"/>
        </w:numPr>
        <w:spacing w:before="0" w:beforeAutospacing="0" w:after="120" w:afterAutospacing="0"/>
        <w:ind w:left="360"/>
      </w:pPr>
      <w:r w:rsidRPr="007A3749">
        <w:t>Pokud bude skutečně dosažená EBITDA rovna plánované hodnotě EBITDA, potom bude vyplacen jako bonus stanovený cílový bonus. Pokud bude skutečně dosažená EBITDA nižší nebo vyšší nežli plánovaná EBITDA, částka cílového bonusu bude snížena nebo zvýšena až do úrovně maximálního bonusu v souladu s principy, jež každoročně určí představenstvo Společnosti.</w:t>
      </w:r>
    </w:p>
    <w:p w:rsidR="00BD2B0F" w:rsidRPr="00781223" w:rsidRDefault="008254AA" w:rsidP="006E2C36">
      <w:pPr>
        <w:pStyle w:val="Heading4"/>
      </w:pPr>
      <w:r w:rsidRPr="008A66C6">
        <w:t>Peněžní platby závislé na ceně akcií</w:t>
      </w:r>
    </w:p>
    <w:p w:rsidR="00921AF0" w:rsidRPr="007A3749" w:rsidRDefault="00BD2B0F" w:rsidP="007A3749">
      <w:r w:rsidRPr="007A3749">
        <w:t xml:space="preserve">V roce 2007 Společnost vytvořila </w:t>
      </w:r>
      <w:r w:rsidR="00610A66" w:rsidRPr="007A3749">
        <w:t xml:space="preserve">pro členy vrcholového vedení </w:t>
      </w:r>
      <w:r w:rsidRPr="007A3749">
        <w:t xml:space="preserve">a členy představenstva </w:t>
      </w:r>
      <w:r w:rsidR="00851A96" w:rsidRPr="007A3749">
        <w:t>schéma</w:t>
      </w:r>
      <w:r w:rsidRPr="007A3749">
        <w:t xml:space="preserve"> bonusů závislých na ceně akcií. </w:t>
      </w:r>
      <w:r w:rsidR="00921AF0" w:rsidRPr="007A3749">
        <w:t xml:space="preserve">Toto </w:t>
      </w:r>
      <w:r w:rsidR="00851A96" w:rsidRPr="007A3749">
        <w:t>schéma</w:t>
      </w:r>
      <w:r w:rsidR="00921AF0" w:rsidRPr="007A3749">
        <w:t xml:space="preserve"> je realizováno prostřednictvím stínových opcí. </w:t>
      </w:r>
    </w:p>
    <w:p w:rsidR="00652AB4" w:rsidRPr="007A3749" w:rsidRDefault="00652AB4" w:rsidP="007A3749">
      <w:r w:rsidRPr="007A3749">
        <w:t>Valná hromada dne 15. června 2007 schválila udělení celkového počtu 230 735 stínových akcií šesti exekutivním manažerům a dvěma neexekutivním ředitelům, a to bez náhrady. Dnem udělení stínových opcí byl 24. květen 2007. Každá stínová op</w:t>
      </w:r>
      <w:r w:rsidR="00610A66" w:rsidRPr="007A3749">
        <w:t>ce, v případě uplatnění, udělovala</w:t>
      </w:r>
      <w:r w:rsidRPr="007A3749">
        <w:t xml:space="preserve"> manažerovi právo získat hotovostní plnění vypočtené jako závěrečná cena jedné akcie Společnosti na </w:t>
      </w:r>
      <w:r w:rsidR="005F221E" w:rsidRPr="007A3749">
        <w:t>Burze cenných papírů Praha</w:t>
      </w:r>
      <w:r w:rsidRPr="007A3749">
        <w:t xml:space="preserve"> (nebo na jiném trhu v případě přerušení obchodování na BCPP) v den předcházející uplatnění stínové opce snížené o 749,20 Kč, tedy částku představující cenu, která byla nabídnuta při </w:t>
      </w:r>
      <w:r w:rsidR="00851A96" w:rsidRPr="007A3749">
        <w:t>primární emisi akcií společnosti</w:t>
      </w:r>
      <w:r w:rsidRPr="007A3749">
        <w:t xml:space="preserve"> PEGAS NONWOVENS SA (</w:t>
      </w:r>
      <w:r w:rsidR="00610A66" w:rsidRPr="007A3749">
        <w:t>cena IPO). Každý rok bylo</w:t>
      </w:r>
      <w:r w:rsidRPr="007A3749">
        <w:t xml:space="preserve"> </w:t>
      </w:r>
      <w:r w:rsidR="00610A66" w:rsidRPr="007A3749">
        <w:t>možné uplatnit</w:t>
      </w:r>
      <w:r w:rsidRPr="007A3749">
        <w:t xml:space="preserve"> 25 % stínových opcí, první opce </w:t>
      </w:r>
      <w:r w:rsidR="00610A66" w:rsidRPr="007A3749">
        <w:t>mohly</w:t>
      </w:r>
      <w:r w:rsidR="00C23A63" w:rsidRPr="007A3749">
        <w:t xml:space="preserve"> být uplatněny od 18. prosince</w:t>
      </w:r>
      <w:r w:rsidRPr="007A3749">
        <w:t xml:space="preserve"> </w:t>
      </w:r>
      <w:smartTag w:uri="urn:schemas-microsoft-com:office:smarttags" w:element="metricconverter">
        <w:smartTagPr>
          <w:attr w:name="ProductID" w:val="2007 a"/>
        </w:smartTagPr>
        <w:r w:rsidRPr="007A3749">
          <w:t>2007</w:t>
        </w:r>
        <w:r w:rsidR="008254AA" w:rsidRPr="007A3749">
          <w:t xml:space="preserve"> a</w:t>
        </w:r>
      </w:smartTag>
      <w:r w:rsidR="008254AA" w:rsidRPr="007A3749">
        <w:t xml:space="preserve"> poslední </w:t>
      </w:r>
      <w:r w:rsidR="00610A66" w:rsidRPr="007A3749">
        <w:t>mohly</w:t>
      </w:r>
      <w:r w:rsidR="008254AA" w:rsidRPr="007A3749">
        <w:t xml:space="preserve"> být uplatněny </w:t>
      </w:r>
      <w:r w:rsidR="00C23A63" w:rsidRPr="007A3749">
        <w:t>od</w:t>
      </w:r>
      <w:r w:rsidR="00610A66" w:rsidRPr="007A3749">
        <w:t> 18. prosinc</w:t>
      </w:r>
      <w:r w:rsidR="00C23A63" w:rsidRPr="007A3749">
        <w:t>e</w:t>
      </w:r>
      <w:r w:rsidR="00610A66" w:rsidRPr="007A3749">
        <w:t xml:space="preserve"> 2010</w:t>
      </w:r>
      <w:r w:rsidR="008254AA" w:rsidRPr="007A3749">
        <w:t>.</w:t>
      </w:r>
      <w:r w:rsidR="005A0C66">
        <w:t xml:space="preserve"> </w:t>
      </w:r>
      <w:r w:rsidR="005A0C66" w:rsidRPr="005A0C66">
        <w:t>Daná část stínových opcí může být uplatněna ke dni nebo po dni vzniku nároku. Účastníci musejí poskytovat služby Skupině ke dni vzniku nároku, aby byli oprávněni k dané části stínových opcí.</w:t>
      </w:r>
    </w:p>
    <w:p w:rsidR="00610A66" w:rsidRPr="007A3749" w:rsidRDefault="005A0C66" w:rsidP="007A3749">
      <w:r w:rsidRPr="005A0C66">
        <w:t xml:space="preserve">Dne 15. června 2010 schválila valná hromada nové zásady akciového bonusového programu pro členy vrcholového vedení a představenstva Společnosti. Cílem nového programu bylo obnovit jeho motivační funkci vzhledem k aktuální tržní ceně akcií a zároveň ho rozšířit i na nové členy vrcholového vedení a představenstva. </w:t>
      </w:r>
      <w:r>
        <w:t xml:space="preserve">Proto valná hromada </w:t>
      </w:r>
      <w:r w:rsidR="00E54803" w:rsidRPr="007A3749">
        <w:t xml:space="preserve">rozhodla o </w:t>
      </w:r>
      <w:r>
        <w:t>vydání</w:t>
      </w:r>
      <w:r w:rsidRPr="007A3749">
        <w:t xml:space="preserve"> </w:t>
      </w:r>
      <w:r w:rsidR="00E54803" w:rsidRPr="007A3749">
        <w:t>úhrnného počtu 230</w:t>
      </w:r>
      <w:r w:rsidR="00795940">
        <w:t> </w:t>
      </w:r>
      <w:r w:rsidR="00E54803" w:rsidRPr="007A3749">
        <w:t xml:space="preserve">735 </w:t>
      </w:r>
      <w:r>
        <w:t>stínových</w:t>
      </w:r>
      <w:r w:rsidRPr="007A3749">
        <w:t xml:space="preserve"> </w:t>
      </w:r>
      <w:r w:rsidR="00E54803" w:rsidRPr="007A3749">
        <w:t>opcí (které představují 2,5 % základního kapitálu společnosti PEGAS) pro členy představenstva a vrcholové vedení společnosti PEGAS a/nebo jej</w:t>
      </w:r>
      <w:r>
        <w:t>í</w:t>
      </w:r>
      <w:r w:rsidR="00E54803" w:rsidRPr="007A3749">
        <w:t xml:space="preserve">ch </w:t>
      </w:r>
      <w:r>
        <w:t>spřízněných</w:t>
      </w:r>
      <w:r w:rsidRPr="007A3749">
        <w:t xml:space="preserve"> </w:t>
      </w:r>
      <w:r w:rsidR="00E54803" w:rsidRPr="007A3749">
        <w:t>osob, a to bez</w:t>
      </w:r>
      <w:r>
        <w:t xml:space="preserve"> náhrady</w:t>
      </w:r>
      <w:r w:rsidR="00E54803" w:rsidRPr="007A3749">
        <w:t xml:space="preserve">. Každá </w:t>
      </w:r>
      <w:r>
        <w:t>stínová</w:t>
      </w:r>
      <w:r w:rsidR="00E54803" w:rsidRPr="007A3749">
        <w:t xml:space="preserve"> opce dává členu představenstva v případě realizace právo na </w:t>
      </w:r>
      <w:r>
        <w:t>stínovou</w:t>
      </w:r>
      <w:r w:rsidRPr="007A3749">
        <w:t xml:space="preserve"> </w:t>
      </w:r>
      <w:r w:rsidR="00E54803" w:rsidRPr="007A3749">
        <w:t>akcii, tj. právo na částku v hotovosti rovnající se rozdílu mezi částkou 473,00 Kč představující kurz akcií společnosti PEGAS na Burze cenných papírů Praha („BCP</w:t>
      </w:r>
      <w:r>
        <w:t>P</w:t>
      </w:r>
      <w:r w:rsidR="00E54803" w:rsidRPr="007A3749">
        <w:t>“) ke dni 15. prosince 2009 zvýšený o 10 %, a závěrečnou cenou akcií na BCP</w:t>
      </w:r>
      <w:r>
        <w:t>P</w:t>
      </w:r>
      <w:r w:rsidR="00E54803" w:rsidRPr="007A3749">
        <w:t xml:space="preserve"> v den předcházející dni realizace </w:t>
      </w:r>
      <w:r>
        <w:t>stínové</w:t>
      </w:r>
      <w:r w:rsidRPr="007A3749">
        <w:t xml:space="preserve"> </w:t>
      </w:r>
      <w:r w:rsidR="00E54803" w:rsidRPr="007A3749">
        <w:t>opce (nebo na jiném trhu, pokud bude obchodování na BCP</w:t>
      </w:r>
      <w:r>
        <w:t>P</w:t>
      </w:r>
      <w:r w:rsidR="00E54803" w:rsidRPr="007A3749">
        <w:t xml:space="preserve"> přerušeno). 25 % </w:t>
      </w:r>
      <w:r>
        <w:t>stínových</w:t>
      </w:r>
      <w:r w:rsidRPr="007A3749">
        <w:t xml:space="preserve"> </w:t>
      </w:r>
      <w:r w:rsidR="00E54803" w:rsidRPr="007A3749">
        <w:t xml:space="preserve">opcí (tj. 57 684 kusů opcí) na ně přechází každým rokem, tj. první opce </w:t>
      </w:r>
      <w:r>
        <w:t>na ně přejdou</w:t>
      </w:r>
      <w:r w:rsidR="00E54803" w:rsidRPr="007A3749">
        <w:t xml:space="preserve"> </w:t>
      </w:r>
      <w:r>
        <w:t>dne</w:t>
      </w:r>
      <w:r w:rsidR="00C23A63" w:rsidRPr="007A3749">
        <w:t xml:space="preserve"> </w:t>
      </w:r>
      <w:r w:rsidR="00E54803" w:rsidRPr="007A3749">
        <w:t>18. prosince 2010 a poslední 18. prosince 2013</w:t>
      </w:r>
      <w:r>
        <w:t>, přičemž</w:t>
      </w:r>
      <w:r w:rsidR="00E54803" w:rsidRPr="007A3749">
        <w:t xml:space="preserve"> </w:t>
      </w:r>
      <w:r>
        <w:t>p</w:t>
      </w:r>
      <w:r w:rsidR="00E54803" w:rsidRPr="007A3749">
        <w:t xml:space="preserve">rvní opce </w:t>
      </w:r>
      <w:r w:rsidRPr="005A0C66">
        <w:t>přecházející 18. prosince 2010 plně nahradí poslední opce v rámci prvotního akciového bonusového programu, který valná hromada schválila v roce 2007.</w:t>
      </w:r>
      <w:r>
        <w:t xml:space="preserve"> </w:t>
      </w:r>
      <w:r w:rsidR="00E54803" w:rsidRPr="007A3749">
        <w:t>Práv</w:t>
      </w:r>
      <w:r>
        <w:t>a vyplývající ze zbývajících</w:t>
      </w:r>
      <w:r w:rsidR="00E54803" w:rsidRPr="007A3749">
        <w:t xml:space="preserve"> 34 008 opcí </w:t>
      </w:r>
      <w:r>
        <w:t xml:space="preserve">(které přešly </w:t>
      </w:r>
      <w:r w:rsidR="00E54803" w:rsidRPr="007A3749">
        <w:t>18. prosince 2010</w:t>
      </w:r>
      <w:r>
        <w:t>)</w:t>
      </w:r>
      <w:r w:rsidR="00E54803" w:rsidRPr="007A3749">
        <w:t xml:space="preserve"> udělen</w:t>
      </w:r>
      <w:r>
        <w:t>ých</w:t>
      </w:r>
      <w:r w:rsidR="00E54803" w:rsidRPr="007A3749">
        <w:t xml:space="preserve"> v roce 2007 a schválen</w:t>
      </w:r>
      <w:r>
        <w:t>ých</w:t>
      </w:r>
      <w:r w:rsidR="00E54803" w:rsidRPr="007A3749">
        <w:t xml:space="preserve"> </w:t>
      </w:r>
      <w:r>
        <w:t xml:space="preserve">řádnou </w:t>
      </w:r>
      <w:r w:rsidR="00E54803" w:rsidRPr="007A3749">
        <w:t>valnou hromadou dne 15. června 2007</w:t>
      </w:r>
      <w:r w:rsidR="00383FA1">
        <w:t xml:space="preserve"> byla zrušena</w:t>
      </w:r>
      <w:r w:rsidR="00E54803" w:rsidRPr="007A3749">
        <w:t>.</w:t>
      </w:r>
      <w:r w:rsidR="002229F5" w:rsidRPr="007A3749" w:rsidDel="002229F5">
        <w:t xml:space="preserve"> </w:t>
      </w:r>
    </w:p>
    <w:p w:rsidR="001E6F47" w:rsidRPr="007A3749" w:rsidRDefault="001E6F47" w:rsidP="007A3749">
      <w:r w:rsidRPr="007A3749">
        <w:t>Mimořádná valná hromada konaná dne 21. července 2014 rozhodla o konverzi 230 735 virtuálních opcí (phantom options) udělených v letech 2010-2013 společností PEGAS na 230 735 warrantů. Každý warrant při uplatnění zakládá právo majitele na (i) jednu akcii společnosti PEGAS za realizační cenu ve výši 473 Kč, která představuje cenu akcií společnosti PEGAS na Burze cenných papírů Praha (</w:t>
      </w:r>
      <w:r w:rsidR="005516BD" w:rsidRPr="007A3749">
        <w:t>„</w:t>
      </w:r>
      <w:r w:rsidRPr="007A3749">
        <w:t>BCPP</w:t>
      </w:r>
      <w:r w:rsidR="005516BD" w:rsidRPr="007A3749">
        <w:t>“</w:t>
      </w:r>
      <w:r w:rsidRPr="007A3749">
        <w:t xml:space="preserve">) ke dni 15. prosince 2009 zvýšenou o 10%, nebo (ii) výplatu v hotovosti ve výši odpovídající konečné ceně jedné akcie společnosti PEGAS na BCPP v pracovní den předcházející dni uplatnění, sníženou o 473 Kč, což představuje cenu akcie společnosti PEGAS na BCPP ke dni 15. prosince 2009 zvýšenou o 10%. Rozhodný den pro uplatnění (vesting) warrantů nastane dnem udělení a na warranty se bude vztahovat stejné období pro uplatnění, jaké bylo původně plánováno ve vztahu k virtuálním opcím (phantom options). </w:t>
      </w:r>
    </w:p>
    <w:p w:rsidR="001E6F47" w:rsidRDefault="001E6F47" w:rsidP="007A3749">
      <w:r w:rsidRPr="007A3749">
        <w:t xml:space="preserve">Mimořádná valná hromada konaná dne 21. července 2014 rozhodla o vydání celkem 230 735 nových warrantů (které představují 2,5 % základního kapitálu společnosti PEGAS) členům představenstva a členům senior managementu společnosti PEGAS a/nebo jejích propojených společností, a to za </w:t>
      </w:r>
      <w:r w:rsidR="008E18CC">
        <w:t xml:space="preserve">kupní cenu </w:t>
      </w:r>
      <w:r w:rsidRPr="007A3749">
        <w:t>5,89 Kč za nový warrant, kter</w:t>
      </w:r>
      <w:r w:rsidR="008E18CC">
        <w:t>ou</w:t>
      </w:r>
      <w:r w:rsidRPr="007A3749">
        <w:t xml:space="preserve"> členové představenstva uhradí v hotovosti, s tím, že představenstvo společnosti PEGAS rozhodne, jak budou nové warranty rozděleny mezi členy představenstva a členy senior managementu společnosti PEGAS a/nebo jejích propojených společností. Každý nový warrant dává majiteli při uplatnění právo na (i) jednu akcii společnosti PEGAS za realizační cenu (strike price) ve výši 588,16 Kč (která představuje průměrnou cenu akcie společnosti PEGAS na Burze cenných papírů Praha v období od 1. října 2013 do 31. prosince 2013) sníženou o všechny dividendy na akcii společnosti PEGAS, které společnost PEGAS platně vyhlásila v daném finančním roce (finančních letech) (tj. ve finančním roce 2014 v případě nových warrantů s rozhodným dnem pro uplatnění (vesting) v roce 2014, ve finančních letech 2014 a 2015 v případě nových warrantů s rozhodným dnem pro uplatnění (vesting) v roce 2015 a ve finančních letech 2014, 2015 a 2016 v případě nových warrantů s rozhodným dnem pro uplatnění (vesting) v roce 2016), nebo (ii) výplatu v hotovosti ve výši odpovídající konečné ceně akcie společnosti PEGAS na Burze cenných papírů Praha v pracovní den předcházející dni uplatnění, plus všechny dividendy na akcii společnosti PEGAS, které společnost PEGAS platně vyhlásila v daném finančním roce (finančních letech) (tj. ve finančním roce 2014 v případě nových warrantů s rozhodným dnem pro uplatnění (vesting) v roce 2014, ve finančních letech 2014 a 2015 v případě nových warrantů s rozhodným dnem pro uplatnění (vesting) v roce 2015 a ve finančních letech 2014, 2015 a 2016 v případě nových warrantů s rozhodným dnem pro uplatnění (vesting) v roce 2016), sníženou realizační cenu (strike price) ve výši 588,16 Kč (která představuje průměrnou cenu akcie společnosti PEGAS na Burze cenných papírů Praha v období od 1. října 2013 do 31. prosince 2013). </w:t>
      </w:r>
    </w:p>
    <w:p w:rsidR="005516BD" w:rsidRPr="007A3749" w:rsidRDefault="005516BD" w:rsidP="007A3749">
      <w:r>
        <w:t>Řádná valná hromada</w:t>
      </w:r>
      <w:r w:rsidR="00A83C96">
        <w:t xml:space="preserve"> konaná dne 15. </w:t>
      </w:r>
      <w:r>
        <w:t xml:space="preserve">června 2017 </w:t>
      </w:r>
      <w:r w:rsidRPr="005516BD">
        <w:t>rozhodla o vydání celkem 230</w:t>
      </w:r>
      <w:r w:rsidR="00795940">
        <w:t> </w:t>
      </w:r>
      <w:r w:rsidRPr="005516BD">
        <w:t>735 nových warrantů členům představenstva a členům senior</w:t>
      </w:r>
      <w:r w:rsidR="00795940">
        <w:t xml:space="preserve"> </w:t>
      </w:r>
      <w:r w:rsidRPr="005516BD">
        <w:t xml:space="preserve">managementu společnosti PEGAS a/nebo jejích propojených společností, a to za </w:t>
      </w:r>
      <w:r w:rsidR="008E18CC">
        <w:t xml:space="preserve">kupní cenu </w:t>
      </w:r>
      <w:r w:rsidRPr="005516BD">
        <w:t>12,70 Kč za nový warrant, kter</w:t>
      </w:r>
      <w:r w:rsidR="008E18CC">
        <w:t>ou</w:t>
      </w:r>
      <w:r w:rsidRPr="005516BD">
        <w:t xml:space="preserve"> </w:t>
      </w:r>
      <w:r w:rsidR="00660FCB">
        <w:t>kupující</w:t>
      </w:r>
      <w:r w:rsidR="00660FCB" w:rsidRPr="005516BD">
        <w:t xml:space="preserve"> </w:t>
      </w:r>
      <w:r w:rsidRPr="005516BD">
        <w:t>uhradí v hotovosti, s tím, že představenstvo společnosti PEGAS rozhodne, jak budou nové warranty rozděleny mezi členy představenstva a členy senior managementu společnosti PEGAS a/nebo jejích propojených společností. Každý nový warrant dává majiteli při uplatnění právo na (i) jednu akcii společnosti PEGAS za realizační cenu (strike price) ve výši 777 Kč (která představuje průměrnou cenu akcie společnosti PEGAS na Burze cenných papírů Praha v období od 1. října 2016 do 31. prosince 2016) sníženou o všechny dividendy na akcii společnosti PEGAS, které společnost PEGAS platně vyhlásila v daném finančním roce (finančních letech) (tj. ve finančním roce 2017 v případě nových warrantů s rozhodným dnem pro uplatnění (vesting) v roce 2017, ve finančních letech 2017 a 2018 v případě nových warrantů s rozhodným dnem pro uplatnění (vesting) v roce 2018 a ve finančních letech 2017, 2018 a 2019 v případě nových warrantů s rozhodným dnem pro uplatnění (vesting) v roce 2019), nebo (ii) výplatu v hotovosti ve výši odpovídající konečné ceně akcie společnosti PEGAS na Burze cenných papírů Praha v pracovní den předcházející dni uplatnění, plus všechny dividendy na akcii společnosti PEGAS, které společnost PEGAS platně vyhlásila v daném finančním roce (finančních letech) (tj. ve finančním roce 2017 v případě nových warrantů s rozhodným dnem pro uplatnění (vesting) v roce 2017, ve finančních letech 2017 a 2018 v případě nových warrantů s rozhodným dnem pro uplatnění (vesting) v roce 2018 a ve finančních letech 2017, 2018 a 2019 v případě nových warrantů s rozhodným dnem pro uplatnění (vesting) v roce 2019), sníženou o realizační cenu (strike price) ve výši 777 Kč (která představuje průměrnou cenu akcie společnosti PEGAS na Burze cenných papírů Praha v období od 1. října 2016 do 31. prosince 2016).</w:t>
      </w:r>
    </w:p>
    <w:p w:rsidR="00087AF4" w:rsidRPr="00087AF4" w:rsidRDefault="00087AF4" w:rsidP="00087AF4">
      <w:r>
        <w:t>Dne 23</w:t>
      </w:r>
      <w:r w:rsidRPr="00087AF4">
        <w:t xml:space="preserve">. </w:t>
      </w:r>
      <w:r>
        <w:t>května</w:t>
      </w:r>
      <w:r w:rsidRPr="00087AF4">
        <w:t xml:space="preserve"> 201</w:t>
      </w:r>
      <w:r>
        <w:t>7</w:t>
      </w:r>
      <w:r w:rsidRPr="00087AF4">
        <w:t xml:space="preserve"> obdržela Společnost od osob s řídicí pravomocí emitenta oznámení o transakcích s finančními nástroji, jejichž hodnota je odvozena od akcií Společnosti. Předmětem transakce bylo uplatnění </w:t>
      </w:r>
      <w:r>
        <w:t>76</w:t>
      </w:r>
      <w:r w:rsidR="00795940">
        <w:t> </w:t>
      </w:r>
      <w:r>
        <w:t>911</w:t>
      </w:r>
      <w:r w:rsidRPr="00087AF4">
        <w:t xml:space="preserve"> ks warrantů nakoupených na základě smlouvy ze dne 22. září 2014 s realizační cenou 588,16 Kč. Zavírací cena akcií Společnosti k rozhodnému dni byla </w:t>
      </w:r>
      <w:r>
        <w:t>958</w:t>
      </w:r>
      <w:r w:rsidRPr="00087AF4">
        <w:t xml:space="preserve"> Kč.</w:t>
      </w:r>
    </w:p>
    <w:p w:rsidR="004719E1" w:rsidRDefault="004719E1" w:rsidP="004719E1">
      <w:r>
        <w:t>Celkový počet vydaných virtuálních opcí a warrantů k 30. červnu 201</w:t>
      </w:r>
      <w:r w:rsidR="00795940">
        <w:t>7</w:t>
      </w:r>
      <w:r>
        <w:t xml:space="preserve"> byl </w:t>
      </w:r>
      <w:r w:rsidR="00795940">
        <w:t>69 304</w:t>
      </w:r>
      <w:r>
        <w:t xml:space="preserve"> (</w:t>
      </w:r>
      <w:r w:rsidR="00810C0A">
        <w:t xml:space="preserve">146 215 </w:t>
      </w:r>
      <w:r>
        <w:t>k 31. prosinci 201</w:t>
      </w:r>
      <w:r w:rsidR="00810C0A">
        <w:t>6</w:t>
      </w:r>
      <w:r>
        <w:t>). Celkový počet virtuálních opcí a warrantů k 30.</w:t>
      </w:r>
      <w:r w:rsidR="00795940">
        <w:t> </w:t>
      </w:r>
      <w:r>
        <w:t>červnu 2016 se skládá z 53 840 virtuálních opcí s realizační cenou 749,20</w:t>
      </w:r>
      <w:r w:rsidR="00795940">
        <w:t> </w:t>
      </w:r>
      <w:r>
        <w:t>Kč</w:t>
      </w:r>
      <w:r w:rsidR="00795940">
        <w:t xml:space="preserve"> a</w:t>
      </w:r>
      <w:r>
        <w:t xml:space="preserve"> 15</w:t>
      </w:r>
      <w:r w:rsidR="00795940">
        <w:t> </w:t>
      </w:r>
      <w:r>
        <w:t>464 virtuálních opcí s realizační cenou 473 Kč.</w:t>
      </w:r>
    </w:p>
    <w:p w:rsidR="00BD2B0F" w:rsidRPr="007A3749" w:rsidRDefault="008E60DA" w:rsidP="007A3749">
      <w:r w:rsidRPr="007A3749">
        <w:t>Re</w:t>
      </w:r>
      <w:r w:rsidR="0028728A" w:rsidRPr="007A3749">
        <w:t xml:space="preserve">álná hodnota </w:t>
      </w:r>
      <w:r w:rsidR="00C136A0" w:rsidRPr="007A3749">
        <w:t xml:space="preserve">stínových opcí </w:t>
      </w:r>
      <w:r w:rsidR="001E6F47" w:rsidRPr="007A3749">
        <w:t xml:space="preserve">a warrantů </w:t>
      </w:r>
      <w:r w:rsidR="00C136A0" w:rsidRPr="007A3749">
        <w:t>k 3</w:t>
      </w:r>
      <w:r w:rsidR="004719E1">
        <w:t>0</w:t>
      </w:r>
      <w:r w:rsidR="00C136A0" w:rsidRPr="007A3749">
        <w:t>. červnu 201</w:t>
      </w:r>
      <w:r w:rsidR="009E1834">
        <w:t>7</w:t>
      </w:r>
      <w:r w:rsidRPr="007A3749">
        <w:t xml:space="preserve"> činila </w:t>
      </w:r>
      <w:r w:rsidR="00795940">
        <w:t xml:space="preserve">547 </w:t>
      </w:r>
      <w:r w:rsidRPr="007A3749">
        <w:t>tisíc EUR.</w:t>
      </w:r>
    </w:p>
    <w:p w:rsidR="008E18CC" w:rsidRDefault="008E18CC">
      <w:pPr>
        <w:spacing w:before="0" w:beforeAutospacing="0" w:after="0" w:afterAutospacing="0"/>
        <w:jc w:val="left"/>
        <w:rPr>
          <w:b/>
          <w:bCs/>
          <w:kern w:val="32"/>
          <w:sz w:val="28"/>
          <w:szCs w:val="28"/>
        </w:rPr>
        <w:sectPr w:rsidR="008E18CC" w:rsidSect="006E2C36">
          <w:type w:val="continuous"/>
          <w:pgSz w:w="11906" w:h="16838"/>
          <w:pgMar w:top="1417" w:right="1417" w:bottom="1417" w:left="1417" w:header="708" w:footer="708" w:gutter="0"/>
          <w:cols w:num="2" w:space="708"/>
          <w:docGrid w:linePitch="360"/>
        </w:sectPr>
      </w:pPr>
      <w:bookmarkStart w:id="44" w:name="_Toc332213930"/>
      <w:bookmarkStart w:id="45" w:name="_Toc269907496"/>
      <w:bookmarkEnd w:id="44"/>
    </w:p>
    <w:p w:rsidR="00963AA8" w:rsidRDefault="00862B32" w:rsidP="00396F0C">
      <w:pPr>
        <w:pStyle w:val="Heading1"/>
      </w:pPr>
      <w:bookmarkStart w:id="46" w:name="_Toc487810687"/>
      <w:r w:rsidRPr="007A3749">
        <w:t>Správa a ř</w:t>
      </w:r>
      <w:r w:rsidR="004C5F4F" w:rsidRPr="007A3749">
        <w:t xml:space="preserve">ízení </w:t>
      </w:r>
      <w:bookmarkEnd w:id="37"/>
      <w:r w:rsidR="00AF4A0B" w:rsidRPr="007A3749">
        <w:t>Společnosti</w:t>
      </w:r>
      <w:bookmarkEnd w:id="45"/>
      <w:bookmarkEnd w:id="46"/>
    </w:p>
    <w:p w:rsidR="006E2C36" w:rsidRPr="006E2C36" w:rsidRDefault="006E2C36" w:rsidP="006E2C36"/>
    <w:p w:rsidR="006E2C36" w:rsidRDefault="006E2C36" w:rsidP="006E2C36">
      <w:pPr>
        <w:sectPr w:rsidR="006E2C36" w:rsidSect="006E2C36">
          <w:pgSz w:w="11906" w:h="16838"/>
          <w:pgMar w:top="1417" w:right="1417" w:bottom="1417" w:left="1417" w:header="708" w:footer="708" w:gutter="0"/>
          <w:cols w:space="708"/>
          <w:docGrid w:linePitch="360"/>
        </w:sectPr>
      </w:pPr>
    </w:p>
    <w:p w:rsidR="0098761D" w:rsidRPr="007A3749" w:rsidRDefault="00EE2A05" w:rsidP="007A3749">
      <w:pPr>
        <w:pStyle w:val="NormalWeb"/>
      </w:pPr>
      <w:r w:rsidRPr="007A3749">
        <w:t>Dle stanov burzy ve Varšavě a ve spojení s uvedením akcií Společnosti na burzu ve Varšavě je Společnost povinna deklarovat, které principy správy a řízení obsažené v Corporate Governance Rules varšavské burzy bude implementovat</w:t>
      </w:r>
      <w:r w:rsidR="004D6504">
        <w:t>,</w:t>
      </w:r>
      <w:r w:rsidRPr="007A3749">
        <w:t xml:space="preserve"> a rovněž důvody pro neimplementování ostatních principů. </w:t>
      </w:r>
    </w:p>
    <w:p w:rsidR="006E2C36" w:rsidRDefault="00EE2A05" w:rsidP="006E2C36">
      <w:pPr>
        <w:pStyle w:val="NormalWeb"/>
      </w:pPr>
      <w:r w:rsidRPr="007A3749">
        <w:t>Společnost se rozhodla přijmout většinu Corporate Governance Rules varšavské burzy</w:t>
      </w:r>
      <w:r w:rsidR="00801BF7" w:rsidRPr="007A3749">
        <w:t xml:space="preserve">. Bližší informace </w:t>
      </w:r>
      <w:r w:rsidR="001E6F47" w:rsidRPr="007A3749">
        <w:t xml:space="preserve">jsou k dispozici </w:t>
      </w:r>
      <w:r w:rsidR="00801BF7" w:rsidRPr="007A3749">
        <w:t>ve Výroční zprávě za rok 201</w:t>
      </w:r>
      <w:r w:rsidR="004D6504">
        <w:t>6</w:t>
      </w:r>
      <w:r w:rsidR="00801BF7" w:rsidRPr="007A3749">
        <w:t>.</w:t>
      </w:r>
    </w:p>
    <w:p w:rsidR="00876EA5" w:rsidRPr="007A3749" w:rsidRDefault="00C70A7F" w:rsidP="006E2C36">
      <w:pPr>
        <w:pStyle w:val="Heading4"/>
      </w:pPr>
      <w:r w:rsidRPr="008A66C6">
        <w:t>Řádná valná hromada konaná dne 1</w:t>
      </w:r>
      <w:r w:rsidR="001E6F47" w:rsidRPr="008A66C6">
        <w:t>5</w:t>
      </w:r>
      <w:r w:rsidR="006E2C36" w:rsidRPr="008A66C6">
        <w:t>. </w:t>
      </w:r>
      <w:r w:rsidRPr="008A66C6">
        <w:t xml:space="preserve">června </w:t>
      </w:r>
      <w:r w:rsidR="00C136A0" w:rsidRPr="008A66C6">
        <w:t>201</w:t>
      </w:r>
      <w:r w:rsidR="004D6504">
        <w:t>7</w:t>
      </w:r>
    </w:p>
    <w:p w:rsidR="00E3356C" w:rsidRPr="007A3749" w:rsidRDefault="00C70A7F" w:rsidP="007A3749">
      <w:pPr>
        <w:pStyle w:val="NormalWeb"/>
      </w:pPr>
      <w:r w:rsidRPr="007A3749">
        <w:t xml:space="preserve">Na řádné valné hromadě akcionářů PEGAS NONWOVENS SA, </w:t>
      </w:r>
      <w:r w:rsidR="004A77BF" w:rsidRPr="007A3749">
        <w:t>jež</w:t>
      </w:r>
      <w:r w:rsidRPr="007A3749">
        <w:t xml:space="preserve"> se konala 1</w:t>
      </w:r>
      <w:r w:rsidR="001E6F47" w:rsidRPr="007A3749">
        <w:t>5</w:t>
      </w:r>
      <w:r w:rsidR="00064E48" w:rsidRPr="007A3749">
        <w:t>. června 201</w:t>
      </w:r>
      <w:r w:rsidR="004D6504">
        <w:t>7</w:t>
      </w:r>
      <w:r w:rsidRPr="007A3749">
        <w:t xml:space="preserve"> v </w:t>
      </w:r>
      <w:r w:rsidR="00AF4A0B" w:rsidRPr="007A3749">
        <w:t>Lucemburku</w:t>
      </w:r>
      <w:r w:rsidRPr="007A3749">
        <w:t xml:space="preserve">, byly schváleny návrhy </w:t>
      </w:r>
      <w:r w:rsidR="00E3356C" w:rsidRPr="007A3749">
        <w:t xml:space="preserve">č. 1 až </w:t>
      </w:r>
      <w:r w:rsidR="00854AFD">
        <w:t xml:space="preserve">9 a č. </w:t>
      </w:r>
      <w:r w:rsidR="00AC6498">
        <w:t>1</w:t>
      </w:r>
      <w:r w:rsidR="004D6504">
        <w:t>0</w:t>
      </w:r>
      <w:r w:rsidR="00854AFD">
        <w:t xml:space="preserve"> část 1</w:t>
      </w:r>
      <w:r w:rsidR="00795940">
        <w:t>. Z</w:t>
      </w:r>
      <w:r w:rsidR="004D6504">
        <w:t xml:space="preserve">amítnuty </w:t>
      </w:r>
      <w:r w:rsidR="00795940">
        <w:t xml:space="preserve">byly </w:t>
      </w:r>
      <w:r w:rsidR="004D6504">
        <w:t>návrhy č. 11 a 12</w:t>
      </w:r>
      <w:r w:rsidR="00E3356C" w:rsidRPr="007A3749">
        <w:t xml:space="preserve"> </w:t>
      </w:r>
      <w:r w:rsidRPr="007A3749">
        <w:t xml:space="preserve">předložené k projednání a hlasování. </w:t>
      </w:r>
    </w:p>
    <w:p w:rsidR="00B54668" w:rsidRPr="007A3749" w:rsidRDefault="006E6EB9" w:rsidP="007A3749">
      <w:pPr>
        <w:pStyle w:val="NormalWeb"/>
      </w:pPr>
      <w:r w:rsidRPr="007A3749">
        <w:t xml:space="preserve">Program </w:t>
      </w:r>
      <w:r w:rsidR="009E1FAD" w:rsidRPr="007A3749">
        <w:t>řádné valné hromady</w:t>
      </w:r>
      <w:r w:rsidRPr="007A3749">
        <w:t xml:space="preserve"> byl</w:t>
      </w:r>
      <w:r w:rsidR="00C70A7F" w:rsidRPr="007A3749">
        <w:t xml:space="preserve"> následující:</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Volba výboru (Bureau) valné hromady.</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Prezentace a projednání zprávy auditorů týkající se samostatné a konsolidované účetní závěrky za finanční rok končící dnem 31. prosince 201</w:t>
      </w:r>
      <w:r w:rsidR="004D6504">
        <w:rPr>
          <w:rFonts w:eastAsia="SimSun"/>
        </w:rPr>
        <w:t>6</w:t>
      </w:r>
      <w:r w:rsidRPr="00AC6498">
        <w:rPr>
          <w:rFonts w:eastAsia="SimSun"/>
        </w:rPr>
        <w:t xml:space="preserve"> a zprávy představenstva společnosti PEGAS o samostatné a konsolidované účetní závěrce za finanční rok končící dnem 31. prosince 201</w:t>
      </w:r>
      <w:r w:rsidR="004D6504">
        <w:rPr>
          <w:rFonts w:eastAsia="SimSun"/>
        </w:rPr>
        <w:t>6</w:t>
      </w:r>
      <w:r w:rsidRPr="00AC6498">
        <w:rPr>
          <w:rFonts w:eastAsia="SimSun"/>
        </w:rPr>
        <w:t>.</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Schválení samostatné a konsolidované účetní závěrky za finanční rok končící dnem 31. prosince 201</w:t>
      </w:r>
      <w:r w:rsidR="004D6504">
        <w:rPr>
          <w:rFonts w:eastAsia="SimSun"/>
        </w:rPr>
        <w:t>6</w:t>
      </w:r>
      <w:r w:rsidRPr="00AC6498">
        <w:rPr>
          <w:rFonts w:eastAsia="SimSun"/>
        </w:rPr>
        <w:t>.</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Rozdělení hospodářského výsledku za finanční rok končící dnem 31. prosince 201</w:t>
      </w:r>
      <w:r w:rsidR="004D6504">
        <w:rPr>
          <w:rFonts w:eastAsia="SimSun"/>
        </w:rPr>
        <w:t>6</w:t>
      </w:r>
      <w:r w:rsidRPr="00AC6498">
        <w:rPr>
          <w:rFonts w:eastAsia="SimSun"/>
        </w:rPr>
        <w:t xml:space="preserve"> a výplata dividend ve výši 11 </w:t>
      </w:r>
      <w:r w:rsidR="004D6504">
        <w:rPr>
          <w:rFonts w:eastAsia="SimSun"/>
        </w:rPr>
        <w:t>998 220</w:t>
      </w:r>
      <w:r w:rsidRPr="00AC6498">
        <w:rPr>
          <w:rFonts w:eastAsia="SimSun"/>
        </w:rPr>
        <w:t xml:space="preserve"> EUR, tj. 1,</w:t>
      </w:r>
      <w:r w:rsidR="004D6504">
        <w:rPr>
          <w:rFonts w:eastAsia="SimSun"/>
        </w:rPr>
        <w:t>30</w:t>
      </w:r>
      <w:r w:rsidRPr="00AC6498">
        <w:rPr>
          <w:rFonts w:eastAsia="SimSun"/>
        </w:rPr>
        <w:t xml:space="preserve"> EUR za akcii.</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Zproštění členů představenstva a auditorů společnosti PEGAS odpovědnosti za finanční rok končící dne 31. prosince 201</w:t>
      </w:r>
      <w:r w:rsidR="004D6504">
        <w:rPr>
          <w:rFonts w:eastAsia="SimSun"/>
        </w:rPr>
        <w:t>6</w:t>
      </w:r>
      <w:r w:rsidRPr="00AC6498">
        <w:rPr>
          <w:rFonts w:eastAsia="SimSun"/>
        </w:rPr>
        <w:t xml:space="preserve"> a v souvislosti s ním.</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 xml:space="preserve">Jmenování lucemburského nezávislého auditora ("réviseur d'entreprises agréé"), který provede posouzení samostatné a konsolidované účetní závěrky za finanční rok končící ke dni 31. prosince </w:t>
      </w:r>
      <w:r w:rsidR="004D6504" w:rsidRPr="00AC6498">
        <w:rPr>
          <w:rFonts w:eastAsia="SimSun"/>
        </w:rPr>
        <w:t>201</w:t>
      </w:r>
      <w:r w:rsidR="004D6504">
        <w:rPr>
          <w:rFonts w:eastAsia="SimSun"/>
        </w:rPr>
        <w:t>7</w:t>
      </w:r>
      <w:r w:rsidRPr="00AC6498">
        <w:rPr>
          <w:rFonts w:eastAsia="SimSun"/>
        </w:rPr>
        <w:t>.</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Schválení pravidel odměňování členů představenstva bez výkonné pravomoci za finanční rok 201</w:t>
      </w:r>
      <w:r w:rsidR="004D6504">
        <w:rPr>
          <w:rFonts w:eastAsia="SimSun"/>
        </w:rPr>
        <w:t>7</w:t>
      </w:r>
      <w:r w:rsidRPr="00AC6498">
        <w:rPr>
          <w:rFonts w:eastAsia="SimSun"/>
        </w:rPr>
        <w:t>.</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Schválení pravidel odměňování členů představenstva s výkonnou pravomocí za finanční rok 201</w:t>
      </w:r>
      <w:r w:rsidR="004D6504">
        <w:rPr>
          <w:rFonts w:eastAsia="SimSun"/>
        </w:rPr>
        <w:t>7</w:t>
      </w:r>
      <w:r w:rsidRPr="00AC6498">
        <w:rPr>
          <w:rFonts w:eastAsia="SimSun"/>
        </w:rPr>
        <w:t>.</w:t>
      </w:r>
    </w:p>
    <w:p w:rsidR="004D6504" w:rsidRDefault="004D6504" w:rsidP="00AC6498">
      <w:pPr>
        <w:pStyle w:val="ListParagraph"/>
        <w:numPr>
          <w:ilvl w:val="0"/>
          <w:numId w:val="22"/>
        </w:numPr>
        <w:tabs>
          <w:tab w:val="clear" w:pos="720"/>
          <w:tab w:val="left" w:pos="900"/>
        </w:tabs>
        <w:ind w:left="360"/>
        <w:rPr>
          <w:rFonts w:eastAsia="SimSun"/>
        </w:rPr>
      </w:pPr>
      <w:r w:rsidRPr="004D6504">
        <w:rPr>
          <w:rFonts w:eastAsia="SimSun"/>
        </w:rPr>
        <w:t>Schválení nového motivačního plánu ve prospěch členů senior managementu a členů představenstva společnosti PEGAS spočívajícího ve vydání nových warrantů společností PEGAS a s tím spojené vyloučení přednostních upisovacích práv akcionářů.</w:t>
      </w:r>
    </w:p>
    <w:p w:rsidR="004D6504" w:rsidRDefault="004D6504" w:rsidP="00AC6498">
      <w:pPr>
        <w:pStyle w:val="ListParagraph"/>
        <w:numPr>
          <w:ilvl w:val="0"/>
          <w:numId w:val="22"/>
        </w:numPr>
        <w:tabs>
          <w:tab w:val="clear" w:pos="720"/>
          <w:tab w:val="left" w:pos="900"/>
        </w:tabs>
        <w:ind w:left="360"/>
        <w:rPr>
          <w:rFonts w:eastAsia="SimSun"/>
        </w:rPr>
      </w:pPr>
      <w:r w:rsidRPr="004D6504">
        <w:rPr>
          <w:rFonts w:eastAsia="SimSun"/>
        </w:rPr>
        <w:t>Zrušení 465 541 kusů vlastních akcií držených společností PEGAS (a odpovídající změna čl. 5.1 stanov) nebo, eventuálně, schválení použití 465 541 vlastních akcií držených společností PEGAS (jejichž celková jmenovitá hodnota činí 577 270,84 EUR) k zajištění závazků společnosti PEGAS z motivačních plánů z let 2014-2016 a 2017-2019 nebo k jejich prodeji společností PEGAS za účelem získání finančních prostředků.</w:t>
      </w:r>
    </w:p>
    <w:p w:rsidR="004D6504" w:rsidRDefault="004D6504" w:rsidP="00AC6498">
      <w:pPr>
        <w:pStyle w:val="ListParagraph"/>
        <w:numPr>
          <w:ilvl w:val="0"/>
          <w:numId w:val="22"/>
        </w:numPr>
        <w:tabs>
          <w:tab w:val="clear" w:pos="720"/>
          <w:tab w:val="left" w:pos="900"/>
        </w:tabs>
        <w:ind w:left="360"/>
        <w:rPr>
          <w:rFonts w:eastAsia="SimSun"/>
        </w:rPr>
      </w:pPr>
      <w:r w:rsidRPr="004D6504">
        <w:rPr>
          <w:rFonts w:eastAsia="SimSun"/>
        </w:rPr>
        <w:t>Zrušení zmocnění představenstva k nabývání vlastních akcií uděleného rozhodnutím č. 11 řádné valné hromady společnosti PEGAS, která se konala 15. června 2016.</w:t>
      </w:r>
    </w:p>
    <w:p w:rsidR="004D6504" w:rsidRDefault="004D6504" w:rsidP="00AC6498">
      <w:pPr>
        <w:pStyle w:val="ListParagraph"/>
        <w:numPr>
          <w:ilvl w:val="0"/>
          <w:numId w:val="22"/>
        </w:numPr>
        <w:tabs>
          <w:tab w:val="clear" w:pos="720"/>
          <w:tab w:val="left" w:pos="900"/>
        </w:tabs>
        <w:ind w:left="360"/>
        <w:rPr>
          <w:rFonts w:eastAsia="SimSun"/>
        </w:rPr>
      </w:pPr>
      <w:r>
        <w:t>Zvýšení současného počtu členů představenstva společnosti PEGAS z pěti (5) na šest (6) prostřednictvím jmenování pana Oldřicha Šlemra členem představenstva společnosti PEGAS.</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Různé.</w:t>
      </w:r>
    </w:p>
    <w:p w:rsidR="001E6F47" w:rsidRPr="007A3749" w:rsidRDefault="001E6F47" w:rsidP="00AC6498">
      <w:pPr>
        <w:pStyle w:val="ListParagraph"/>
        <w:rPr>
          <w:rFonts w:eastAsia="SimSun"/>
        </w:rPr>
      </w:pPr>
    </w:p>
    <w:p w:rsidR="00374B50" w:rsidRPr="007A3749" w:rsidRDefault="00DE4A6B" w:rsidP="006E2C36">
      <w:pPr>
        <w:pStyle w:val="Heading4"/>
      </w:pPr>
      <w:bookmarkStart w:id="47" w:name="_Toc165188449"/>
      <w:r w:rsidRPr="008A66C6">
        <w:t>Složení představe</w:t>
      </w:r>
      <w:bookmarkEnd w:id="47"/>
      <w:r w:rsidRPr="008A66C6">
        <w:t>nstva ke dni 30. června 20</w:t>
      </w:r>
      <w:r w:rsidR="001F6AA7" w:rsidRPr="008A66C6">
        <w:t>1</w:t>
      </w:r>
      <w:r w:rsidR="004D6504">
        <w:t>7</w:t>
      </w:r>
    </w:p>
    <w:p w:rsidR="00374B50" w:rsidRPr="00AC6498" w:rsidRDefault="00DE4A6B" w:rsidP="007A3749">
      <w:pPr>
        <w:pStyle w:val="AOHeading6"/>
        <w:rPr>
          <w:i w:val="0"/>
        </w:rPr>
      </w:pPr>
      <w:r w:rsidRPr="00AC6498">
        <w:rPr>
          <w:i w:val="0"/>
        </w:rPr>
        <w:t>Představenstvo</w:t>
      </w:r>
      <w:r w:rsidR="00EC1496" w:rsidRPr="00AC6498">
        <w:rPr>
          <w:i w:val="0"/>
        </w:rPr>
        <w:t xml:space="preserve"> PEGAS NONWOVENS SA</w:t>
      </w:r>
    </w:p>
    <w:tbl>
      <w:tblPr>
        <w:tblW w:w="5000" w:type="pct"/>
        <w:tblBorders>
          <w:top w:val="single" w:sz="4" w:space="0" w:color="9C9D9F"/>
          <w:left w:val="single" w:sz="4" w:space="0" w:color="9C9D9F"/>
          <w:bottom w:val="single" w:sz="4" w:space="0" w:color="9C9D9F"/>
          <w:right w:val="single" w:sz="4" w:space="0" w:color="9C9D9F"/>
          <w:insideH w:val="single" w:sz="4" w:space="0" w:color="9C9D9F"/>
        </w:tblBorders>
        <w:tblCellMar>
          <w:left w:w="115" w:type="dxa"/>
          <w:right w:w="115" w:type="dxa"/>
        </w:tblCellMar>
        <w:tblLook w:val="01E0" w:firstRow="1" w:lastRow="1" w:firstColumn="1" w:lastColumn="1" w:noHBand="0" w:noVBand="0"/>
      </w:tblPr>
      <w:tblGrid>
        <w:gridCol w:w="1874"/>
        <w:gridCol w:w="744"/>
        <w:gridCol w:w="2007"/>
        <w:gridCol w:w="3051"/>
        <w:gridCol w:w="1626"/>
      </w:tblGrid>
      <w:tr w:rsidR="006E2C36" w:rsidRPr="006E2C36" w:rsidTr="006E2C36">
        <w:trPr>
          <w:cantSplit/>
          <w:trHeight w:val="624"/>
        </w:trPr>
        <w:tc>
          <w:tcPr>
            <w:tcW w:w="1007" w:type="pct"/>
            <w:shd w:val="clear" w:color="auto" w:fill="E2001C"/>
          </w:tcPr>
          <w:p w:rsidR="00515150" w:rsidRPr="006E2C36" w:rsidRDefault="00DE4A6B" w:rsidP="006E2C36">
            <w:pPr>
              <w:pStyle w:val="AODocTxtCharChar"/>
              <w:jc w:val="center"/>
              <w:rPr>
                <w:b/>
                <w:color w:val="FFFFFF" w:themeColor="background1"/>
              </w:rPr>
            </w:pPr>
            <w:r w:rsidRPr="006E2C36">
              <w:rPr>
                <w:b/>
                <w:color w:val="FFFFFF" w:themeColor="background1"/>
              </w:rPr>
              <w:t>Jméno</w:t>
            </w:r>
          </w:p>
        </w:tc>
        <w:tc>
          <w:tcPr>
            <w:tcW w:w="400" w:type="pct"/>
            <w:shd w:val="clear" w:color="auto" w:fill="E2001C"/>
          </w:tcPr>
          <w:p w:rsidR="00515150" w:rsidRPr="006E2C36" w:rsidRDefault="00DE4A6B" w:rsidP="006E2C36">
            <w:pPr>
              <w:pStyle w:val="AODocTxtCharChar"/>
              <w:jc w:val="center"/>
              <w:rPr>
                <w:b/>
                <w:color w:val="FFFFFF" w:themeColor="background1"/>
              </w:rPr>
            </w:pPr>
            <w:r w:rsidRPr="006E2C36">
              <w:rPr>
                <w:b/>
                <w:color w:val="FFFFFF" w:themeColor="background1"/>
              </w:rPr>
              <w:t>Věk</w:t>
            </w:r>
          </w:p>
        </w:tc>
        <w:tc>
          <w:tcPr>
            <w:tcW w:w="1079" w:type="pct"/>
            <w:shd w:val="clear" w:color="auto" w:fill="E2001C"/>
          </w:tcPr>
          <w:p w:rsidR="00515150" w:rsidRPr="006E2C36" w:rsidRDefault="00515150" w:rsidP="006E2C36">
            <w:pPr>
              <w:pStyle w:val="AODocTxtCharChar"/>
              <w:jc w:val="center"/>
              <w:rPr>
                <w:b/>
                <w:color w:val="FFFFFF" w:themeColor="background1"/>
              </w:rPr>
            </w:pPr>
            <w:r w:rsidRPr="006E2C36">
              <w:rPr>
                <w:b/>
                <w:color w:val="FFFFFF" w:themeColor="background1"/>
              </w:rPr>
              <w:t>Po</w:t>
            </w:r>
            <w:r w:rsidR="00DE4A6B" w:rsidRPr="006E2C36">
              <w:rPr>
                <w:b/>
                <w:color w:val="FFFFFF" w:themeColor="background1"/>
              </w:rPr>
              <w:t>zice</w:t>
            </w:r>
            <w:r w:rsidR="00075F26" w:rsidRPr="006E2C36">
              <w:rPr>
                <w:b/>
                <w:color w:val="FFFFFF" w:themeColor="background1"/>
              </w:rPr>
              <w:t>/</w:t>
            </w:r>
            <w:r w:rsidR="00E3356C" w:rsidRPr="006E2C36">
              <w:rPr>
                <w:b/>
                <w:color w:val="FFFFFF" w:themeColor="background1"/>
              </w:rPr>
              <w:t>f</w:t>
            </w:r>
            <w:r w:rsidR="00075F26" w:rsidRPr="006E2C36">
              <w:rPr>
                <w:b/>
                <w:color w:val="FFFFFF" w:themeColor="background1"/>
              </w:rPr>
              <w:t>un</w:t>
            </w:r>
            <w:r w:rsidR="00DE4A6B" w:rsidRPr="006E2C36">
              <w:rPr>
                <w:b/>
                <w:color w:val="FFFFFF" w:themeColor="background1"/>
              </w:rPr>
              <w:t>kce</w:t>
            </w:r>
          </w:p>
        </w:tc>
        <w:tc>
          <w:tcPr>
            <w:tcW w:w="1640" w:type="pct"/>
            <w:shd w:val="clear" w:color="auto" w:fill="E2001C"/>
          </w:tcPr>
          <w:p w:rsidR="00515150" w:rsidRPr="006E2C36" w:rsidRDefault="00DE4A6B" w:rsidP="006E2C36">
            <w:pPr>
              <w:pStyle w:val="AODocTxtCharChar"/>
              <w:jc w:val="center"/>
              <w:rPr>
                <w:b/>
                <w:color w:val="FFFFFF" w:themeColor="background1"/>
              </w:rPr>
            </w:pPr>
            <w:r w:rsidRPr="006E2C36">
              <w:rPr>
                <w:b/>
                <w:color w:val="FFFFFF" w:themeColor="background1"/>
              </w:rPr>
              <w:t>Adresa</w:t>
            </w:r>
          </w:p>
        </w:tc>
        <w:tc>
          <w:tcPr>
            <w:tcW w:w="875" w:type="pct"/>
            <w:shd w:val="clear" w:color="auto" w:fill="E2001C"/>
          </w:tcPr>
          <w:p w:rsidR="00515150" w:rsidRPr="006E2C36" w:rsidRDefault="00515150" w:rsidP="00AB332B">
            <w:pPr>
              <w:pStyle w:val="AODocTxtCharChar"/>
              <w:jc w:val="center"/>
              <w:rPr>
                <w:b/>
                <w:color w:val="FFFFFF" w:themeColor="background1"/>
              </w:rPr>
            </w:pPr>
            <w:r w:rsidRPr="006E2C36">
              <w:rPr>
                <w:b/>
                <w:color w:val="FFFFFF" w:themeColor="background1"/>
              </w:rPr>
              <w:t>Fun</w:t>
            </w:r>
            <w:r w:rsidR="00DE4A6B" w:rsidRPr="006E2C36">
              <w:rPr>
                <w:b/>
                <w:color w:val="FFFFFF" w:themeColor="background1"/>
              </w:rPr>
              <w:t>kční období v první polovině</w:t>
            </w:r>
            <w:r w:rsidR="00D54655" w:rsidRPr="006E2C36">
              <w:rPr>
                <w:b/>
                <w:color w:val="FFFFFF" w:themeColor="background1"/>
              </w:rPr>
              <w:t xml:space="preserve"> </w:t>
            </w:r>
            <w:r w:rsidR="00E3356C" w:rsidRPr="006E2C36">
              <w:rPr>
                <w:b/>
                <w:color w:val="FFFFFF" w:themeColor="background1"/>
              </w:rPr>
              <w:t>201</w:t>
            </w:r>
            <w:r w:rsidR="00AB332B">
              <w:rPr>
                <w:b/>
                <w:color w:val="FFFFFF" w:themeColor="background1"/>
              </w:rPr>
              <w:t>7</w:t>
            </w:r>
          </w:p>
        </w:tc>
      </w:tr>
      <w:tr w:rsidR="006E6EB9" w:rsidRPr="007A3749" w:rsidTr="006E2C36">
        <w:trPr>
          <w:cantSplit/>
        </w:trPr>
        <w:tc>
          <w:tcPr>
            <w:tcW w:w="1007" w:type="pct"/>
          </w:tcPr>
          <w:p w:rsidR="006E6EB9" w:rsidRPr="007A3749" w:rsidRDefault="006E6EB9" w:rsidP="006E2C36">
            <w:pPr>
              <w:pStyle w:val="AODocTxtCharChar"/>
              <w:jc w:val="left"/>
            </w:pPr>
            <w:r w:rsidRPr="007A3749">
              <w:t>František Řezáč</w:t>
            </w:r>
          </w:p>
        </w:tc>
        <w:tc>
          <w:tcPr>
            <w:tcW w:w="400" w:type="pct"/>
          </w:tcPr>
          <w:p w:rsidR="006E6EB9" w:rsidRPr="007A3749" w:rsidRDefault="00E3356C" w:rsidP="006E2C36">
            <w:pPr>
              <w:pStyle w:val="AODocTxtCharChar"/>
              <w:jc w:val="left"/>
            </w:pPr>
            <w:r w:rsidRPr="007A3749">
              <w:t>4</w:t>
            </w:r>
            <w:r w:rsidR="00950C34">
              <w:t>3</w:t>
            </w:r>
          </w:p>
        </w:tc>
        <w:tc>
          <w:tcPr>
            <w:tcW w:w="1079" w:type="pct"/>
          </w:tcPr>
          <w:p w:rsidR="006E6EB9" w:rsidRPr="007A3749" w:rsidRDefault="00F852FB" w:rsidP="006E2C36">
            <w:pPr>
              <w:pStyle w:val="AODocTxtCharChar"/>
              <w:jc w:val="left"/>
              <w:rPr>
                <w:rFonts w:eastAsia="Batang"/>
              </w:rPr>
            </w:pPr>
            <w:r w:rsidRPr="007A3749">
              <w:t>Exekutivní ředitel</w:t>
            </w:r>
          </w:p>
        </w:tc>
        <w:tc>
          <w:tcPr>
            <w:tcW w:w="1640" w:type="pct"/>
          </w:tcPr>
          <w:p w:rsidR="006E6EB9" w:rsidRPr="007A3749" w:rsidRDefault="006E6EB9" w:rsidP="006E2C36">
            <w:pPr>
              <w:pStyle w:val="AODocTxtCharChar"/>
              <w:jc w:val="left"/>
            </w:pPr>
            <w:r w:rsidRPr="007A3749">
              <w:t>Přímětická 86, 669 0</w:t>
            </w:r>
            <w:r w:rsidR="00950C34">
              <w:t>2</w:t>
            </w:r>
            <w:r w:rsidRPr="007A3749">
              <w:t>, Znojmo, Česká republika</w:t>
            </w:r>
          </w:p>
        </w:tc>
        <w:tc>
          <w:tcPr>
            <w:tcW w:w="875" w:type="pct"/>
          </w:tcPr>
          <w:p w:rsidR="006E2C36" w:rsidRDefault="00F04E4C" w:rsidP="006E2C36">
            <w:pPr>
              <w:pStyle w:val="AODocTxtCharChar"/>
              <w:jc w:val="left"/>
            </w:pPr>
            <w:r w:rsidRPr="007A3749">
              <w:t xml:space="preserve">1. 1. </w:t>
            </w:r>
            <w:r w:rsidR="00AC6498">
              <w:t>201</w:t>
            </w:r>
            <w:r w:rsidR="00950C34">
              <w:t>7</w:t>
            </w:r>
            <w:r w:rsidR="001F6AA7" w:rsidRPr="007A3749">
              <w:t xml:space="preserve"> – </w:t>
            </w:r>
          </w:p>
          <w:p w:rsidR="006E6EB9" w:rsidRPr="007A3749" w:rsidRDefault="001F6AA7" w:rsidP="00950C34">
            <w:pPr>
              <w:pStyle w:val="AODocTxtCharChar"/>
              <w:jc w:val="left"/>
            </w:pPr>
            <w:r w:rsidRPr="007A3749">
              <w:t xml:space="preserve">30. 6. </w:t>
            </w:r>
            <w:r w:rsidR="00AC6498">
              <w:t>201</w:t>
            </w:r>
            <w:r w:rsidR="00950C34">
              <w:t>7</w:t>
            </w:r>
          </w:p>
        </w:tc>
      </w:tr>
      <w:tr w:rsidR="00877907" w:rsidRPr="007A3749" w:rsidTr="006E2C36">
        <w:trPr>
          <w:cantSplit/>
        </w:trPr>
        <w:tc>
          <w:tcPr>
            <w:tcW w:w="1007" w:type="pct"/>
          </w:tcPr>
          <w:p w:rsidR="00877907" w:rsidRPr="007A3749" w:rsidRDefault="00877907" w:rsidP="006E2C36">
            <w:pPr>
              <w:pStyle w:val="AODocTxtCharChar"/>
              <w:jc w:val="left"/>
            </w:pPr>
            <w:r w:rsidRPr="007A3749">
              <w:t>František Klaška</w:t>
            </w:r>
          </w:p>
        </w:tc>
        <w:tc>
          <w:tcPr>
            <w:tcW w:w="400" w:type="pct"/>
          </w:tcPr>
          <w:p w:rsidR="00877907" w:rsidRPr="007A3749" w:rsidRDefault="00950C34" w:rsidP="006E2C36">
            <w:pPr>
              <w:pStyle w:val="AODocTxtCharChar"/>
              <w:jc w:val="left"/>
            </w:pPr>
            <w:r>
              <w:t>60</w:t>
            </w:r>
          </w:p>
        </w:tc>
        <w:tc>
          <w:tcPr>
            <w:tcW w:w="1079" w:type="pct"/>
          </w:tcPr>
          <w:p w:rsidR="00877907" w:rsidRPr="007A3749" w:rsidRDefault="00877907" w:rsidP="006E2C36">
            <w:pPr>
              <w:pStyle w:val="AODocTxtCharChar"/>
              <w:jc w:val="left"/>
              <w:rPr>
                <w:rFonts w:eastAsia="Batang"/>
              </w:rPr>
            </w:pPr>
            <w:r w:rsidRPr="007A3749">
              <w:t>Exekutivní ředitel</w:t>
            </w:r>
          </w:p>
        </w:tc>
        <w:tc>
          <w:tcPr>
            <w:tcW w:w="1640" w:type="pct"/>
          </w:tcPr>
          <w:p w:rsidR="00877907" w:rsidRPr="007A3749" w:rsidRDefault="00877907" w:rsidP="00950C34">
            <w:pPr>
              <w:pStyle w:val="AODocTxtCharChar"/>
              <w:jc w:val="left"/>
            </w:pPr>
            <w:r w:rsidRPr="007A3749">
              <w:t>Přímětická 86, 669 0</w:t>
            </w:r>
            <w:r w:rsidR="00950C34">
              <w:t>2</w:t>
            </w:r>
            <w:r w:rsidRPr="007A3749">
              <w:t>, Znojmo, Česká republika</w:t>
            </w:r>
          </w:p>
        </w:tc>
        <w:tc>
          <w:tcPr>
            <w:tcW w:w="875" w:type="pct"/>
          </w:tcPr>
          <w:p w:rsidR="006E2C36" w:rsidRDefault="00877907" w:rsidP="006E2C36">
            <w:pPr>
              <w:pStyle w:val="AODocTxtCharChar"/>
              <w:jc w:val="left"/>
            </w:pPr>
            <w:r w:rsidRPr="007A3749">
              <w:t xml:space="preserve">1. 1. </w:t>
            </w:r>
            <w:r w:rsidR="00AC6498">
              <w:t>201</w:t>
            </w:r>
            <w:r w:rsidR="00950C34">
              <w:t>7</w:t>
            </w:r>
            <w:r w:rsidRPr="007A3749">
              <w:t xml:space="preserve"> – </w:t>
            </w:r>
          </w:p>
          <w:p w:rsidR="00877907" w:rsidRPr="007A3749" w:rsidRDefault="00877907" w:rsidP="00950C34">
            <w:pPr>
              <w:pStyle w:val="AODocTxtCharChar"/>
              <w:jc w:val="left"/>
            </w:pPr>
            <w:r w:rsidRPr="007A3749">
              <w:t xml:space="preserve">30. 6. </w:t>
            </w:r>
            <w:r w:rsidR="00AC6498">
              <w:t>201</w:t>
            </w:r>
            <w:r w:rsidR="00950C34">
              <w:t>7</w:t>
            </w:r>
          </w:p>
        </w:tc>
      </w:tr>
      <w:tr w:rsidR="00877907" w:rsidRPr="007A3749" w:rsidTr="006E2C36">
        <w:trPr>
          <w:cantSplit/>
        </w:trPr>
        <w:tc>
          <w:tcPr>
            <w:tcW w:w="1007" w:type="pct"/>
          </w:tcPr>
          <w:p w:rsidR="00877907" w:rsidRPr="007A3749" w:rsidRDefault="00877907" w:rsidP="006E2C36">
            <w:pPr>
              <w:pStyle w:val="AODocTxtCharChar"/>
              <w:jc w:val="left"/>
              <w:rPr>
                <w:rFonts w:eastAsia="Batang"/>
              </w:rPr>
            </w:pPr>
            <w:r w:rsidRPr="007A3749">
              <w:t>Marian Rašík</w:t>
            </w:r>
          </w:p>
        </w:tc>
        <w:tc>
          <w:tcPr>
            <w:tcW w:w="400" w:type="pct"/>
          </w:tcPr>
          <w:p w:rsidR="00877907" w:rsidRPr="007A3749" w:rsidRDefault="00E3356C" w:rsidP="00950C34">
            <w:pPr>
              <w:pStyle w:val="AODocTxtCharChar"/>
              <w:jc w:val="left"/>
            </w:pPr>
            <w:r w:rsidRPr="007A3749">
              <w:t>4</w:t>
            </w:r>
            <w:r w:rsidR="00950C34">
              <w:t>6</w:t>
            </w:r>
          </w:p>
        </w:tc>
        <w:tc>
          <w:tcPr>
            <w:tcW w:w="1079" w:type="pct"/>
          </w:tcPr>
          <w:p w:rsidR="00877907" w:rsidRPr="007A3749" w:rsidRDefault="00877907" w:rsidP="006E2C36">
            <w:pPr>
              <w:pStyle w:val="AODocTxtCharChar"/>
              <w:jc w:val="left"/>
              <w:rPr>
                <w:rFonts w:eastAsia="Batang"/>
              </w:rPr>
            </w:pPr>
            <w:r w:rsidRPr="007A3749">
              <w:t>Exekutivní ředitel</w:t>
            </w:r>
          </w:p>
        </w:tc>
        <w:tc>
          <w:tcPr>
            <w:tcW w:w="1640" w:type="pct"/>
          </w:tcPr>
          <w:p w:rsidR="00877907" w:rsidRPr="007A3749" w:rsidRDefault="00877907" w:rsidP="00950C34">
            <w:pPr>
              <w:pStyle w:val="AODocTxtCharChar"/>
              <w:jc w:val="left"/>
            </w:pPr>
            <w:r w:rsidRPr="007A3749">
              <w:t>Přímětická 86, 669 0</w:t>
            </w:r>
            <w:r w:rsidR="00950C34">
              <w:t>2</w:t>
            </w:r>
            <w:r w:rsidRPr="007A3749">
              <w:t>, Znojmo, Česká republika</w:t>
            </w:r>
          </w:p>
        </w:tc>
        <w:tc>
          <w:tcPr>
            <w:tcW w:w="875" w:type="pct"/>
          </w:tcPr>
          <w:p w:rsidR="006E2C36" w:rsidRDefault="00877907" w:rsidP="006E2C36">
            <w:pPr>
              <w:pStyle w:val="AODocTxtCharChar"/>
              <w:jc w:val="left"/>
            </w:pPr>
            <w:r w:rsidRPr="007A3749">
              <w:t xml:space="preserve">1. 1. </w:t>
            </w:r>
            <w:r w:rsidR="00AC6498">
              <w:t>201</w:t>
            </w:r>
            <w:r w:rsidR="00950C34">
              <w:t>7</w:t>
            </w:r>
            <w:r w:rsidRPr="007A3749">
              <w:t xml:space="preserve"> – </w:t>
            </w:r>
          </w:p>
          <w:p w:rsidR="00877907" w:rsidRPr="007A3749" w:rsidRDefault="00877907" w:rsidP="00950C34">
            <w:pPr>
              <w:pStyle w:val="AODocTxtCharChar"/>
              <w:jc w:val="left"/>
            </w:pPr>
            <w:r w:rsidRPr="007A3749">
              <w:t xml:space="preserve">30. 6. </w:t>
            </w:r>
            <w:r w:rsidR="00AC6498">
              <w:t>201</w:t>
            </w:r>
            <w:r w:rsidR="00950C34">
              <w:t>7</w:t>
            </w:r>
          </w:p>
        </w:tc>
      </w:tr>
      <w:tr w:rsidR="00877907" w:rsidRPr="007A3749" w:rsidTr="006E2C36">
        <w:tblPrEx>
          <w:tblCellMar>
            <w:left w:w="108" w:type="dxa"/>
            <w:right w:w="108" w:type="dxa"/>
          </w:tblCellMar>
        </w:tblPrEx>
        <w:tc>
          <w:tcPr>
            <w:tcW w:w="1007" w:type="pct"/>
          </w:tcPr>
          <w:p w:rsidR="00877907" w:rsidRPr="007A3749" w:rsidRDefault="00877907" w:rsidP="006E2C36">
            <w:pPr>
              <w:pStyle w:val="AODocTxtCharChar"/>
              <w:jc w:val="left"/>
            </w:pPr>
            <w:r w:rsidRPr="007A3749">
              <w:t>Marek Modecki</w:t>
            </w:r>
          </w:p>
        </w:tc>
        <w:tc>
          <w:tcPr>
            <w:tcW w:w="400" w:type="pct"/>
          </w:tcPr>
          <w:p w:rsidR="00877907" w:rsidRPr="007A3749" w:rsidRDefault="00877907" w:rsidP="006E2C36">
            <w:pPr>
              <w:pStyle w:val="AODocTxtCharChar"/>
              <w:jc w:val="left"/>
            </w:pPr>
            <w:r w:rsidRPr="007A3749">
              <w:t>5</w:t>
            </w:r>
            <w:r w:rsidR="00950C34">
              <w:t>8</w:t>
            </w:r>
          </w:p>
        </w:tc>
        <w:tc>
          <w:tcPr>
            <w:tcW w:w="1079" w:type="pct"/>
          </w:tcPr>
          <w:p w:rsidR="00877907" w:rsidRPr="007A3749" w:rsidRDefault="00877907" w:rsidP="006E2C36">
            <w:pPr>
              <w:pStyle w:val="AODocTxtCharChar"/>
              <w:jc w:val="left"/>
            </w:pPr>
            <w:r w:rsidRPr="007A3749">
              <w:t>Neexekutivní ředitel, předseda představenstva</w:t>
            </w:r>
          </w:p>
        </w:tc>
        <w:tc>
          <w:tcPr>
            <w:tcW w:w="1640" w:type="pct"/>
          </w:tcPr>
          <w:p w:rsidR="00877907" w:rsidRPr="007A3749" w:rsidRDefault="00877907" w:rsidP="006E2C36">
            <w:pPr>
              <w:pStyle w:val="AODocTxtCharChar"/>
              <w:jc w:val="left"/>
            </w:pPr>
            <w:r w:rsidRPr="007A3749">
              <w:t>68-70, boulevard de la Pétrusse, Lucemburk, L-2320, Lucemburské velkovévodství</w:t>
            </w:r>
          </w:p>
        </w:tc>
        <w:tc>
          <w:tcPr>
            <w:tcW w:w="875" w:type="pct"/>
          </w:tcPr>
          <w:p w:rsidR="006E2C36" w:rsidRDefault="00877907" w:rsidP="006E2C36">
            <w:pPr>
              <w:pStyle w:val="AODocTxtCharChar"/>
              <w:jc w:val="left"/>
            </w:pPr>
            <w:r w:rsidRPr="007A3749">
              <w:t xml:space="preserve">1. 1. </w:t>
            </w:r>
            <w:r w:rsidR="00AC6498">
              <w:t>201</w:t>
            </w:r>
            <w:r w:rsidR="00950C34">
              <w:t>7</w:t>
            </w:r>
            <w:r w:rsidRPr="007A3749">
              <w:t xml:space="preserve"> – </w:t>
            </w:r>
          </w:p>
          <w:p w:rsidR="00877907" w:rsidRPr="007A3749" w:rsidRDefault="00877907" w:rsidP="00950C34">
            <w:pPr>
              <w:pStyle w:val="AODocTxtCharChar"/>
              <w:jc w:val="left"/>
            </w:pPr>
            <w:r w:rsidRPr="007A3749">
              <w:t xml:space="preserve">30. 6. </w:t>
            </w:r>
            <w:r w:rsidR="00AC6498">
              <w:t>201</w:t>
            </w:r>
            <w:r w:rsidR="00950C34">
              <w:t>7</w:t>
            </w:r>
          </w:p>
        </w:tc>
      </w:tr>
      <w:tr w:rsidR="00877907" w:rsidRPr="007A3749" w:rsidTr="006E2C36">
        <w:tblPrEx>
          <w:tblCellMar>
            <w:left w:w="108" w:type="dxa"/>
            <w:right w:w="108" w:type="dxa"/>
          </w:tblCellMar>
        </w:tblPrEx>
        <w:tc>
          <w:tcPr>
            <w:tcW w:w="1007" w:type="pct"/>
          </w:tcPr>
          <w:p w:rsidR="00877907" w:rsidRPr="007A3749" w:rsidRDefault="00877907" w:rsidP="006E2C36">
            <w:pPr>
              <w:pStyle w:val="AODocTxtCharChar"/>
              <w:jc w:val="left"/>
            </w:pPr>
            <w:r w:rsidRPr="007A3749">
              <w:t>Jan Sýkora</w:t>
            </w:r>
          </w:p>
        </w:tc>
        <w:tc>
          <w:tcPr>
            <w:tcW w:w="400" w:type="pct"/>
          </w:tcPr>
          <w:p w:rsidR="00877907" w:rsidRPr="007A3749" w:rsidRDefault="00E3356C" w:rsidP="006E2C36">
            <w:pPr>
              <w:pStyle w:val="AODocTxtCharChar"/>
              <w:jc w:val="left"/>
            </w:pPr>
            <w:r w:rsidRPr="007A3749">
              <w:t>4</w:t>
            </w:r>
            <w:r w:rsidR="00950C34">
              <w:t>5</w:t>
            </w:r>
          </w:p>
        </w:tc>
        <w:tc>
          <w:tcPr>
            <w:tcW w:w="1079" w:type="pct"/>
          </w:tcPr>
          <w:p w:rsidR="00877907" w:rsidRPr="007A3749" w:rsidRDefault="00877907" w:rsidP="006E2C36">
            <w:pPr>
              <w:pStyle w:val="AODocTxtCharChar"/>
              <w:jc w:val="left"/>
            </w:pPr>
            <w:r w:rsidRPr="007A3749">
              <w:t>Neexekutivní ředitel</w:t>
            </w:r>
          </w:p>
        </w:tc>
        <w:tc>
          <w:tcPr>
            <w:tcW w:w="1640" w:type="pct"/>
          </w:tcPr>
          <w:p w:rsidR="00877907" w:rsidRPr="007A3749" w:rsidRDefault="00877907" w:rsidP="006E2C36">
            <w:pPr>
              <w:pStyle w:val="AODocTxtCharChar"/>
              <w:jc w:val="left"/>
            </w:pPr>
            <w:r w:rsidRPr="007A3749">
              <w:t>68-70, boulevard de la Pétrusse, Lucemburk, L-2320, Lucemburské velkovévodství</w:t>
            </w:r>
          </w:p>
        </w:tc>
        <w:tc>
          <w:tcPr>
            <w:tcW w:w="875" w:type="pct"/>
          </w:tcPr>
          <w:p w:rsidR="006E2C36" w:rsidRDefault="00877907" w:rsidP="006E2C36">
            <w:pPr>
              <w:pStyle w:val="AODocTxtCharChar"/>
              <w:jc w:val="left"/>
            </w:pPr>
            <w:r w:rsidRPr="007A3749">
              <w:t xml:space="preserve">1. 1. </w:t>
            </w:r>
            <w:r w:rsidR="00AC6498">
              <w:t>201</w:t>
            </w:r>
            <w:r w:rsidR="00950C34">
              <w:t>7</w:t>
            </w:r>
            <w:r w:rsidRPr="007A3749">
              <w:t xml:space="preserve"> – </w:t>
            </w:r>
          </w:p>
          <w:p w:rsidR="00877907" w:rsidRPr="007A3749" w:rsidRDefault="00877907" w:rsidP="00950C34">
            <w:pPr>
              <w:pStyle w:val="AODocTxtCharChar"/>
              <w:jc w:val="left"/>
            </w:pPr>
            <w:r w:rsidRPr="007A3749">
              <w:t xml:space="preserve">30. 6. </w:t>
            </w:r>
            <w:r w:rsidR="00AC6498">
              <w:t>201</w:t>
            </w:r>
            <w:r w:rsidR="00950C34">
              <w:t>7</w:t>
            </w:r>
          </w:p>
        </w:tc>
      </w:tr>
    </w:tbl>
    <w:p w:rsidR="007C2508" w:rsidRPr="007A3749" w:rsidRDefault="007C2508" w:rsidP="007A3749">
      <w:r w:rsidRPr="007A3749">
        <w:t>Během prvního pololetí roku 201</w:t>
      </w:r>
      <w:r w:rsidR="00950C34">
        <w:t>7</w:t>
      </w:r>
      <w:r w:rsidRPr="007A3749">
        <w:t xml:space="preserve"> nedošlo k žádným personálním změnám v představenstvu Společnosti.</w:t>
      </w:r>
    </w:p>
    <w:p w:rsidR="006E2C36" w:rsidRDefault="006E2C36" w:rsidP="006E2C36">
      <w:pPr>
        <w:pStyle w:val="Heading4"/>
      </w:pPr>
    </w:p>
    <w:p w:rsidR="006E2C36" w:rsidRDefault="006E2C36">
      <w:pPr>
        <w:spacing w:before="0" w:beforeAutospacing="0" w:after="0" w:afterAutospacing="0"/>
        <w:jc w:val="left"/>
        <w:rPr>
          <w:b/>
          <w:color w:val="E2001C"/>
        </w:rPr>
      </w:pPr>
      <w:r>
        <w:br w:type="page"/>
      </w:r>
    </w:p>
    <w:p w:rsidR="00457B27" w:rsidRPr="007A3749" w:rsidRDefault="00AE48AE" w:rsidP="006E2C36">
      <w:pPr>
        <w:pStyle w:val="Heading4"/>
      </w:pPr>
      <w:r w:rsidRPr="008A66C6">
        <w:t>Účetní jednotky Skupiny</w:t>
      </w:r>
    </w:p>
    <w:p w:rsidR="005B47BF" w:rsidRPr="007A3749" w:rsidRDefault="006E6DC9" w:rsidP="007A3749">
      <w:pPr>
        <w:pStyle w:val="NormalWeb"/>
      </w:pPr>
      <w:r w:rsidRPr="007A3749">
        <w:t xml:space="preserve">K přepočtu základního </w:t>
      </w:r>
      <w:r w:rsidR="006D3363" w:rsidRPr="007A3749">
        <w:t>kapitálu</w:t>
      </w:r>
      <w:r w:rsidR="0070412E" w:rsidRPr="007A3749">
        <w:t xml:space="preserve"> dceřiných společností jsou</w:t>
      </w:r>
      <w:r w:rsidRPr="007A3749">
        <w:t xml:space="preserve"> použit</w:t>
      </w:r>
      <w:r w:rsidR="0070412E" w:rsidRPr="007A3749">
        <w:t>y</w:t>
      </w:r>
      <w:r w:rsidRPr="007A3749">
        <w:t xml:space="preserve"> kurz</w:t>
      </w:r>
      <w:r w:rsidR="0070412E" w:rsidRPr="007A3749">
        <w:t>y</w:t>
      </w:r>
      <w:r w:rsidRPr="007A3749">
        <w:t xml:space="preserve"> </w:t>
      </w:r>
      <w:r w:rsidR="00F852FB" w:rsidRPr="007A3749">
        <w:t>Kč</w:t>
      </w:r>
      <w:r w:rsidRPr="007A3749">
        <w:t>/</w:t>
      </w:r>
      <w:r w:rsidR="006E6EB9" w:rsidRPr="007A3749">
        <w:t>EUR</w:t>
      </w:r>
      <w:r w:rsidRPr="007A3749">
        <w:t xml:space="preserve"> </w:t>
      </w:r>
      <w:r w:rsidR="000F7E76">
        <w:t>26,197</w:t>
      </w:r>
      <w:r w:rsidR="001F770C">
        <w:t>,</w:t>
      </w:r>
      <w:r w:rsidR="00CC00E4" w:rsidRPr="007A3749">
        <w:t xml:space="preserve"> </w:t>
      </w:r>
      <w:r w:rsidR="009A2A22">
        <w:t>U</w:t>
      </w:r>
      <w:r w:rsidR="00F9620A" w:rsidRPr="007A3749">
        <w:t>SD</w:t>
      </w:r>
      <w:r w:rsidR="00CC00E4" w:rsidRPr="007A3749">
        <w:t>/</w:t>
      </w:r>
      <w:r w:rsidR="00F9620A" w:rsidRPr="007A3749">
        <w:t xml:space="preserve">EUR </w:t>
      </w:r>
      <w:r w:rsidR="003333A0" w:rsidRPr="007A3749">
        <w:t>1,</w:t>
      </w:r>
      <w:r w:rsidR="000F7E76" w:rsidRPr="007A3749">
        <w:t>1</w:t>
      </w:r>
      <w:r w:rsidR="000F7E76">
        <w:t>41</w:t>
      </w:r>
      <w:r w:rsidR="000F7E76" w:rsidRPr="007A3749">
        <w:t xml:space="preserve"> </w:t>
      </w:r>
      <w:r w:rsidR="0028513E">
        <w:t>a ZAR/EUR 14,920</w:t>
      </w:r>
      <w:r w:rsidR="001F770C">
        <w:t xml:space="preserve"> </w:t>
      </w:r>
      <w:r w:rsidR="0070412E" w:rsidRPr="007A3749">
        <w:t>platné</w:t>
      </w:r>
      <w:r w:rsidRPr="007A3749">
        <w:t xml:space="preserve"> k 30. červnu </w:t>
      </w:r>
      <w:r w:rsidR="00CF4152" w:rsidRPr="007A3749">
        <w:t>201</w:t>
      </w:r>
      <w:r w:rsidR="000F7E76">
        <w:t>7</w:t>
      </w:r>
      <w:r w:rsidRPr="007A3749">
        <w:t>.</w:t>
      </w:r>
    </w:p>
    <w:tbl>
      <w:tblPr>
        <w:tblW w:w="5000" w:type="pct"/>
        <w:tblBorders>
          <w:top w:val="single" w:sz="4" w:space="0" w:color="9C9D9F"/>
          <w:left w:val="single" w:sz="4" w:space="0" w:color="9C9D9F"/>
          <w:bottom w:val="single" w:sz="4" w:space="0" w:color="9C9D9F"/>
          <w:right w:val="single" w:sz="4" w:space="0" w:color="9C9D9F"/>
          <w:insideH w:val="single" w:sz="4" w:space="0" w:color="9C9D9F"/>
        </w:tblBorders>
        <w:tblLook w:val="01E0" w:firstRow="1" w:lastRow="1" w:firstColumn="1" w:lastColumn="1" w:noHBand="0" w:noVBand="0"/>
      </w:tblPr>
      <w:tblGrid>
        <w:gridCol w:w="1662"/>
        <w:gridCol w:w="1369"/>
        <w:gridCol w:w="1396"/>
        <w:gridCol w:w="1571"/>
        <w:gridCol w:w="1076"/>
        <w:gridCol w:w="2214"/>
      </w:tblGrid>
      <w:tr w:rsidR="000F7E76" w:rsidRPr="009A2A22" w:rsidTr="002C76B2">
        <w:tc>
          <w:tcPr>
            <w:tcW w:w="895" w:type="pct"/>
            <w:shd w:val="clear" w:color="auto" w:fill="E2001C"/>
          </w:tcPr>
          <w:p w:rsidR="0079799E" w:rsidRPr="00A733EC" w:rsidRDefault="00B7680E" w:rsidP="000F7E76">
            <w:pPr>
              <w:pStyle w:val="NormalWeb"/>
              <w:ind w:right="-147"/>
              <w:jc w:val="center"/>
              <w:rPr>
                <w:b/>
                <w:color w:val="FFFFFF" w:themeColor="background1"/>
                <w:sz w:val="18"/>
                <w:szCs w:val="18"/>
              </w:rPr>
            </w:pPr>
            <w:r w:rsidRPr="00A733EC">
              <w:rPr>
                <w:b/>
                <w:color w:val="FFFFFF" w:themeColor="background1"/>
                <w:sz w:val="18"/>
                <w:szCs w:val="18"/>
              </w:rPr>
              <w:t>Název společnosti</w:t>
            </w:r>
          </w:p>
        </w:tc>
        <w:tc>
          <w:tcPr>
            <w:tcW w:w="735" w:type="pct"/>
            <w:shd w:val="clear" w:color="auto" w:fill="E2001C"/>
          </w:tcPr>
          <w:p w:rsidR="0079799E" w:rsidRPr="00A733EC" w:rsidRDefault="00B7680E" w:rsidP="009A2A22">
            <w:pPr>
              <w:pStyle w:val="NormalWeb"/>
              <w:jc w:val="center"/>
              <w:rPr>
                <w:b/>
                <w:color w:val="FFFFFF" w:themeColor="background1"/>
                <w:sz w:val="18"/>
                <w:szCs w:val="18"/>
              </w:rPr>
            </w:pPr>
            <w:r w:rsidRPr="002C76B2">
              <w:rPr>
                <w:b/>
                <w:color w:val="FFFFFF" w:themeColor="background1"/>
                <w:sz w:val="18"/>
                <w:szCs w:val="18"/>
              </w:rPr>
              <w:t>Datum převzetí</w:t>
            </w:r>
            <w:r w:rsidR="00A53A3C" w:rsidRPr="00A733EC">
              <w:rPr>
                <w:b/>
                <w:color w:val="FFFFFF" w:themeColor="background1"/>
                <w:sz w:val="18"/>
                <w:szCs w:val="18"/>
              </w:rPr>
              <w:t>/zápisu</w:t>
            </w:r>
          </w:p>
        </w:tc>
        <w:tc>
          <w:tcPr>
            <w:tcW w:w="752" w:type="pct"/>
            <w:shd w:val="clear" w:color="auto" w:fill="E2001C"/>
          </w:tcPr>
          <w:p w:rsidR="0079799E" w:rsidRPr="00A733EC" w:rsidRDefault="00B7680E" w:rsidP="009A2A22">
            <w:pPr>
              <w:pStyle w:val="NormalWeb"/>
              <w:jc w:val="center"/>
              <w:rPr>
                <w:b/>
                <w:color w:val="FFFFFF" w:themeColor="background1"/>
                <w:sz w:val="18"/>
                <w:szCs w:val="18"/>
              </w:rPr>
            </w:pPr>
            <w:r w:rsidRPr="00A733EC">
              <w:rPr>
                <w:b/>
                <w:color w:val="FFFFFF" w:themeColor="background1"/>
                <w:sz w:val="18"/>
                <w:szCs w:val="18"/>
              </w:rPr>
              <w:t>Podíly v dceřiných společnostech</w:t>
            </w:r>
          </w:p>
        </w:tc>
        <w:tc>
          <w:tcPr>
            <w:tcW w:w="846" w:type="pct"/>
            <w:shd w:val="clear" w:color="auto" w:fill="E2001C"/>
          </w:tcPr>
          <w:p w:rsidR="0079799E" w:rsidRPr="00A733EC" w:rsidRDefault="00B7680E" w:rsidP="009A2A22">
            <w:pPr>
              <w:pStyle w:val="NormalWeb"/>
              <w:jc w:val="center"/>
              <w:rPr>
                <w:b/>
                <w:color w:val="FFFFFF" w:themeColor="background1"/>
                <w:sz w:val="18"/>
                <w:szCs w:val="18"/>
              </w:rPr>
            </w:pPr>
            <w:r w:rsidRPr="00A733EC">
              <w:rPr>
                <w:b/>
                <w:color w:val="FFFFFF" w:themeColor="background1"/>
                <w:sz w:val="18"/>
                <w:szCs w:val="18"/>
              </w:rPr>
              <w:t>Základní kapitál</w:t>
            </w:r>
            <w:r w:rsidR="000F7E76" w:rsidRPr="00A733EC">
              <w:rPr>
                <w:b/>
                <w:color w:val="FFFFFF" w:themeColor="background1"/>
                <w:sz w:val="18"/>
                <w:szCs w:val="18"/>
              </w:rPr>
              <w:t xml:space="preserve"> v tis. Kč/tis. USD/ZAR</w:t>
            </w:r>
          </w:p>
        </w:tc>
        <w:tc>
          <w:tcPr>
            <w:tcW w:w="580" w:type="pct"/>
            <w:shd w:val="clear" w:color="auto" w:fill="E2001C"/>
          </w:tcPr>
          <w:p w:rsidR="0079799E" w:rsidRPr="00A733EC" w:rsidRDefault="00B7680E" w:rsidP="000F7E76">
            <w:pPr>
              <w:pStyle w:val="NormalWeb"/>
              <w:jc w:val="center"/>
              <w:rPr>
                <w:b/>
                <w:color w:val="FFFFFF" w:themeColor="background1"/>
                <w:sz w:val="18"/>
                <w:szCs w:val="18"/>
              </w:rPr>
            </w:pPr>
            <w:r w:rsidRPr="00A733EC">
              <w:rPr>
                <w:b/>
                <w:color w:val="FFFFFF" w:themeColor="background1"/>
                <w:sz w:val="18"/>
                <w:szCs w:val="18"/>
              </w:rPr>
              <w:t>Základní kapitál v tis. EUR</w:t>
            </w:r>
          </w:p>
        </w:tc>
        <w:tc>
          <w:tcPr>
            <w:tcW w:w="1193" w:type="pct"/>
            <w:shd w:val="clear" w:color="auto" w:fill="E2001C"/>
          </w:tcPr>
          <w:p w:rsidR="0079799E" w:rsidRPr="00A733EC" w:rsidRDefault="00B7680E" w:rsidP="009A2A22">
            <w:pPr>
              <w:pStyle w:val="NormalWeb"/>
              <w:jc w:val="center"/>
              <w:rPr>
                <w:b/>
                <w:color w:val="FFFFFF" w:themeColor="background1"/>
                <w:sz w:val="18"/>
                <w:szCs w:val="18"/>
              </w:rPr>
            </w:pPr>
            <w:r w:rsidRPr="00A733EC">
              <w:rPr>
                <w:b/>
                <w:color w:val="FFFFFF" w:themeColor="background1"/>
                <w:sz w:val="18"/>
                <w:szCs w:val="18"/>
              </w:rPr>
              <w:t>Počet akcií a jejich nominální hodnota</w:t>
            </w:r>
          </w:p>
        </w:tc>
      </w:tr>
      <w:tr w:rsidR="000F7E76" w:rsidRPr="009A2A22" w:rsidTr="002C76B2">
        <w:trPr>
          <w:trHeight w:val="843"/>
        </w:trPr>
        <w:tc>
          <w:tcPr>
            <w:tcW w:w="895" w:type="pct"/>
          </w:tcPr>
          <w:p w:rsidR="0079799E" w:rsidRPr="00A733EC" w:rsidRDefault="003E6394" w:rsidP="000F7E76">
            <w:pPr>
              <w:ind w:right="-147"/>
              <w:jc w:val="left"/>
              <w:rPr>
                <w:sz w:val="18"/>
                <w:szCs w:val="18"/>
                <w:vertAlign w:val="superscript"/>
              </w:rPr>
            </w:pPr>
            <w:r w:rsidRPr="00A733EC">
              <w:rPr>
                <w:sz w:val="18"/>
                <w:szCs w:val="18"/>
              </w:rPr>
              <w:t>PEGAS NON</w:t>
            </w:r>
            <w:r w:rsidR="004444BC" w:rsidRPr="00A733EC">
              <w:rPr>
                <w:sz w:val="18"/>
                <w:szCs w:val="18"/>
              </w:rPr>
              <w:t>WOVEN</w:t>
            </w:r>
            <w:r w:rsidR="009F1A7B" w:rsidRPr="00A733EC">
              <w:rPr>
                <w:sz w:val="18"/>
                <w:szCs w:val="18"/>
              </w:rPr>
              <w:t>S s.r.o.</w:t>
            </w:r>
          </w:p>
        </w:tc>
        <w:tc>
          <w:tcPr>
            <w:tcW w:w="735" w:type="pct"/>
          </w:tcPr>
          <w:p w:rsidR="0079799E" w:rsidRPr="00A733EC" w:rsidRDefault="009402CC" w:rsidP="0054249C">
            <w:pPr>
              <w:jc w:val="right"/>
              <w:rPr>
                <w:sz w:val="18"/>
                <w:szCs w:val="18"/>
              </w:rPr>
            </w:pPr>
            <w:r w:rsidRPr="00A733EC">
              <w:rPr>
                <w:sz w:val="18"/>
                <w:szCs w:val="18"/>
              </w:rPr>
              <w:t>5. 12. 2005</w:t>
            </w:r>
          </w:p>
        </w:tc>
        <w:tc>
          <w:tcPr>
            <w:tcW w:w="752" w:type="pct"/>
          </w:tcPr>
          <w:p w:rsidR="0079799E" w:rsidRPr="00A733EC" w:rsidRDefault="007C2D5B" w:rsidP="009A2A22">
            <w:pPr>
              <w:jc w:val="center"/>
              <w:rPr>
                <w:sz w:val="18"/>
                <w:szCs w:val="18"/>
              </w:rPr>
            </w:pPr>
            <w:r w:rsidRPr="00A733EC">
              <w:rPr>
                <w:sz w:val="18"/>
                <w:szCs w:val="18"/>
              </w:rPr>
              <w:t>100</w:t>
            </w:r>
            <w:r w:rsidR="00865CEE" w:rsidRPr="00A733EC">
              <w:rPr>
                <w:sz w:val="18"/>
                <w:szCs w:val="18"/>
              </w:rPr>
              <w:t xml:space="preserve"> </w:t>
            </w:r>
            <w:r w:rsidRPr="00A733EC">
              <w:rPr>
                <w:sz w:val="18"/>
                <w:szCs w:val="18"/>
              </w:rPr>
              <w:t>%</w:t>
            </w:r>
          </w:p>
        </w:tc>
        <w:tc>
          <w:tcPr>
            <w:tcW w:w="846" w:type="pct"/>
          </w:tcPr>
          <w:p w:rsidR="0079799E" w:rsidRPr="00A733EC" w:rsidRDefault="007C2D5B" w:rsidP="009A2A22">
            <w:pPr>
              <w:jc w:val="right"/>
              <w:rPr>
                <w:sz w:val="18"/>
                <w:szCs w:val="18"/>
              </w:rPr>
            </w:pPr>
            <w:r w:rsidRPr="00A733EC">
              <w:rPr>
                <w:sz w:val="18"/>
                <w:szCs w:val="18"/>
              </w:rPr>
              <w:t>3</w:t>
            </w:r>
            <w:r w:rsidR="001657F0" w:rsidRPr="00A733EC">
              <w:rPr>
                <w:sz w:val="18"/>
                <w:szCs w:val="18"/>
              </w:rPr>
              <w:t> </w:t>
            </w:r>
            <w:r w:rsidRPr="00A733EC">
              <w:rPr>
                <w:sz w:val="18"/>
                <w:szCs w:val="18"/>
              </w:rPr>
              <w:t>633</w:t>
            </w:r>
            <w:r w:rsidR="00A31A7C" w:rsidRPr="00A733EC">
              <w:rPr>
                <w:sz w:val="18"/>
                <w:szCs w:val="18"/>
              </w:rPr>
              <w:t xml:space="preserve"> tis. Kč</w:t>
            </w:r>
          </w:p>
        </w:tc>
        <w:tc>
          <w:tcPr>
            <w:tcW w:w="580" w:type="pct"/>
          </w:tcPr>
          <w:p w:rsidR="0079799E" w:rsidRPr="00A733EC" w:rsidRDefault="00F9317B" w:rsidP="000F7E76">
            <w:pPr>
              <w:jc w:val="right"/>
              <w:rPr>
                <w:sz w:val="18"/>
                <w:szCs w:val="18"/>
              </w:rPr>
            </w:pPr>
            <w:r w:rsidRPr="00A733EC">
              <w:rPr>
                <w:sz w:val="18"/>
                <w:szCs w:val="18"/>
              </w:rPr>
              <w:t>1</w:t>
            </w:r>
            <w:r w:rsidR="00265127" w:rsidRPr="00A733EC">
              <w:rPr>
                <w:sz w:val="18"/>
                <w:szCs w:val="18"/>
              </w:rPr>
              <w:t>3</w:t>
            </w:r>
            <w:r w:rsidR="000F7E76" w:rsidRPr="00A733EC">
              <w:rPr>
                <w:sz w:val="18"/>
                <w:szCs w:val="18"/>
              </w:rPr>
              <w:t>7</w:t>
            </w:r>
          </w:p>
        </w:tc>
        <w:tc>
          <w:tcPr>
            <w:tcW w:w="1193" w:type="pct"/>
          </w:tcPr>
          <w:p w:rsidR="0079799E" w:rsidRPr="00A733EC" w:rsidRDefault="007C2D5B" w:rsidP="000F7E76">
            <w:pPr>
              <w:jc w:val="right"/>
              <w:rPr>
                <w:sz w:val="18"/>
                <w:szCs w:val="18"/>
              </w:rPr>
            </w:pPr>
            <w:r w:rsidRPr="00A733EC">
              <w:rPr>
                <w:sz w:val="18"/>
                <w:szCs w:val="18"/>
              </w:rPr>
              <w:t>100</w:t>
            </w:r>
            <w:r w:rsidR="00865CEE" w:rsidRPr="00A733EC">
              <w:rPr>
                <w:sz w:val="18"/>
                <w:szCs w:val="18"/>
              </w:rPr>
              <w:t xml:space="preserve"> </w:t>
            </w:r>
            <w:r w:rsidRPr="00A733EC">
              <w:rPr>
                <w:sz w:val="18"/>
                <w:szCs w:val="18"/>
              </w:rPr>
              <w:t xml:space="preserve">% </w:t>
            </w:r>
            <w:r w:rsidR="00B7680E" w:rsidRPr="00A733EC">
              <w:rPr>
                <w:sz w:val="18"/>
                <w:szCs w:val="18"/>
              </w:rPr>
              <w:t xml:space="preserve">podíl v hodnotě </w:t>
            </w:r>
            <w:r w:rsidRPr="00A733EC">
              <w:rPr>
                <w:sz w:val="18"/>
                <w:szCs w:val="18"/>
              </w:rPr>
              <w:t>3</w:t>
            </w:r>
            <w:r w:rsidR="00952729" w:rsidRPr="00A733EC">
              <w:rPr>
                <w:b/>
                <w:sz w:val="18"/>
                <w:szCs w:val="18"/>
              </w:rPr>
              <w:t> </w:t>
            </w:r>
            <w:r w:rsidRPr="00A733EC">
              <w:rPr>
                <w:sz w:val="18"/>
                <w:szCs w:val="18"/>
              </w:rPr>
              <w:t>633</w:t>
            </w:r>
            <w:r w:rsidR="003E6394" w:rsidRPr="00A733EC">
              <w:rPr>
                <w:sz w:val="18"/>
                <w:szCs w:val="18"/>
              </w:rPr>
              <w:t xml:space="preserve"> t</w:t>
            </w:r>
            <w:r w:rsidR="00B7680E" w:rsidRPr="00A733EC">
              <w:rPr>
                <w:sz w:val="18"/>
                <w:szCs w:val="18"/>
              </w:rPr>
              <w:t>is. Kč</w:t>
            </w:r>
          </w:p>
        </w:tc>
      </w:tr>
      <w:tr w:rsidR="000F7E76" w:rsidRPr="009A2A22" w:rsidTr="002C76B2">
        <w:tc>
          <w:tcPr>
            <w:tcW w:w="895" w:type="pct"/>
          </w:tcPr>
          <w:p w:rsidR="0092001F" w:rsidRPr="00A733EC" w:rsidRDefault="009402CC" w:rsidP="000F7E76">
            <w:pPr>
              <w:ind w:right="-147"/>
              <w:jc w:val="left"/>
              <w:rPr>
                <w:sz w:val="18"/>
                <w:szCs w:val="18"/>
              </w:rPr>
            </w:pPr>
            <w:r w:rsidRPr="00A733EC">
              <w:rPr>
                <w:sz w:val="18"/>
                <w:szCs w:val="18"/>
              </w:rPr>
              <w:t>PEGAS</w:t>
            </w:r>
            <w:r w:rsidR="0092001F" w:rsidRPr="00A733EC">
              <w:rPr>
                <w:sz w:val="18"/>
                <w:szCs w:val="18"/>
              </w:rPr>
              <w:t>-NT a.s.</w:t>
            </w:r>
          </w:p>
        </w:tc>
        <w:tc>
          <w:tcPr>
            <w:tcW w:w="735" w:type="pct"/>
          </w:tcPr>
          <w:p w:rsidR="0092001F" w:rsidRPr="00A733EC" w:rsidRDefault="009402CC" w:rsidP="00A733EC">
            <w:pPr>
              <w:jc w:val="right"/>
              <w:rPr>
                <w:sz w:val="18"/>
                <w:szCs w:val="18"/>
              </w:rPr>
            </w:pPr>
            <w:r w:rsidRPr="00A733EC">
              <w:rPr>
                <w:sz w:val="18"/>
                <w:szCs w:val="18"/>
              </w:rPr>
              <w:t>14. 12. 2005</w:t>
            </w:r>
          </w:p>
        </w:tc>
        <w:tc>
          <w:tcPr>
            <w:tcW w:w="752" w:type="pct"/>
          </w:tcPr>
          <w:p w:rsidR="0092001F" w:rsidRPr="00A733EC" w:rsidRDefault="007C2D5B" w:rsidP="009A2A22">
            <w:pPr>
              <w:jc w:val="center"/>
              <w:rPr>
                <w:sz w:val="18"/>
                <w:szCs w:val="18"/>
              </w:rPr>
            </w:pPr>
            <w:r w:rsidRPr="00A733EC">
              <w:rPr>
                <w:sz w:val="18"/>
                <w:szCs w:val="18"/>
              </w:rPr>
              <w:t>100</w:t>
            </w:r>
            <w:r w:rsidR="00865CEE" w:rsidRPr="00A733EC">
              <w:rPr>
                <w:sz w:val="18"/>
                <w:szCs w:val="18"/>
              </w:rPr>
              <w:t xml:space="preserve"> </w:t>
            </w:r>
            <w:r w:rsidRPr="00A733EC">
              <w:rPr>
                <w:sz w:val="18"/>
                <w:szCs w:val="18"/>
              </w:rPr>
              <w:t>%</w:t>
            </w:r>
          </w:p>
        </w:tc>
        <w:tc>
          <w:tcPr>
            <w:tcW w:w="846" w:type="pct"/>
          </w:tcPr>
          <w:p w:rsidR="007C2D5B" w:rsidRPr="00A733EC" w:rsidRDefault="007C2D5B" w:rsidP="009A2A22">
            <w:pPr>
              <w:jc w:val="right"/>
              <w:rPr>
                <w:sz w:val="18"/>
                <w:szCs w:val="18"/>
              </w:rPr>
            </w:pPr>
            <w:r w:rsidRPr="00A733EC">
              <w:rPr>
                <w:sz w:val="18"/>
                <w:szCs w:val="18"/>
              </w:rPr>
              <w:t>550</w:t>
            </w:r>
            <w:r w:rsidR="00136A1A" w:rsidRPr="00A733EC">
              <w:rPr>
                <w:sz w:val="18"/>
                <w:szCs w:val="18"/>
              </w:rPr>
              <w:t xml:space="preserve"> </w:t>
            </w:r>
            <w:r w:rsidRPr="00A733EC">
              <w:rPr>
                <w:sz w:val="18"/>
                <w:szCs w:val="18"/>
              </w:rPr>
              <w:t>000</w:t>
            </w:r>
            <w:r w:rsidR="00A31A7C" w:rsidRPr="00A733EC">
              <w:rPr>
                <w:sz w:val="18"/>
                <w:szCs w:val="18"/>
              </w:rPr>
              <w:t xml:space="preserve"> tis. Kč</w:t>
            </w:r>
          </w:p>
          <w:p w:rsidR="0092001F" w:rsidRPr="00A733EC" w:rsidRDefault="0092001F" w:rsidP="009A2A22">
            <w:pPr>
              <w:jc w:val="right"/>
              <w:rPr>
                <w:sz w:val="18"/>
                <w:szCs w:val="18"/>
              </w:rPr>
            </w:pPr>
          </w:p>
        </w:tc>
        <w:tc>
          <w:tcPr>
            <w:tcW w:w="580" w:type="pct"/>
          </w:tcPr>
          <w:p w:rsidR="0092001F" w:rsidRPr="00A733EC" w:rsidRDefault="00265127" w:rsidP="000F7E76">
            <w:pPr>
              <w:jc w:val="right"/>
              <w:rPr>
                <w:sz w:val="18"/>
                <w:szCs w:val="18"/>
              </w:rPr>
            </w:pPr>
            <w:r w:rsidRPr="00A733EC">
              <w:rPr>
                <w:sz w:val="18"/>
                <w:szCs w:val="18"/>
              </w:rPr>
              <w:t xml:space="preserve">20 </w:t>
            </w:r>
            <w:r w:rsidR="000F7E76" w:rsidRPr="00A733EC">
              <w:rPr>
                <w:sz w:val="18"/>
                <w:szCs w:val="18"/>
              </w:rPr>
              <w:t>994</w:t>
            </w:r>
          </w:p>
        </w:tc>
        <w:tc>
          <w:tcPr>
            <w:tcW w:w="1193" w:type="pct"/>
          </w:tcPr>
          <w:p w:rsidR="0092001F" w:rsidRPr="00A733EC" w:rsidRDefault="004D4395" w:rsidP="000F7E76">
            <w:pPr>
              <w:ind w:right="-168"/>
              <w:jc w:val="right"/>
              <w:rPr>
                <w:sz w:val="18"/>
                <w:szCs w:val="18"/>
              </w:rPr>
            </w:pPr>
            <w:r w:rsidRPr="00A733EC">
              <w:rPr>
                <w:sz w:val="18"/>
                <w:szCs w:val="18"/>
              </w:rPr>
              <w:t>54</w:t>
            </w:r>
            <w:r w:rsidR="00171FF0" w:rsidRPr="00A733EC">
              <w:rPr>
                <w:sz w:val="18"/>
                <w:szCs w:val="18"/>
              </w:rPr>
              <w:t xml:space="preserve"> akcií v nomin. hodnotě </w:t>
            </w:r>
            <w:r w:rsidRPr="00A733EC">
              <w:rPr>
                <w:sz w:val="18"/>
                <w:szCs w:val="18"/>
              </w:rPr>
              <w:t>10</w:t>
            </w:r>
            <w:r w:rsidR="00136A1A" w:rsidRPr="00A733EC">
              <w:rPr>
                <w:sz w:val="18"/>
                <w:szCs w:val="18"/>
              </w:rPr>
              <w:t xml:space="preserve"> </w:t>
            </w:r>
            <w:r w:rsidRPr="00A733EC">
              <w:rPr>
                <w:sz w:val="18"/>
                <w:szCs w:val="18"/>
              </w:rPr>
              <w:t>000 tis. Kč za akcii a 10</w:t>
            </w:r>
            <w:r w:rsidR="006C2BB9" w:rsidRPr="00A733EC">
              <w:rPr>
                <w:sz w:val="18"/>
                <w:szCs w:val="18"/>
              </w:rPr>
              <w:t xml:space="preserve"> akcií v nomin. hodnotě </w:t>
            </w:r>
            <w:r w:rsidR="007C2D5B" w:rsidRPr="00A733EC">
              <w:rPr>
                <w:sz w:val="18"/>
                <w:szCs w:val="18"/>
              </w:rPr>
              <w:t>1</w:t>
            </w:r>
            <w:r w:rsidR="009A2A22" w:rsidRPr="00A733EC">
              <w:rPr>
                <w:sz w:val="18"/>
                <w:szCs w:val="18"/>
              </w:rPr>
              <w:t> </w:t>
            </w:r>
            <w:r w:rsidR="007C2D5B" w:rsidRPr="00A733EC">
              <w:rPr>
                <w:sz w:val="18"/>
                <w:szCs w:val="18"/>
              </w:rPr>
              <w:t>000</w:t>
            </w:r>
            <w:r w:rsidR="006C2BB9" w:rsidRPr="00A733EC">
              <w:rPr>
                <w:sz w:val="18"/>
                <w:szCs w:val="18"/>
              </w:rPr>
              <w:t xml:space="preserve"> tis. za akcii</w:t>
            </w:r>
          </w:p>
        </w:tc>
      </w:tr>
      <w:tr w:rsidR="000F7E76" w:rsidRPr="009A2A22" w:rsidTr="002C76B2">
        <w:tc>
          <w:tcPr>
            <w:tcW w:w="895" w:type="pct"/>
          </w:tcPr>
          <w:p w:rsidR="0092001F" w:rsidRPr="00A733EC" w:rsidRDefault="009402CC" w:rsidP="000F7E76">
            <w:pPr>
              <w:ind w:right="-147"/>
              <w:jc w:val="left"/>
              <w:rPr>
                <w:sz w:val="18"/>
                <w:szCs w:val="18"/>
              </w:rPr>
            </w:pPr>
            <w:r w:rsidRPr="00A733EC">
              <w:rPr>
                <w:sz w:val="18"/>
                <w:szCs w:val="18"/>
              </w:rPr>
              <w:t>PEGAS</w:t>
            </w:r>
            <w:r w:rsidR="004444BC" w:rsidRPr="00A733EC">
              <w:rPr>
                <w:sz w:val="18"/>
                <w:szCs w:val="18"/>
              </w:rPr>
              <w:t xml:space="preserve"> </w:t>
            </w:r>
            <w:r w:rsidR="0092001F" w:rsidRPr="00A733EC">
              <w:rPr>
                <w:sz w:val="18"/>
                <w:szCs w:val="18"/>
              </w:rPr>
              <w:t>-</w:t>
            </w:r>
            <w:r w:rsidR="004444BC" w:rsidRPr="00A733EC">
              <w:rPr>
                <w:sz w:val="18"/>
                <w:szCs w:val="18"/>
              </w:rPr>
              <w:t xml:space="preserve"> </w:t>
            </w:r>
            <w:r w:rsidR="0092001F" w:rsidRPr="00A733EC">
              <w:rPr>
                <w:sz w:val="18"/>
                <w:szCs w:val="18"/>
              </w:rPr>
              <w:t>NW a.s.</w:t>
            </w:r>
          </w:p>
        </w:tc>
        <w:tc>
          <w:tcPr>
            <w:tcW w:w="735" w:type="pct"/>
          </w:tcPr>
          <w:p w:rsidR="0092001F" w:rsidRPr="00A733EC" w:rsidRDefault="009402CC" w:rsidP="00A733EC">
            <w:pPr>
              <w:jc w:val="right"/>
              <w:rPr>
                <w:sz w:val="18"/>
                <w:szCs w:val="18"/>
              </w:rPr>
            </w:pPr>
            <w:r w:rsidRPr="00A733EC">
              <w:rPr>
                <w:sz w:val="18"/>
                <w:szCs w:val="18"/>
              </w:rPr>
              <w:t>14. 12. 2005</w:t>
            </w:r>
          </w:p>
        </w:tc>
        <w:tc>
          <w:tcPr>
            <w:tcW w:w="752" w:type="pct"/>
          </w:tcPr>
          <w:p w:rsidR="0092001F" w:rsidRPr="00A733EC" w:rsidRDefault="007C2D5B" w:rsidP="009A2A22">
            <w:pPr>
              <w:jc w:val="center"/>
              <w:rPr>
                <w:sz w:val="18"/>
                <w:szCs w:val="18"/>
              </w:rPr>
            </w:pPr>
            <w:r w:rsidRPr="00A733EC">
              <w:rPr>
                <w:sz w:val="18"/>
                <w:szCs w:val="18"/>
              </w:rPr>
              <w:t>100</w:t>
            </w:r>
            <w:r w:rsidR="00865CEE" w:rsidRPr="00A733EC">
              <w:rPr>
                <w:sz w:val="18"/>
                <w:szCs w:val="18"/>
              </w:rPr>
              <w:t xml:space="preserve"> </w:t>
            </w:r>
            <w:r w:rsidRPr="00A733EC">
              <w:rPr>
                <w:sz w:val="18"/>
                <w:szCs w:val="18"/>
              </w:rPr>
              <w:t>%</w:t>
            </w:r>
          </w:p>
        </w:tc>
        <w:tc>
          <w:tcPr>
            <w:tcW w:w="846" w:type="pct"/>
          </w:tcPr>
          <w:p w:rsidR="007C2D5B" w:rsidRPr="00A733EC" w:rsidRDefault="00D04D50" w:rsidP="009A2A22">
            <w:pPr>
              <w:jc w:val="right"/>
              <w:rPr>
                <w:sz w:val="18"/>
                <w:szCs w:val="18"/>
              </w:rPr>
            </w:pPr>
            <w:r w:rsidRPr="00A733EC">
              <w:rPr>
                <w:sz w:val="18"/>
                <w:szCs w:val="18"/>
              </w:rPr>
              <w:t>6</w:t>
            </w:r>
            <w:r w:rsidR="007C2D5B" w:rsidRPr="00A733EC">
              <w:rPr>
                <w:sz w:val="18"/>
                <w:szCs w:val="18"/>
              </w:rPr>
              <w:t>50</w:t>
            </w:r>
            <w:r w:rsidR="00136A1A" w:rsidRPr="00A733EC">
              <w:rPr>
                <w:sz w:val="18"/>
                <w:szCs w:val="18"/>
              </w:rPr>
              <w:t xml:space="preserve"> </w:t>
            </w:r>
            <w:r w:rsidR="007C2D5B" w:rsidRPr="00A733EC">
              <w:rPr>
                <w:sz w:val="18"/>
                <w:szCs w:val="18"/>
              </w:rPr>
              <w:t>000</w:t>
            </w:r>
            <w:r w:rsidR="00A31A7C" w:rsidRPr="00A733EC">
              <w:rPr>
                <w:sz w:val="18"/>
                <w:szCs w:val="18"/>
              </w:rPr>
              <w:t xml:space="preserve"> tis. Kč</w:t>
            </w:r>
          </w:p>
          <w:p w:rsidR="0092001F" w:rsidRPr="00A733EC" w:rsidRDefault="0092001F" w:rsidP="009A2A22">
            <w:pPr>
              <w:jc w:val="right"/>
              <w:rPr>
                <w:sz w:val="18"/>
                <w:szCs w:val="18"/>
              </w:rPr>
            </w:pPr>
          </w:p>
        </w:tc>
        <w:tc>
          <w:tcPr>
            <w:tcW w:w="580" w:type="pct"/>
          </w:tcPr>
          <w:p w:rsidR="0092001F" w:rsidRPr="00A733EC" w:rsidRDefault="00265127" w:rsidP="000F7E76">
            <w:pPr>
              <w:jc w:val="right"/>
              <w:rPr>
                <w:sz w:val="18"/>
                <w:szCs w:val="18"/>
              </w:rPr>
            </w:pPr>
            <w:r w:rsidRPr="00A733EC">
              <w:rPr>
                <w:sz w:val="18"/>
                <w:szCs w:val="18"/>
              </w:rPr>
              <w:t>2</w:t>
            </w:r>
            <w:r w:rsidR="000F7E76" w:rsidRPr="00A733EC">
              <w:rPr>
                <w:sz w:val="18"/>
                <w:szCs w:val="18"/>
              </w:rPr>
              <w:t>4</w:t>
            </w:r>
            <w:r w:rsidRPr="00A733EC">
              <w:rPr>
                <w:sz w:val="18"/>
                <w:szCs w:val="18"/>
              </w:rPr>
              <w:t xml:space="preserve"> </w:t>
            </w:r>
            <w:r w:rsidR="000F7E76" w:rsidRPr="00A733EC">
              <w:rPr>
                <w:sz w:val="18"/>
                <w:szCs w:val="18"/>
              </w:rPr>
              <w:t>812</w:t>
            </w:r>
          </w:p>
        </w:tc>
        <w:tc>
          <w:tcPr>
            <w:tcW w:w="1193" w:type="pct"/>
          </w:tcPr>
          <w:p w:rsidR="0092001F" w:rsidRPr="00A733EC" w:rsidRDefault="00CC00E4" w:rsidP="00A733EC">
            <w:pPr>
              <w:jc w:val="right"/>
              <w:rPr>
                <w:sz w:val="18"/>
                <w:szCs w:val="18"/>
              </w:rPr>
            </w:pPr>
            <w:r w:rsidRPr="00A733EC">
              <w:rPr>
                <w:sz w:val="18"/>
                <w:szCs w:val="18"/>
              </w:rPr>
              <w:t>6</w:t>
            </w:r>
            <w:r w:rsidR="004D4395" w:rsidRPr="00A733EC">
              <w:rPr>
                <w:sz w:val="18"/>
                <w:szCs w:val="18"/>
              </w:rPr>
              <w:t>4</w:t>
            </w:r>
            <w:r w:rsidR="006C2BB9" w:rsidRPr="00A733EC">
              <w:rPr>
                <w:sz w:val="18"/>
                <w:szCs w:val="18"/>
              </w:rPr>
              <w:t xml:space="preserve"> akcií v nomin. hodnotě</w:t>
            </w:r>
            <w:r w:rsidR="007C2D5B" w:rsidRPr="00A733EC">
              <w:rPr>
                <w:sz w:val="18"/>
                <w:szCs w:val="18"/>
              </w:rPr>
              <w:t xml:space="preserve"> 10</w:t>
            </w:r>
            <w:r w:rsidR="00136A1A" w:rsidRPr="00A733EC">
              <w:rPr>
                <w:sz w:val="18"/>
                <w:szCs w:val="18"/>
              </w:rPr>
              <w:t xml:space="preserve"> </w:t>
            </w:r>
            <w:r w:rsidR="007C2D5B" w:rsidRPr="00A733EC">
              <w:rPr>
                <w:sz w:val="18"/>
                <w:szCs w:val="18"/>
              </w:rPr>
              <w:t>000</w:t>
            </w:r>
            <w:r w:rsidR="006C2BB9" w:rsidRPr="00A733EC">
              <w:rPr>
                <w:sz w:val="18"/>
                <w:szCs w:val="18"/>
              </w:rPr>
              <w:t xml:space="preserve"> tis. Kč za akcii</w:t>
            </w:r>
            <w:r w:rsidR="004D4395" w:rsidRPr="00A733EC">
              <w:rPr>
                <w:sz w:val="18"/>
                <w:szCs w:val="18"/>
              </w:rPr>
              <w:t xml:space="preserve"> </w:t>
            </w:r>
            <w:r w:rsidR="006C2BB9" w:rsidRPr="00A733EC">
              <w:rPr>
                <w:sz w:val="18"/>
                <w:szCs w:val="18"/>
              </w:rPr>
              <w:t xml:space="preserve">a </w:t>
            </w:r>
            <w:r w:rsidR="003E6394" w:rsidRPr="00A733EC">
              <w:rPr>
                <w:sz w:val="18"/>
                <w:szCs w:val="18"/>
              </w:rPr>
              <w:t>10</w:t>
            </w:r>
            <w:r w:rsidR="006C2BB9" w:rsidRPr="00A733EC">
              <w:rPr>
                <w:sz w:val="18"/>
                <w:szCs w:val="18"/>
              </w:rPr>
              <w:t xml:space="preserve"> akcií v nomin. hodnotě </w:t>
            </w:r>
            <w:r w:rsidR="007C2D5B" w:rsidRPr="00A733EC">
              <w:rPr>
                <w:sz w:val="18"/>
                <w:szCs w:val="18"/>
              </w:rPr>
              <w:t>1</w:t>
            </w:r>
            <w:r w:rsidR="009A2A22" w:rsidRPr="00A733EC">
              <w:rPr>
                <w:sz w:val="18"/>
                <w:szCs w:val="18"/>
              </w:rPr>
              <w:t> </w:t>
            </w:r>
            <w:r w:rsidR="007C2D5B" w:rsidRPr="00A733EC">
              <w:rPr>
                <w:sz w:val="18"/>
                <w:szCs w:val="18"/>
              </w:rPr>
              <w:t>000</w:t>
            </w:r>
            <w:r w:rsidR="006C2BB9" w:rsidRPr="00A733EC">
              <w:rPr>
                <w:sz w:val="18"/>
                <w:szCs w:val="18"/>
              </w:rPr>
              <w:t xml:space="preserve"> tis. za akcii</w:t>
            </w:r>
          </w:p>
        </w:tc>
      </w:tr>
      <w:tr w:rsidR="000F7E76" w:rsidRPr="009A2A22" w:rsidTr="002C76B2">
        <w:tc>
          <w:tcPr>
            <w:tcW w:w="895" w:type="pct"/>
          </w:tcPr>
          <w:p w:rsidR="0092001F" w:rsidRPr="00A733EC" w:rsidRDefault="009402CC" w:rsidP="000F7E76">
            <w:pPr>
              <w:ind w:right="-147"/>
              <w:jc w:val="left"/>
              <w:rPr>
                <w:sz w:val="18"/>
                <w:szCs w:val="18"/>
                <w:vertAlign w:val="superscript"/>
              </w:rPr>
            </w:pPr>
            <w:r w:rsidRPr="00A733EC">
              <w:rPr>
                <w:sz w:val="18"/>
                <w:szCs w:val="18"/>
              </w:rPr>
              <w:t>PEGAS</w:t>
            </w:r>
            <w:r w:rsidR="004444BC" w:rsidRPr="00A733EC">
              <w:rPr>
                <w:sz w:val="18"/>
                <w:szCs w:val="18"/>
              </w:rPr>
              <w:t xml:space="preserve"> </w:t>
            </w:r>
            <w:r w:rsidR="0092001F" w:rsidRPr="00A733EC">
              <w:rPr>
                <w:sz w:val="18"/>
                <w:szCs w:val="18"/>
              </w:rPr>
              <w:t>-</w:t>
            </w:r>
            <w:r w:rsidR="004444BC" w:rsidRPr="00A733EC">
              <w:rPr>
                <w:sz w:val="18"/>
                <w:szCs w:val="18"/>
              </w:rPr>
              <w:t xml:space="preserve"> </w:t>
            </w:r>
            <w:r w:rsidR="0092001F" w:rsidRPr="00A733EC">
              <w:rPr>
                <w:sz w:val="18"/>
                <w:szCs w:val="18"/>
              </w:rPr>
              <w:t>NS a.s.</w:t>
            </w:r>
          </w:p>
        </w:tc>
        <w:tc>
          <w:tcPr>
            <w:tcW w:w="735" w:type="pct"/>
          </w:tcPr>
          <w:p w:rsidR="0092001F" w:rsidRPr="00A733EC" w:rsidRDefault="009402CC" w:rsidP="00A733EC">
            <w:pPr>
              <w:jc w:val="right"/>
              <w:rPr>
                <w:sz w:val="18"/>
                <w:szCs w:val="18"/>
              </w:rPr>
            </w:pPr>
            <w:r w:rsidRPr="00A733EC">
              <w:rPr>
                <w:sz w:val="18"/>
                <w:szCs w:val="18"/>
              </w:rPr>
              <w:t>3. 12. 2007</w:t>
            </w:r>
          </w:p>
        </w:tc>
        <w:tc>
          <w:tcPr>
            <w:tcW w:w="752" w:type="pct"/>
          </w:tcPr>
          <w:p w:rsidR="0092001F" w:rsidRPr="00A733EC" w:rsidRDefault="007C2D5B" w:rsidP="009A2A22">
            <w:pPr>
              <w:jc w:val="center"/>
              <w:rPr>
                <w:sz w:val="18"/>
                <w:szCs w:val="18"/>
              </w:rPr>
            </w:pPr>
            <w:r w:rsidRPr="00A733EC">
              <w:rPr>
                <w:sz w:val="18"/>
                <w:szCs w:val="18"/>
              </w:rPr>
              <w:t>100</w:t>
            </w:r>
            <w:r w:rsidR="00865CEE" w:rsidRPr="00A733EC">
              <w:rPr>
                <w:sz w:val="18"/>
                <w:szCs w:val="18"/>
              </w:rPr>
              <w:t xml:space="preserve"> </w:t>
            </w:r>
            <w:r w:rsidRPr="00A733EC">
              <w:rPr>
                <w:sz w:val="18"/>
                <w:szCs w:val="18"/>
              </w:rPr>
              <w:t>%</w:t>
            </w:r>
          </w:p>
        </w:tc>
        <w:tc>
          <w:tcPr>
            <w:tcW w:w="846" w:type="pct"/>
          </w:tcPr>
          <w:p w:rsidR="007C2D5B" w:rsidRPr="00A733EC" w:rsidRDefault="00265127" w:rsidP="009A2A22">
            <w:pPr>
              <w:jc w:val="right"/>
              <w:rPr>
                <w:sz w:val="18"/>
                <w:szCs w:val="18"/>
              </w:rPr>
            </w:pPr>
            <w:r w:rsidRPr="00A733EC">
              <w:rPr>
                <w:sz w:val="18"/>
                <w:szCs w:val="18"/>
              </w:rPr>
              <w:t>650</w:t>
            </w:r>
            <w:r w:rsidR="00136A1A" w:rsidRPr="00A733EC">
              <w:rPr>
                <w:sz w:val="18"/>
                <w:szCs w:val="18"/>
              </w:rPr>
              <w:t xml:space="preserve"> </w:t>
            </w:r>
            <w:r w:rsidR="007C2D5B" w:rsidRPr="00A733EC">
              <w:rPr>
                <w:sz w:val="18"/>
                <w:szCs w:val="18"/>
              </w:rPr>
              <w:t>000</w:t>
            </w:r>
            <w:r w:rsidR="00A31A7C" w:rsidRPr="00A733EC">
              <w:rPr>
                <w:sz w:val="18"/>
                <w:szCs w:val="18"/>
              </w:rPr>
              <w:t xml:space="preserve"> tis. Kč</w:t>
            </w:r>
          </w:p>
          <w:p w:rsidR="0092001F" w:rsidRPr="00A733EC" w:rsidRDefault="0092001F" w:rsidP="009A2A22">
            <w:pPr>
              <w:jc w:val="right"/>
              <w:rPr>
                <w:sz w:val="18"/>
                <w:szCs w:val="18"/>
              </w:rPr>
            </w:pPr>
          </w:p>
        </w:tc>
        <w:tc>
          <w:tcPr>
            <w:tcW w:w="580" w:type="pct"/>
          </w:tcPr>
          <w:p w:rsidR="0092001F" w:rsidRPr="00A733EC" w:rsidRDefault="00265127" w:rsidP="000F7E76">
            <w:pPr>
              <w:jc w:val="right"/>
              <w:rPr>
                <w:sz w:val="18"/>
                <w:szCs w:val="18"/>
              </w:rPr>
            </w:pPr>
            <w:r w:rsidRPr="00A733EC">
              <w:rPr>
                <w:sz w:val="18"/>
                <w:szCs w:val="18"/>
              </w:rPr>
              <w:t>2</w:t>
            </w:r>
            <w:r w:rsidR="000F7E76" w:rsidRPr="00A733EC">
              <w:rPr>
                <w:sz w:val="18"/>
                <w:szCs w:val="18"/>
              </w:rPr>
              <w:t>4</w:t>
            </w:r>
            <w:r w:rsidRPr="00A733EC">
              <w:rPr>
                <w:sz w:val="18"/>
                <w:szCs w:val="18"/>
              </w:rPr>
              <w:t xml:space="preserve"> </w:t>
            </w:r>
            <w:r w:rsidR="000F7E76" w:rsidRPr="00A733EC">
              <w:rPr>
                <w:sz w:val="18"/>
                <w:szCs w:val="18"/>
              </w:rPr>
              <w:t>812</w:t>
            </w:r>
          </w:p>
        </w:tc>
        <w:tc>
          <w:tcPr>
            <w:tcW w:w="1193" w:type="pct"/>
          </w:tcPr>
          <w:p w:rsidR="0092001F" w:rsidRPr="00A733EC" w:rsidRDefault="0046010F" w:rsidP="000F7E76">
            <w:pPr>
              <w:jc w:val="right"/>
              <w:rPr>
                <w:sz w:val="18"/>
                <w:szCs w:val="18"/>
              </w:rPr>
            </w:pPr>
            <w:r w:rsidRPr="00A733EC">
              <w:rPr>
                <w:sz w:val="18"/>
                <w:szCs w:val="18"/>
              </w:rPr>
              <w:t>64 akcií v nomin. hodnotě 10 000 tis. Kč za akci</w:t>
            </w:r>
            <w:r w:rsidR="009A2A22" w:rsidRPr="00A733EC">
              <w:rPr>
                <w:sz w:val="18"/>
                <w:szCs w:val="18"/>
              </w:rPr>
              <w:t>i a 10 akcií v nomin. hodnotě 1 </w:t>
            </w:r>
            <w:r w:rsidRPr="00A733EC">
              <w:rPr>
                <w:sz w:val="18"/>
                <w:szCs w:val="18"/>
              </w:rPr>
              <w:t xml:space="preserve">000 tis. za akcii </w:t>
            </w:r>
          </w:p>
        </w:tc>
      </w:tr>
      <w:tr w:rsidR="000F7E76" w:rsidRPr="009A2A22" w:rsidTr="002C76B2">
        <w:tc>
          <w:tcPr>
            <w:tcW w:w="895" w:type="pct"/>
          </w:tcPr>
          <w:p w:rsidR="004C285E" w:rsidRPr="00A733EC" w:rsidRDefault="00721998" w:rsidP="000F7E76">
            <w:pPr>
              <w:ind w:right="-147"/>
              <w:jc w:val="left"/>
              <w:rPr>
                <w:sz w:val="18"/>
                <w:szCs w:val="18"/>
              </w:rPr>
            </w:pPr>
            <w:r w:rsidRPr="00A733EC">
              <w:rPr>
                <w:sz w:val="18"/>
                <w:szCs w:val="18"/>
              </w:rPr>
              <w:t xml:space="preserve">PEGAS </w:t>
            </w:r>
            <w:r w:rsidR="007250D4" w:rsidRPr="00A733EC">
              <w:rPr>
                <w:sz w:val="18"/>
                <w:szCs w:val="18"/>
              </w:rPr>
              <w:t xml:space="preserve">NONWOVENS </w:t>
            </w:r>
            <w:r w:rsidRPr="00A733EC">
              <w:rPr>
                <w:sz w:val="18"/>
                <w:szCs w:val="18"/>
              </w:rPr>
              <w:t>International s.r.o.</w:t>
            </w:r>
            <w:r w:rsidR="006B4829" w:rsidRPr="00A733EC">
              <w:rPr>
                <w:sz w:val="18"/>
                <w:szCs w:val="18"/>
              </w:rPr>
              <w:t>**</w:t>
            </w:r>
          </w:p>
        </w:tc>
        <w:tc>
          <w:tcPr>
            <w:tcW w:w="735" w:type="pct"/>
          </w:tcPr>
          <w:p w:rsidR="004C285E" w:rsidRPr="00A733EC" w:rsidRDefault="006C489F" w:rsidP="0054249C">
            <w:pPr>
              <w:jc w:val="right"/>
              <w:rPr>
                <w:sz w:val="18"/>
                <w:szCs w:val="18"/>
              </w:rPr>
            </w:pPr>
            <w:r w:rsidRPr="00A733EC">
              <w:rPr>
                <w:sz w:val="18"/>
                <w:szCs w:val="18"/>
              </w:rPr>
              <w:t>18</w:t>
            </w:r>
            <w:r w:rsidR="00A53A3C" w:rsidRPr="00A733EC">
              <w:rPr>
                <w:sz w:val="18"/>
                <w:szCs w:val="18"/>
              </w:rPr>
              <w:t xml:space="preserve">. </w:t>
            </w:r>
            <w:r w:rsidRPr="00A733EC">
              <w:rPr>
                <w:sz w:val="18"/>
                <w:szCs w:val="18"/>
              </w:rPr>
              <w:t>10</w:t>
            </w:r>
            <w:r w:rsidR="0001548A" w:rsidRPr="00A733EC">
              <w:rPr>
                <w:sz w:val="18"/>
                <w:szCs w:val="18"/>
              </w:rPr>
              <w:t>.</w:t>
            </w:r>
            <w:r w:rsidR="00A53A3C" w:rsidRPr="00A733EC">
              <w:rPr>
                <w:sz w:val="18"/>
                <w:szCs w:val="18"/>
              </w:rPr>
              <w:t xml:space="preserve"> 2010</w:t>
            </w:r>
          </w:p>
        </w:tc>
        <w:tc>
          <w:tcPr>
            <w:tcW w:w="752" w:type="pct"/>
          </w:tcPr>
          <w:p w:rsidR="004C285E" w:rsidRPr="00A733EC" w:rsidRDefault="00A53A3C" w:rsidP="009A2A22">
            <w:pPr>
              <w:jc w:val="center"/>
              <w:rPr>
                <w:sz w:val="18"/>
                <w:szCs w:val="18"/>
              </w:rPr>
            </w:pPr>
            <w:r w:rsidRPr="00A733EC">
              <w:rPr>
                <w:sz w:val="18"/>
                <w:szCs w:val="18"/>
              </w:rPr>
              <w:t>100 %</w:t>
            </w:r>
          </w:p>
        </w:tc>
        <w:tc>
          <w:tcPr>
            <w:tcW w:w="846" w:type="pct"/>
          </w:tcPr>
          <w:p w:rsidR="004C285E" w:rsidRPr="00A733EC" w:rsidRDefault="00A53A3C" w:rsidP="009A2A22">
            <w:pPr>
              <w:jc w:val="right"/>
              <w:rPr>
                <w:sz w:val="18"/>
                <w:szCs w:val="18"/>
              </w:rPr>
            </w:pPr>
            <w:r w:rsidRPr="00A733EC">
              <w:rPr>
                <w:sz w:val="18"/>
                <w:szCs w:val="18"/>
              </w:rPr>
              <w:t>200</w:t>
            </w:r>
            <w:r w:rsidR="00A31A7C" w:rsidRPr="00A733EC">
              <w:rPr>
                <w:sz w:val="18"/>
                <w:szCs w:val="18"/>
              </w:rPr>
              <w:t xml:space="preserve"> tis. Kč</w:t>
            </w:r>
          </w:p>
        </w:tc>
        <w:tc>
          <w:tcPr>
            <w:tcW w:w="580" w:type="pct"/>
          </w:tcPr>
          <w:p w:rsidR="004C285E" w:rsidRPr="00A733EC" w:rsidRDefault="000F7E76" w:rsidP="009A2A22">
            <w:pPr>
              <w:jc w:val="right"/>
              <w:rPr>
                <w:sz w:val="18"/>
                <w:szCs w:val="18"/>
              </w:rPr>
            </w:pPr>
            <w:r w:rsidRPr="00A733EC">
              <w:rPr>
                <w:sz w:val="18"/>
                <w:szCs w:val="18"/>
              </w:rPr>
              <w:t>8</w:t>
            </w:r>
          </w:p>
        </w:tc>
        <w:tc>
          <w:tcPr>
            <w:tcW w:w="1193" w:type="pct"/>
          </w:tcPr>
          <w:p w:rsidR="004C285E" w:rsidRPr="00A733EC" w:rsidRDefault="00A53A3C" w:rsidP="000F7E76">
            <w:pPr>
              <w:jc w:val="right"/>
              <w:rPr>
                <w:sz w:val="18"/>
                <w:szCs w:val="18"/>
              </w:rPr>
            </w:pPr>
            <w:r w:rsidRPr="00A733EC">
              <w:rPr>
                <w:sz w:val="18"/>
                <w:szCs w:val="18"/>
              </w:rPr>
              <w:t>100 % podíl v hodnotě 200 tis. Kč</w:t>
            </w:r>
          </w:p>
        </w:tc>
      </w:tr>
      <w:tr w:rsidR="000F7E76" w:rsidRPr="009A2A22" w:rsidTr="002C76B2">
        <w:tc>
          <w:tcPr>
            <w:tcW w:w="895" w:type="pct"/>
          </w:tcPr>
          <w:p w:rsidR="004C285E" w:rsidRPr="00A733EC" w:rsidRDefault="00721998" w:rsidP="000F7E76">
            <w:pPr>
              <w:ind w:right="-147"/>
              <w:jc w:val="left"/>
              <w:rPr>
                <w:sz w:val="18"/>
                <w:szCs w:val="18"/>
              </w:rPr>
            </w:pPr>
            <w:r w:rsidRPr="00A733EC">
              <w:rPr>
                <w:sz w:val="18"/>
                <w:szCs w:val="18"/>
              </w:rPr>
              <w:t>PEGAS NONWOVENS EGYPT LLC</w:t>
            </w:r>
            <w:r w:rsidR="00B7349A" w:rsidRPr="00A733EC">
              <w:rPr>
                <w:sz w:val="18"/>
                <w:szCs w:val="18"/>
              </w:rPr>
              <w:t xml:space="preserve"> ***</w:t>
            </w:r>
          </w:p>
        </w:tc>
        <w:tc>
          <w:tcPr>
            <w:tcW w:w="735" w:type="pct"/>
          </w:tcPr>
          <w:p w:rsidR="004C285E" w:rsidRPr="00A733EC" w:rsidRDefault="00A53A3C" w:rsidP="0054249C">
            <w:pPr>
              <w:jc w:val="right"/>
              <w:rPr>
                <w:sz w:val="18"/>
                <w:szCs w:val="18"/>
              </w:rPr>
            </w:pPr>
            <w:r w:rsidRPr="00A733EC">
              <w:rPr>
                <w:sz w:val="18"/>
                <w:szCs w:val="18"/>
              </w:rPr>
              <w:t>6. 6. 2011</w:t>
            </w:r>
          </w:p>
        </w:tc>
        <w:tc>
          <w:tcPr>
            <w:tcW w:w="752" w:type="pct"/>
          </w:tcPr>
          <w:p w:rsidR="004C285E" w:rsidRPr="00A733EC" w:rsidRDefault="00A53A3C" w:rsidP="009A2A22">
            <w:pPr>
              <w:jc w:val="center"/>
              <w:rPr>
                <w:sz w:val="18"/>
                <w:szCs w:val="18"/>
              </w:rPr>
            </w:pPr>
            <w:r w:rsidRPr="00A733EC">
              <w:rPr>
                <w:sz w:val="18"/>
                <w:szCs w:val="18"/>
              </w:rPr>
              <w:t>100 %</w:t>
            </w:r>
          </w:p>
        </w:tc>
        <w:tc>
          <w:tcPr>
            <w:tcW w:w="846" w:type="pct"/>
          </w:tcPr>
          <w:p w:rsidR="004C285E" w:rsidRPr="00A733EC" w:rsidRDefault="00265127" w:rsidP="009A2A22">
            <w:pPr>
              <w:jc w:val="right"/>
              <w:rPr>
                <w:sz w:val="18"/>
                <w:szCs w:val="18"/>
              </w:rPr>
            </w:pPr>
            <w:r w:rsidRPr="00A733EC">
              <w:rPr>
                <w:sz w:val="18"/>
                <w:szCs w:val="18"/>
              </w:rPr>
              <w:t>23</w:t>
            </w:r>
            <w:r w:rsidR="00F9620A" w:rsidRPr="00A733EC">
              <w:rPr>
                <w:sz w:val="18"/>
                <w:szCs w:val="18"/>
              </w:rPr>
              <w:t xml:space="preserve"> 000</w:t>
            </w:r>
            <w:r w:rsidR="00A31A7C" w:rsidRPr="00A733EC">
              <w:rPr>
                <w:sz w:val="18"/>
                <w:szCs w:val="18"/>
              </w:rPr>
              <w:t xml:space="preserve"> tis. USD</w:t>
            </w:r>
          </w:p>
        </w:tc>
        <w:tc>
          <w:tcPr>
            <w:tcW w:w="580" w:type="pct"/>
          </w:tcPr>
          <w:p w:rsidR="004C285E" w:rsidRPr="00A733EC" w:rsidRDefault="00831720" w:rsidP="000F7E76">
            <w:pPr>
              <w:jc w:val="right"/>
              <w:rPr>
                <w:sz w:val="18"/>
                <w:szCs w:val="18"/>
              </w:rPr>
            </w:pPr>
            <w:r w:rsidRPr="00A733EC">
              <w:rPr>
                <w:sz w:val="18"/>
                <w:szCs w:val="18"/>
              </w:rPr>
              <w:t xml:space="preserve">20 </w:t>
            </w:r>
            <w:r w:rsidR="000F7E76" w:rsidRPr="00A733EC">
              <w:rPr>
                <w:sz w:val="18"/>
                <w:szCs w:val="18"/>
              </w:rPr>
              <w:t>157</w:t>
            </w:r>
          </w:p>
        </w:tc>
        <w:tc>
          <w:tcPr>
            <w:tcW w:w="1193" w:type="pct"/>
          </w:tcPr>
          <w:p w:rsidR="004C285E" w:rsidRPr="00A733EC" w:rsidRDefault="00905EF4" w:rsidP="000F7E76">
            <w:pPr>
              <w:jc w:val="right"/>
              <w:rPr>
                <w:sz w:val="18"/>
                <w:szCs w:val="18"/>
              </w:rPr>
            </w:pPr>
            <w:r w:rsidRPr="00A733EC">
              <w:rPr>
                <w:sz w:val="18"/>
                <w:szCs w:val="18"/>
              </w:rPr>
              <w:t xml:space="preserve">100 % podíl v hodnotě </w:t>
            </w:r>
            <w:r w:rsidR="00ED552A" w:rsidRPr="00A733EC">
              <w:rPr>
                <w:sz w:val="18"/>
                <w:szCs w:val="18"/>
              </w:rPr>
              <w:br/>
            </w:r>
            <w:r w:rsidR="00265127" w:rsidRPr="00A733EC">
              <w:rPr>
                <w:sz w:val="18"/>
                <w:szCs w:val="18"/>
              </w:rPr>
              <w:t>23</w:t>
            </w:r>
            <w:r w:rsidR="00B830EF" w:rsidRPr="00A733EC">
              <w:rPr>
                <w:sz w:val="18"/>
                <w:szCs w:val="18"/>
              </w:rPr>
              <w:t xml:space="preserve"> 000</w:t>
            </w:r>
            <w:r w:rsidRPr="00A733EC">
              <w:rPr>
                <w:sz w:val="18"/>
                <w:szCs w:val="18"/>
              </w:rPr>
              <w:t xml:space="preserve"> tis. USD</w:t>
            </w:r>
          </w:p>
        </w:tc>
      </w:tr>
      <w:tr w:rsidR="000F7E76" w:rsidRPr="009A2A22" w:rsidTr="002C76B2">
        <w:tc>
          <w:tcPr>
            <w:tcW w:w="895" w:type="pct"/>
          </w:tcPr>
          <w:p w:rsidR="000F7E76" w:rsidRPr="00A733EC" w:rsidRDefault="000F7E76" w:rsidP="000F7E76">
            <w:pPr>
              <w:ind w:right="-147"/>
              <w:jc w:val="left"/>
              <w:rPr>
                <w:sz w:val="18"/>
                <w:szCs w:val="18"/>
              </w:rPr>
            </w:pPr>
            <w:r w:rsidRPr="002C76B2">
              <w:rPr>
                <w:sz w:val="18"/>
                <w:szCs w:val="18"/>
              </w:rPr>
              <w:t>PEGAS NONWOVENS RSA (PTY) LTD ****</w:t>
            </w:r>
          </w:p>
        </w:tc>
        <w:tc>
          <w:tcPr>
            <w:tcW w:w="735" w:type="pct"/>
          </w:tcPr>
          <w:p w:rsidR="000F7E76" w:rsidRPr="00A733EC" w:rsidRDefault="00A733EC" w:rsidP="0054249C">
            <w:pPr>
              <w:jc w:val="right"/>
              <w:rPr>
                <w:sz w:val="18"/>
                <w:szCs w:val="18"/>
              </w:rPr>
            </w:pPr>
            <w:r>
              <w:rPr>
                <w:sz w:val="18"/>
                <w:szCs w:val="18"/>
              </w:rPr>
              <w:t>11. 7. 2016</w:t>
            </w:r>
          </w:p>
        </w:tc>
        <w:tc>
          <w:tcPr>
            <w:tcW w:w="752" w:type="pct"/>
          </w:tcPr>
          <w:p w:rsidR="000F7E76" w:rsidRPr="00A733EC" w:rsidRDefault="00A733EC" w:rsidP="009A2A22">
            <w:pPr>
              <w:jc w:val="center"/>
              <w:rPr>
                <w:sz w:val="18"/>
                <w:szCs w:val="18"/>
              </w:rPr>
            </w:pPr>
            <w:r>
              <w:rPr>
                <w:sz w:val="18"/>
                <w:szCs w:val="18"/>
              </w:rPr>
              <w:t>100 %</w:t>
            </w:r>
          </w:p>
        </w:tc>
        <w:tc>
          <w:tcPr>
            <w:tcW w:w="846" w:type="pct"/>
          </w:tcPr>
          <w:p w:rsidR="000F7E76" w:rsidRPr="00A733EC" w:rsidRDefault="004072D9" w:rsidP="00202C43">
            <w:pPr>
              <w:jc w:val="right"/>
              <w:rPr>
                <w:sz w:val="18"/>
                <w:szCs w:val="18"/>
              </w:rPr>
            </w:pPr>
            <w:r>
              <w:rPr>
                <w:sz w:val="18"/>
                <w:szCs w:val="18"/>
              </w:rPr>
              <w:t>7 000</w:t>
            </w:r>
            <w:r w:rsidR="00795940">
              <w:rPr>
                <w:sz w:val="18"/>
                <w:szCs w:val="18"/>
              </w:rPr>
              <w:t xml:space="preserve"> </w:t>
            </w:r>
            <w:r>
              <w:rPr>
                <w:sz w:val="18"/>
                <w:szCs w:val="18"/>
              </w:rPr>
              <w:t>0</w:t>
            </w:r>
            <w:r w:rsidR="00A733EC">
              <w:rPr>
                <w:sz w:val="18"/>
                <w:szCs w:val="18"/>
              </w:rPr>
              <w:t>00 ZAR</w:t>
            </w:r>
          </w:p>
        </w:tc>
        <w:tc>
          <w:tcPr>
            <w:tcW w:w="580" w:type="pct"/>
          </w:tcPr>
          <w:p w:rsidR="000F7E76" w:rsidRPr="00A733EC" w:rsidRDefault="004072D9" w:rsidP="000F7E76">
            <w:pPr>
              <w:jc w:val="right"/>
              <w:rPr>
                <w:sz w:val="18"/>
                <w:szCs w:val="18"/>
              </w:rPr>
            </w:pPr>
            <w:r>
              <w:rPr>
                <w:sz w:val="18"/>
                <w:szCs w:val="18"/>
              </w:rPr>
              <w:t>469</w:t>
            </w:r>
          </w:p>
        </w:tc>
        <w:tc>
          <w:tcPr>
            <w:tcW w:w="1193" w:type="pct"/>
          </w:tcPr>
          <w:p w:rsidR="000F7E76" w:rsidRPr="00A733EC" w:rsidRDefault="001F770C" w:rsidP="000F7E76">
            <w:pPr>
              <w:jc w:val="right"/>
              <w:rPr>
                <w:sz w:val="18"/>
                <w:szCs w:val="18"/>
              </w:rPr>
            </w:pPr>
            <w:r>
              <w:rPr>
                <w:sz w:val="18"/>
                <w:szCs w:val="18"/>
              </w:rPr>
              <w:t xml:space="preserve">100% podíl v hodnotě </w:t>
            </w:r>
            <w:r w:rsidR="004072D9">
              <w:rPr>
                <w:sz w:val="18"/>
                <w:szCs w:val="18"/>
              </w:rPr>
              <w:t>7 000 0</w:t>
            </w:r>
            <w:r>
              <w:rPr>
                <w:sz w:val="18"/>
                <w:szCs w:val="18"/>
              </w:rPr>
              <w:t>00 ZAR</w:t>
            </w:r>
          </w:p>
        </w:tc>
      </w:tr>
    </w:tbl>
    <w:p w:rsidR="00E423CB" w:rsidRPr="009A2A22" w:rsidRDefault="00543C8B" w:rsidP="007A3749">
      <w:pPr>
        <w:rPr>
          <w:sz w:val="20"/>
          <w:szCs w:val="20"/>
        </w:rPr>
      </w:pPr>
      <w:r w:rsidRPr="009A2A22">
        <w:rPr>
          <w:sz w:val="20"/>
          <w:szCs w:val="20"/>
        </w:rPr>
        <w:t>*</w:t>
      </w:r>
      <w:r w:rsidR="009F1A7B" w:rsidRPr="009A2A22">
        <w:rPr>
          <w:sz w:val="20"/>
          <w:szCs w:val="20"/>
          <w:vertAlign w:val="superscript"/>
        </w:rPr>
        <w:t xml:space="preserve"> </w:t>
      </w:r>
      <w:r w:rsidR="00E423CB" w:rsidRPr="009A2A22">
        <w:rPr>
          <w:sz w:val="20"/>
          <w:szCs w:val="20"/>
        </w:rPr>
        <w:t xml:space="preserve">Společnost </w:t>
      </w:r>
      <w:r w:rsidR="009F1A7B" w:rsidRPr="009A2A22">
        <w:rPr>
          <w:sz w:val="20"/>
          <w:szCs w:val="20"/>
        </w:rPr>
        <w:t xml:space="preserve">PEGAS NONWOVENS s.r.o. </w:t>
      </w:r>
      <w:r w:rsidR="00E423CB" w:rsidRPr="009A2A22">
        <w:rPr>
          <w:sz w:val="20"/>
          <w:szCs w:val="20"/>
        </w:rPr>
        <w:t>vznikla 14. listopadu 2003 (původním jménem ELK INVESTMENTS s.r.o.). V průběhu rok</w:t>
      </w:r>
      <w:r w:rsidR="000D5C47" w:rsidRPr="009A2A22">
        <w:rPr>
          <w:sz w:val="20"/>
          <w:szCs w:val="20"/>
        </w:rPr>
        <w:t>u 2006 byl změněn název obchodní</w:t>
      </w:r>
      <w:r w:rsidR="00E423CB" w:rsidRPr="009A2A22">
        <w:rPr>
          <w:sz w:val="20"/>
          <w:szCs w:val="20"/>
        </w:rPr>
        <w:t xml:space="preserve"> firmy na PEGAS NONWOVENS s.r.o. PEGAS a.s., dceřiná společnost společnosti PEGAS NONWOVENS s.r.o., vznikla v roce 1990. Tato společnost byla sloučena do společnosti </w:t>
      </w:r>
      <w:r w:rsidR="000D5C47" w:rsidRPr="009A2A22">
        <w:rPr>
          <w:sz w:val="20"/>
          <w:szCs w:val="20"/>
        </w:rPr>
        <w:t>PEGAS NONWOVENS s.r.o. s rozhodným dnem fúze 1. ledna 2006. Společnost PEGAS a.s. byla vymazána z obchodního rejstříku dne 12. května 2006. Společnost CEE Enterprise a.s. byla sloučena do společnosti PEGAS NONWOVENS s.r.o. s rozhodným dnem 1. ledna 2007. Společnost CEE Enterprise a.s. byla vymazána z obchodního rejstříku dne 20. srpna 2007.</w:t>
      </w:r>
      <w:r w:rsidR="001A41BB" w:rsidRPr="009A2A22">
        <w:rPr>
          <w:sz w:val="20"/>
          <w:szCs w:val="20"/>
        </w:rPr>
        <w:t xml:space="preserve"> Bývalá dceřiná společnost PEGAS – DS a.s. zanikla v důsledku fúze sloučením se společností PEGAS NONWOVENS s.r.o., jakožto společností nástupnickou (od 1. ledna 2011).</w:t>
      </w:r>
      <w:r w:rsidR="000D5C47" w:rsidRPr="009A2A22">
        <w:rPr>
          <w:sz w:val="20"/>
          <w:szCs w:val="20"/>
        </w:rPr>
        <w:t xml:space="preserve"> </w:t>
      </w:r>
    </w:p>
    <w:p w:rsidR="006B4829" w:rsidRPr="009A2A22" w:rsidRDefault="006B4829" w:rsidP="007A3749">
      <w:pPr>
        <w:rPr>
          <w:sz w:val="20"/>
          <w:szCs w:val="20"/>
        </w:rPr>
      </w:pPr>
      <w:bookmarkStart w:id="48" w:name="_Toc165188453"/>
      <w:r w:rsidRPr="009A2A22">
        <w:rPr>
          <w:sz w:val="20"/>
          <w:szCs w:val="20"/>
        </w:rPr>
        <w:t xml:space="preserve">** Společnost PEGAS NONWOVENS International s.r.o. byla založena jako účelová firma zřízená k realizaci </w:t>
      </w:r>
      <w:r w:rsidR="0054249C">
        <w:rPr>
          <w:sz w:val="20"/>
          <w:szCs w:val="20"/>
        </w:rPr>
        <w:t xml:space="preserve">zahraničních </w:t>
      </w:r>
      <w:r w:rsidRPr="009A2A22">
        <w:rPr>
          <w:sz w:val="20"/>
          <w:szCs w:val="20"/>
        </w:rPr>
        <w:t xml:space="preserve">investic. </w:t>
      </w:r>
    </w:p>
    <w:p w:rsidR="00B7349A" w:rsidRDefault="00B7349A" w:rsidP="007A3749">
      <w:pPr>
        <w:rPr>
          <w:sz w:val="20"/>
          <w:szCs w:val="20"/>
        </w:rPr>
      </w:pPr>
      <w:r w:rsidRPr="009A2A22">
        <w:rPr>
          <w:sz w:val="20"/>
          <w:szCs w:val="20"/>
        </w:rPr>
        <w:t xml:space="preserve">*** Společnost PEGAS NONWOVENS EGYPT LLC byla </w:t>
      </w:r>
      <w:r w:rsidR="0054249C">
        <w:rPr>
          <w:sz w:val="20"/>
          <w:szCs w:val="20"/>
        </w:rPr>
        <w:t>zřízena za účelem realizace</w:t>
      </w:r>
      <w:r w:rsidR="0043406F" w:rsidRPr="009A2A22">
        <w:rPr>
          <w:sz w:val="20"/>
          <w:szCs w:val="20"/>
        </w:rPr>
        <w:t xml:space="preserve"> investice do výstavby a provozování nové výrobní linky v Egyptě</w:t>
      </w:r>
      <w:r w:rsidRPr="009A2A22">
        <w:rPr>
          <w:sz w:val="20"/>
          <w:szCs w:val="20"/>
        </w:rPr>
        <w:t xml:space="preserve">. </w:t>
      </w:r>
    </w:p>
    <w:p w:rsidR="000F7E76" w:rsidRPr="000F7E76" w:rsidRDefault="000F7E76" w:rsidP="007A3749">
      <w:pPr>
        <w:rPr>
          <w:sz w:val="20"/>
          <w:szCs w:val="20"/>
        </w:rPr>
      </w:pPr>
      <w:r w:rsidRPr="000F7E76">
        <w:rPr>
          <w:sz w:val="20"/>
          <w:szCs w:val="20"/>
        </w:rPr>
        <w:t>****</w:t>
      </w:r>
      <w:r>
        <w:rPr>
          <w:sz w:val="20"/>
          <w:szCs w:val="20"/>
        </w:rPr>
        <w:t xml:space="preserve"> </w:t>
      </w:r>
      <w:r w:rsidRPr="000F7E76">
        <w:rPr>
          <w:sz w:val="20"/>
          <w:szCs w:val="20"/>
        </w:rPr>
        <w:t xml:space="preserve">Společnost PEGAS NONWOVENS RSA (PTY) LTD byla </w:t>
      </w:r>
      <w:r w:rsidR="00795940">
        <w:rPr>
          <w:sz w:val="20"/>
          <w:szCs w:val="20"/>
        </w:rPr>
        <w:t>zřízena za účelem realizace</w:t>
      </w:r>
      <w:r w:rsidR="00795940" w:rsidRPr="009A2A22">
        <w:rPr>
          <w:sz w:val="20"/>
          <w:szCs w:val="20"/>
        </w:rPr>
        <w:t xml:space="preserve"> investice do výstavby a provozování nové výrobní linky v</w:t>
      </w:r>
      <w:r w:rsidR="00795940">
        <w:rPr>
          <w:sz w:val="20"/>
          <w:szCs w:val="20"/>
        </w:rPr>
        <w:t> Jihoafrické republice</w:t>
      </w:r>
      <w:r w:rsidRPr="000F7E76">
        <w:rPr>
          <w:sz w:val="20"/>
          <w:szCs w:val="20"/>
        </w:rPr>
        <w:t>.</w:t>
      </w:r>
    </w:p>
    <w:p w:rsidR="0043406F" w:rsidRDefault="0043406F" w:rsidP="007A3749"/>
    <w:p w:rsidR="00781223" w:rsidRDefault="00781223" w:rsidP="00781223">
      <w:pPr>
        <w:sectPr w:rsidR="00781223" w:rsidSect="006E2C36">
          <w:type w:val="continuous"/>
          <w:pgSz w:w="11906" w:h="16838"/>
          <w:pgMar w:top="1417" w:right="1417" w:bottom="1417" w:left="1417" w:header="708" w:footer="708" w:gutter="0"/>
          <w:cols w:space="708"/>
          <w:docGrid w:linePitch="360"/>
        </w:sectPr>
      </w:pPr>
    </w:p>
    <w:p w:rsidR="00C17A58" w:rsidRDefault="00CC1601" w:rsidP="0088538C">
      <w:pPr>
        <w:pStyle w:val="Heading1"/>
        <w:jc w:val="left"/>
      </w:pPr>
      <w:bookmarkStart w:id="49" w:name="_Toc487810688"/>
      <w:bookmarkStart w:id="50" w:name="_Toc269295558"/>
      <w:bookmarkStart w:id="51" w:name="_Toc269907497"/>
      <w:bookmarkEnd w:id="48"/>
      <w:r w:rsidRPr="007A3749">
        <w:t xml:space="preserve">Mezitímní </w:t>
      </w:r>
      <w:r w:rsidR="00234327">
        <w:t xml:space="preserve">neauditovaná </w:t>
      </w:r>
      <w:r w:rsidRPr="007A3749">
        <w:t>konsolidovaná účetní závěrka</w:t>
      </w:r>
      <w:bookmarkEnd w:id="49"/>
      <w:r w:rsidRPr="007A3749">
        <w:t xml:space="preserve"> </w:t>
      </w:r>
    </w:p>
    <w:p w:rsidR="00361A9C" w:rsidRDefault="00234327" w:rsidP="00C17A58">
      <w:r w:rsidRPr="00234327">
        <w:t>připravená v souladu s Mezinárodními standardy účetního výkaznictví</w:t>
      </w:r>
      <w:r>
        <w:t xml:space="preserve"> </w:t>
      </w:r>
    </w:p>
    <w:p w:rsidR="00CC1601" w:rsidRPr="007A3749" w:rsidRDefault="00CC1601" w:rsidP="00C17A58">
      <w:r w:rsidRPr="007A3749">
        <w:t>za období šesti měsíců končících 30. červnem 201</w:t>
      </w:r>
      <w:bookmarkEnd w:id="50"/>
      <w:bookmarkEnd w:id="51"/>
      <w:r w:rsidR="001F770C">
        <w:t>7</w:t>
      </w:r>
    </w:p>
    <w:p w:rsidR="002C2EF0" w:rsidRDefault="002C2EF0">
      <w:pPr>
        <w:spacing w:before="0" w:beforeAutospacing="0" w:after="0" w:afterAutospacing="0"/>
        <w:jc w:val="left"/>
        <w:rPr>
          <w:b/>
          <w:bCs/>
          <w:kern w:val="32"/>
          <w:sz w:val="28"/>
          <w:szCs w:val="28"/>
        </w:rPr>
      </w:pPr>
      <w:bookmarkStart w:id="52" w:name="_Toc269139308"/>
      <w:bookmarkStart w:id="53" w:name="_Toc269139309"/>
      <w:bookmarkStart w:id="54" w:name="_Toc269139310"/>
      <w:bookmarkStart w:id="55" w:name="_Toc269139311"/>
      <w:bookmarkStart w:id="56" w:name="_Toc175226104"/>
      <w:bookmarkStart w:id="57" w:name="_Toc165188455"/>
      <w:bookmarkStart w:id="58" w:name="_Toc269295559"/>
      <w:bookmarkStart w:id="59" w:name="_Toc269907498"/>
      <w:bookmarkEnd w:id="52"/>
      <w:bookmarkEnd w:id="53"/>
      <w:bookmarkEnd w:id="54"/>
      <w:bookmarkEnd w:id="55"/>
      <w:r>
        <w:br w:type="page"/>
      </w:r>
    </w:p>
    <w:p w:rsidR="00CC1601" w:rsidRPr="007A3749" w:rsidRDefault="00234327" w:rsidP="00396F0C">
      <w:pPr>
        <w:pStyle w:val="Heading2"/>
      </w:pPr>
      <w:bookmarkStart w:id="60" w:name="_Toc487810689"/>
      <w:bookmarkEnd w:id="56"/>
      <w:bookmarkEnd w:id="57"/>
      <w:r w:rsidRPr="00234327">
        <w:t>Konsolidovaný výkaz o úplném výsledku ve zkrácené podobě</w:t>
      </w:r>
      <w:bookmarkEnd w:id="58"/>
      <w:bookmarkEnd w:id="59"/>
      <w:r>
        <w:t xml:space="preserve"> za období šesti měsíců</w:t>
      </w:r>
      <w:bookmarkEnd w:id="60"/>
    </w:p>
    <w:p w:rsidR="00CC1601" w:rsidRDefault="00CC1601" w:rsidP="007A3749"/>
    <w:tbl>
      <w:tblPr>
        <w:tblW w:w="5000" w:type="pct"/>
        <w:tblLook w:val="04A0" w:firstRow="1" w:lastRow="0" w:firstColumn="1" w:lastColumn="0" w:noHBand="0" w:noVBand="1"/>
      </w:tblPr>
      <w:tblGrid>
        <w:gridCol w:w="4980"/>
        <w:gridCol w:w="1457"/>
        <w:gridCol w:w="1457"/>
        <w:gridCol w:w="1394"/>
      </w:tblGrid>
      <w:tr w:rsidR="00B51AD9" w:rsidRPr="00B51AD9" w:rsidTr="002C76B2">
        <w:trPr>
          <w:trHeight w:val="276"/>
        </w:trPr>
        <w:tc>
          <w:tcPr>
            <w:tcW w:w="2699" w:type="pct"/>
            <w:tcBorders>
              <w:top w:val="nil"/>
              <w:left w:val="nil"/>
              <w:bottom w:val="nil"/>
              <w:right w:val="nil"/>
            </w:tcBorders>
            <w:shd w:val="clear" w:color="000000" w:fill="E2001C"/>
            <w:noWrap/>
            <w:vAlign w:val="bottom"/>
            <w:hideMark/>
          </w:tcPr>
          <w:p w:rsidR="00B51AD9" w:rsidRPr="00C8626A" w:rsidRDefault="00B51AD9" w:rsidP="00B51AD9">
            <w:pPr>
              <w:spacing w:before="0" w:beforeAutospacing="0" w:after="0" w:afterAutospacing="0"/>
              <w:jc w:val="left"/>
              <w:rPr>
                <w:rFonts w:ascii="Calibri" w:hAnsi="Calibri" w:cs="Arial"/>
                <w:color w:val="FFFFFF"/>
                <w:sz w:val="20"/>
                <w:szCs w:val="20"/>
                <w:lang w:eastAsia="en-US"/>
              </w:rPr>
            </w:pPr>
            <w:r w:rsidRPr="00C8626A">
              <w:rPr>
                <w:rFonts w:ascii="Calibri" w:hAnsi="Calibri" w:cs="Arial"/>
                <w:color w:val="FFFFFF"/>
                <w:sz w:val="20"/>
                <w:szCs w:val="20"/>
                <w:lang w:eastAsia="en-US"/>
              </w:rPr>
              <w:t> </w:t>
            </w:r>
          </w:p>
        </w:tc>
        <w:tc>
          <w:tcPr>
            <w:tcW w:w="1531" w:type="pct"/>
            <w:gridSpan w:val="2"/>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Období šesti měsíců do</w:t>
            </w:r>
          </w:p>
        </w:tc>
        <w:tc>
          <w:tcPr>
            <w:tcW w:w="770"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 </w:t>
            </w:r>
          </w:p>
        </w:tc>
      </w:tr>
      <w:tr w:rsidR="00B51AD9" w:rsidRPr="00B51AD9" w:rsidTr="002C76B2">
        <w:trPr>
          <w:trHeight w:val="552"/>
        </w:trPr>
        <w:tc>
          <w:tcPr>
            <w:tcW w:w="2699"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v tis. EUR</w:t>
            </w:r>
          </w:p>
        </w:tc>
        <w:tc>
          <w:tcPr>
            <w:tcW w:w="766"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30. června</w:t>
            </w:r>
            <w:r w:rsidRPr="00B51AD9">
              <w:rPr>
                <w:rFonts w:ascii="Calibri" w:hAnsi="Calibri" w:cs="Arial"/>
                <w:b/>
                <w:bCs/>
                <w:color w:val="FFFFFF"/>
                <w:sz w:val="20"/>
                <w:szCs w:val="20"/>
                <w:lang w:val="en-US" w:eastAsia="en-US"/>
              </w:rPr>
              <w:br/>
              <w:t>2016</w:t>
            </w:r>
          </w:p>
        </w:tc>
        <w:tc>
          <w:tcPr>
            <w:tcW w:w="766"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30. června</w:t>
            </w:r>
            <w:r w:rsidRPr="00B51AD9">
              <w:rPr>
                <w:rFonts w:ascii="Calibri" w:hAnsi="Calibri" w:cs="Arial"/>
                <w:b/>
                <w:bCs/>
                <w:color w:val="FFFFFF"/>
                <w:sz w:val="20"/>
                <w:szCs w:val="20"/>
                <w:lang w:val="en-US" w:eastAsia="en-US"/>
              </w:rPr>
              <w:br/>
              <w:t>2017</w:t>
            </w:r>
          </w:p>
        </w:tc>
        <w:tc>
          <w:tcPr>
            <w:tcW w:w="770"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 </w:t>
            </w:r>
          </w:p>
        </w:tc>
      </w:tr>
      <w:tr w:rsidR="00B51AD9" w:rsidRPr="00B51AD9" w:rsidTr="002C76B2">
        <w:trPr>
          <w:trHeight w:val="276"/>
        </w:trPr>
        <w:tc>
          <w:tcPr>
            <w:tcW w:w="2699"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 </w:t>
            </w:r>
          </w:p>
        </w:tc>
        <w:tc>
          <w:tcPr>
            <w:tcW w:w="766"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c>
          <w:tcPr>
            <w:tcW w:w="766"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c>
          <w:tcPr>
            <w:tcW w:w="770"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 změna</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Tržby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106 664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111 723</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4,7%</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Spotřeba materiálu a služeb</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-76 847</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-83 845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9,1%</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Osobní náklady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-6 154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-6 694</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8,8%</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eastAsia="en-US"/>
              </w:rPr>
            </w:pPr>
            <w:r w:rsidRPr="00C8626A">
              <w:rPr>
                <w:rFonts w:ascii="Calibri" w:hAnsi="Calibri" w:cs="Arial"/>
                <w:sz w:val="20"/>
                <w:szCs w:val="20"/>
                <w:lang w:eastAsia="en-US"/>
              </w:rPr>
              <w:t>Ostatní provozní výnosy/(náklady) netto</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-851</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-465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-45,4%</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EBITDA</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22 813</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20 719</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-9,2%</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i/>
                <w:iCs/>
                <w:sz w:val="20"/>
                <w:szCs w:val="20"/>
                <w:lang w:val="en-US" w:eastAsia="en-US"/>
              </w:rPr>
            </w:pPr>
            <w:r w:rsidRPr="00B51AD9">
              <w:rPr>
                <w:rFonts w:ascii="Calibri" w:hAnsi="Calibri" w:cs="Arial"/>
                <w:b/>
                <w:bCs/>
                <w:i/>
                <w:iCs/>
                <w:sz w:val="20"/>
                <w:szCs w:val="20"/>
                <w:lang w:val="en-US" w:eastAsia="en-US"/>
              </w:rPr>
              <w:t xml:space="preserve">EBITDA marže </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i/>
                <w:iCs/>
                <w:sz w:val="20"/>
                <w:szCs w:val="20"/>
                <w:lang w:val="en-US" w:eastAsia="en-US"/>
              </w:rPr>
            </w:pPr>
            <w:r w:rsidRPr="00B51AD9">
              <w:rPr>
                <w:rFonts w:ascii="Calibri" w:hAnsi="Calibri" w:cs="Arial"/>
                <w:b/>
                <w:bCs/>
                <w:i/>
                <w:iCs/>
                <w:sz w:val="20"/>
                <w:szCs w:val="20"/>
                <w:lang w:val="en-US" w:eastAsia="en-US"/>
              </w:rPr>
              <w:t>21,4%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i/>
                <w:iCs/>
                <w:sz w:val="20"/>
                <w:szCs w:val="20"/>
                <w:lang w:val="en-US" w:eastAsia="en-US"/>
              </w:rPr>
            </w:pPr>
            <w:r w:rsidRPr="00B51AD9">
              <w:rPr>
                <w:rFonts w:ascii="Calibri" w:hAnsi="Calibri" w:cs="Arial"/>
                <w:b/>
                <w:bCs/>
                <w:i/>
                <w:iCs/>
                <w:sz w:val="20"/>
                <w:szCs w:val="20"/>
                <w:lang w:val="en-US" w:eastAsia="en-US"/>
              </w:rPr>
              <w:t>18,6%</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i/>
                <w:iCs/>
                <w:sz w:val="20"/>
                <w:szCs w:val="20"/>
                <w:lang w:val="en-US" w:eastAsia="en-US"/>
              </w:rPr>
            </w:pPr>
            <w:r w:rsidRPr="00B51AD9">
              <w:rPr>
                <w:rFonts w:ascii="Calibri" w:hAnsi="Calibri" w:cs="Arial"/>
                <w:b/>
                <w:bCs/>
                <w:i/>
                <w:iCs/>
                <w:sz w:val="20"/>
                <w:szCs w:val="20"/>
                <w:lang w:val="en-US" w:eastAsia="en-US"/>
              </w:rPr>
              <w:t>-2,8 p.b.</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vAlign w:val="bottom"/>
            <w:hideMark/>
          </w:tcPr>
          <w:p w:rsidR="00B51AD9" w:rsidRPr="00C8626A" w:rsidRDefault="00B51AD9" w:rsidP="00B51AD9">
            <w:pPr>
              <w:spacing w:before="0" w:beforeAutospacing="0" w:after="0" w:afterAutospacing="0"/>
              <w:jc w:val="left"/>
              <w:rPr>
                <w:rFonts w:ascii="Calibri" w:hAnsi="Calibri" w:cs="Arial"/>
                <w:sz w:val="20"/>
                <w:szCs w:val="20"/>
                <w:lang w:eastAsia="en-US"/>
              </w:rPr>
            </w:pPr>
            <w:r w:rsidRPr="00C8626A">
              <w:rPr>
                <w:rFonts w:ascii="Calibri" w:hAnsi="Calibri" w:cs="Arial"/>
                <w:sz w:val="20"/>
                <w:szCs w:val="20"/>
                <w:lang w:eastAsia="en-US"/>
              </w:rPr>
              <w:t>Odpisy dlouhodobého nehmotného a hmotného majetku</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-8 107</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-8 295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2,3%</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Provozní zisk</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14 706</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12 425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-15,5%</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val="pl-PL" w:eastAsia="en-US"/>
              </w:rPr>
            </w:pPr>
            <w:r w:rsidRPr="00C8626A">
              <w:rPr>
                <w:rFonts w:ascii="Calibri" w:hAnsi="Calibri" w:cs="Arial"/>
                <w:sz w:val="20"/>
                <w:szCs w:val="20"/>
                <w:lang w:val="pl-PL" w:eastAsia="en-US"/>
              </w:rPr>
              <w:t>Kurzové zisky a ostatní finanční výnosy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-208</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7 092</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val="pl-PL" w:eastAsia="en-US"/>
              </w:rPr>
            </w:pPr>
            <w:r w:rsidRPr="00C8626A">
              <w:rPr>
                <w:rFonts w:ascii="Calibri" w:hAnsi="Calibri" w:cs="Arial"/>
                <w:sz w:val="20"/>
                <w:szCs w:val="20"/>
                <w:lang w:val="pl-PL" w:eastAsia="en-US"/>
              </w:rPr>
              <w:t>Kurzové ztráty a ostatní finanční náklady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-1 749</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-10 228</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484,6%</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Úrokové výnosy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49</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27</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-44,8%</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Úrokové náklady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-4 196</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-3 734</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-11,0%</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Zisk před zdaněním</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8 602</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5 580</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-35,1%</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Daň z příjmů</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-1 054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xml:space="preserve">-1 </w:t>
            </w:r>
            <w:r w:rsidR="0048429B">
              <w:rPr>
                <w:rFonts w:ascii="Calibri" w:hAnsi="Calibri" w:cs="Arial"/>
                <w:sz w:val="20"/>
                <w:szCs w:val="20"/>
                <w:lang w:val="en-US" w:eastAsia="en-US"/>
              </w:rPr>
              <w:t>122</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48429B"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6,5</w:t>
            </w:r>
            <w:r w:rsidR="00B51AD9" w:rsidRPr="00B51AD9">
              <w:rPr>
                <w:rFonts w:ascii="Calibri" w:hAnsi="Calibri" w:cs="Arial"/>
                <w:sz w:val="20"/>
                <w:szCs w:val="20"/>
                <w:lang w:val="en-US" w:eastAsia="en-US"/>
              </w:rPr>
              <w:t>%</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Čistý zisk po zdanění</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7 548</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 xml:space="preserve">4 </w:t>
            </w:r>
            <w:r w:rsidR="0048429B">
              <w:rPr>
                <w:rFonts w:ascii="Calibri" w:hAnsi="Calibri" w:cs="Arial"/>
                <w:b/>
                <w:bCs/>
                <w:sz w:val="20"/>
                <w:szCs w:val="20"/>
                <w:lang w:val="en-US" w:eastAsia="en-US"/>
              </w:rPr>
              <w:t>458</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w:t>
            </w:r>
            <w:r w:rsidR="0048429B">
              <w:rPr>
                <w:rFonts w:ascii="Calibri" w:hAnsi="Calibri" w:cs="Arial"/>
                <w:b/>
                <w:bCs/>
                <w:sz w:val="20"/>
                <w:szCs w:val="20"/>
                <w:lang w:val="en-US" w:eastAsia="en-US"/>
              </w:rPr>
              <w:t>40</w:t>
            </w:r>
            <w:r w:rsidRPr="00B51AD9">
              <w:rPr>
                <w:rFonts w:ascii="Calibri" w:hAnsi="Calibri" w:cs="Arial"/>
                <w:b/>
                <w:bCs/>
                <w:sz w:val="20"/>
                <w:szCs w:val="20"/>
                <w:lang w:val="en-US" w:eastAsia="en-US"/>
              </w:rPr>
              <w:t>,9%</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Ostatní úplný výsledek</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0"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eastAsia="en-US"/>
              </w:rPr>
            </w:pPr>
            <w:r w:rsidRPr="00C8626A">
              <w:rPr>
                <w:rFonts w:ascii="Calibri" w:hAnsi="Calibri" w:cs="Arial"/>
                <w:sz w:val="20"/>
                <w:szCs w:val="20"/>
                <w:lang w:eastAsia="en-US"/>
              </w:rPr>
              <w:t>Čistý zisk ze zajištění peněžních toků</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-3 101</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725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eastAsia="en-US"/>
              </w:rPr>
            </w:pPr>
            <w:r w:rsidRPr="00C8626A">
              <w:rPr>
                <w:rFonts w:ascii="Calibri" w:hAnsi="Calibri" w:cs="Arial"/>
                <w:sz w:val="20"/>
                <w:szCs w:val="20"/>
                <w:lang w:eastAsia="en-US"/>
              </w:rPr>
              <w:t>Kurzové rozdíly vzniklé z přepočtu</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-3 044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48429B"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3 581</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b/>
                <w:bCs/>
                <w:sz w:val="20"/>
                <w:szCs w:val="20"/>
                <w:lang w:val="pl-PL" w:eastAsia="en-US"/>
              </w:rPr>
            </w:pPr>
            <w:r w:rsidRPr="00C8626A">
              <w:rPr>
                <w:rFonts w:ascii="Calibri" w:hAnsi="Calibri" w:cs="Arial"/>
                <w:b/>
                <w:bCs/>
                <w:sz w:val="20"/>
                <w:szCs w:val="20"/>
                <w:lang w:val="pl-PL" w:eastAsia="en-US"/>
              </w:rPr>
              <w:t>Úplný výsledek za období celkem</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1 403</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48429B" w:rsidP="0048429B">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8 765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AB332B" w:rsidP="0048429B">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5</w:t>
            </w:r>
            <w:r w:rsidR="0048429B">
              <w:rPr>
                <w:rFonts w:ascii="Calibri" w:hAnsi="Calibri" w:cs="Arial"/>
                <w:b/>
                <w:bCs/>
                <w:sz w:val="20"/>
                <w:szCs w:val="20"/>
                <w:lang w:val="en-US" w:eastAsia="en-US"/>
              </w:rPr>
              <w:t>24</w:t>
            </w:r>
            <w:r>
              <w:rPr>
                <w:rFonts w:ascii="Calibri" w:hAnsi="Calibri" w:cs="Arial"/>
                <w:b/>
                <w:bCs/>
                <w:sz w:val="20"/>
                <w:szCs w:val="20"/>
                <w:lang w:val="en-US" w:eastAsia="en-US"/>
              </w:rPr>
              <w:t>,</w:t>
            </w:r>
            <w:r w:rsidR="0048429B">
              <w:rPr>
                <w:rFonts w:ascii="Calibri" w:hAnsi="Calibri" w:cs="Arial"/>
                <w:b/>
                <w:bCs/>
                <w:sz w:val="20"/>
                <w:szCs w:val="20"/>
                <w:lang w:val="en-US" w:eastAsia="en-US"/>
              </w:rPr>
              <w:t>8</w:t>
            </w:r>
            <w:r w:rsidR="00B51AD9" w:rsidRPr="00B51AD9">
              <w:rPr>
                <w:rFonts w:ascii="Calibri" w:hAnsi="Calibri" w:cs="Arial"/>
                <w:b/>
                <w:bCs/>
                <w:sz w:val="20"/>
                <w:szCs w:val="20"/>
                <w:lang w:val="en-US" w:eastAsia="en-US"/>
              </w:rPr>
              <w:t>%</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Čistý zisk na akcii</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0"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val="pl-PL" w:eastAsia="en-US"/>
              </w:rPr>
            </w:pPr>
            <w:r w:rsidRPr="00C8626A">
              <w:rPr>
                <w:rFonts w:ascii="Calibri" w:hAnsi="Calibri" w:cs="Arial"/>
                <w:sz w:val="20"/>
                <w:szCs w:val="20"/>
                <w:lang w:val="pl-PL" w:eastAsia="en-US"/>
              </w:rPr>
              <w:t>Základní čistý zisk na akcii (EUR)</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0,86</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0,5</w:t>
            </w:r>
            <w:r w:rsidR="0048429B">
              <w:rPr>
                <w:rFonts w:ascii="Calibri" w:hAnsi="Calibri" w:cs="Arial"/>
                <w:sz w:val="20"/>
                <w:szCs w:val="20"/>
                <w:lang w:val="en-US" w:eastAsia="en-US"/>
              </w:rPr>
              <w:t>1</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w:t>
            </w:r>
            <w:r w:rsidR="0048429B">
              <w:rPr>
                <w:rFonts w:ascii="Calibri" w:hAnsi="Calibri" w:cs="Arial"/>
                <w:sz w:val="20"/>
                <w:szCs w:val="20"/>
                <w:lang w:val="en-US" w:eastAsia="en-US"/>
              </w:rPr>
              <w:t>40</w:t>
            </w:r>
            <w:r w:rsidRPr="00B51AD9">
              <w:rPr>
                <w:rFonts w:ascii="Calibri" w:hAnsi="Calibri" w:cs="Arial"/>
                <w:sz w:val="20"/>
                <w:szCs w:val="20"/>
                <w:lang w:val="en-US" w:eastAsia="en-US"/>
              </w:rPr>
              <w:t>,9%</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C8626A" w:rsidRDefault="00B51AD9" w:rsidP="00B51AD9">
            <w:pPr>
              <w:spacing w:before="0" w:beforeAutospacing="0" w:after="0" w:afterAutospacing="0"/>
              <w:jc w:val="left"/>
              <w:rPr>
                <w:rFonts w:ascii="Calibri" w:hAnsi="Calibri" w:cs="Arial"/>
                <w:sz w:val="20"/>
                <w:szCs w:val="20"/>
                <w:lang w:val="pl-PL" w:eastAsia="en-US"/>
              </w:rPr>
            </w:pPr>
            <w:r w:rsidRPr="00C8626A">
              <w:rPr>
                <w:rFonts w:ascii="Calibri" w:hAnsi="Calibri" w:cs="Arial"/>
                <w:sz w:val="20"/>
                <w:szCs w:val="20"/>
                <w:lang w:val="pl-PL" w:eastAsia="en-US"/>
              </w:rPr>
              <w:t>Zředěný čistý zisk na akcii (EUR)</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0,86</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0,5</w:t>
            </w:r>
            <w:r w:rsidR="0048429B">
              <w:rPr>
                <w:rFonts w:ascii="Calibri" w:hAnsi="Calibri" w:cs="Arial"/>
                <w:sz w:val="20"/>
                <w:szCs w:val="20"/>
                <w:lang w:val="en-US" w:eastAsia="en-US"/>
              </w:rPr>
              <w:t>1</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w:t>
            </w:r>
            <w:r w:rsidR="0048429B">
              <w:rPr>
                <w:rFonts w:ascii="Calibri" w:hAnsi="Calibri" w:cs="Arial"/>
                <w:sz w:val="20"/>
                <w:szCs w:val="20"/>
                <w:lang w:val="en-US" w:eastAsia="en-US"/>
              </w:rPr>
              <w:t>40</w:t>
            </w:r>
            <w:r w:rsidRPr="00B51AD9">
              <w:rPr>
                <w:rFonts w:ascii="Calibri" w:hAnsi="Calibri" w:cs="Arial"/>
                <w:sz w:val="20"/>
                <w:szCs w:val="20"/>
                <w:lang w:val="en-US" w:eastAsia="en-US"/>
              </w:rPr>
              <w:t>,7%</w:t>
            </w:r>
          </w:p>
        </w:tc>
      </w:tr>
    </w:tbl>
    <w:p w:rsidR="004072D9" w:rsidRPr="007A3749" w:rsidRDefault="004072D9" w:rsidP="007A3749"/>
    <w:p w:rsidR="008A66C6" w:rsidRDefault="008A66C6">
      <w:pPr>
        <w:spacing w:before="0" w:beforeAutospacing="0" w:after="0" w:afterAutospacing="0"/>
        <w:jc w:val="left"/>
        <w:rPr>
          <w:b/>
          <w:bCs/>
          <w:kern w:val="32"/>
          <w:sz w:val="28"/>
          <w:szCs w:val="28"/>
        </w:rPr>
      </w:pPr>
      <w:bookmarkStart w:id="61" w:name="_Toc269139315"/>
      <w:bookmarkStart w:id="62" w:name="_Toc269139316"/>
      <w:bookmarkStart w:id="63" w:name="_Toc269139317"/>
      <w:bookmarkStart w:id="64" w:name="_Toc269139318"/>
      <w:bookmarkStart w:id="65" w:name="_Toc269139319"/>
      <w:bookmarkStart w:id="66" w:name="_Toc269139320"/>
      <w:bookmarkStart w:id="67" w:name="_Toc269139321"/>
      <w:bookmarkStart w:id="68" w:name="_Toc269139322"/>
      <w:bookmarkStart w:id="69" w:name="_Toc269139323"/>
      <w:bookmarkStart w:id="70" w:name="_Toc269111138"/>
      <w:bookmarkStart w:id="71" w:name="_Toc269118411"/>
      <w:bookmarkStart w:id="72" w:name="_Toc269139324"/>
      <w:bookmarkStart w:id="73" w:name="_Toc269111139"/>
      <w:bookmarkStart w:id="74" w:name="_Toc269118412"/>
      <w:bookmarkStart w:id="75" w:name="_Toc269139325"/>
      <w:bookmarkStart w:id="76" w:name="_Toc269295560"/>
      <w:bookmarkStart w:id="77" w:name="_Toc26990749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br w:type="page"/>
      </w:r>
    </w:p>
    <w:p w:rsidR="00CC1601" w:rsidRPr="007A3749" w:rsidRDefault="00234327" w:rsidP="00396F0C">
      <w:pPr>
        <w:pStyle w:val="Heading2"/>
      </w:pPr>
      <w:bookmarkStart w:id="78" w:name="_Toc487810690"/>
      <w:r w:rsidRPr="00234327">
        <w:t xml:space="preserve">Konsolidovaný výkaz o úplném výsledku ve zkrácené podobě za období </w:t>
      </w:r>
      <w:r>
        <w:t xml:space="preserve">tří </w:t>
      </w:r>
      <w:r w:rsidRPr="00234327">
        <w:t>měsíců</w:t>
      </w:r>
      <w:bookmarkEnd w:id="76"/>
      <w:bookmarkEnd w:id="77"/>
      <w:bookmarkEnd w:id="78"/>
    </w:p>
    <w:p w:rsidR="001E4529" w:rsidRDefault="001E4529">
      <w:pPr>
        <w:spacing w:before="0" w:beforeAutospacing="0" w:after="0" w:afterAutospacing="0"/>
        <w:jc w:val="left"/>
      </w:pPr>
      <w:bookmarkStart w:id="79" w:name="_Toc269139327"/>
      <w:bookmarkStart w:id="80" w:name="_Toc269139328"/>
      <w:bookmarkStart w:id="81" w:name="_Toc269139329"/>
      <w:bookmarkStart w:id="82" w:name="_Toc269139330"/>
      <w:bookmarkStart w:id="83" w:name="_Toc269139331"/>
      <w:bookmarkStart w:id="84" w:name="_Toc269111141"/>
      <w:bookmarkStart w:id="85" w:name="_Toc269118414"/>
      <w:bookmarkStart w:id="86" w:name="_Toc269139332"/>
      <w:bookmarkStart w:id="87" w:name="_Toc269111142"/>
      <w:bookmarkStart w:id="88" w:name="_Toc269118415"/>
      <w:bookmarkStart w:id="89" w:name="_Toc269139333"/>
      <w:bookmarkStart w:id="90" w:name="_Toc269111143"/>
      <w:bookmarkStart w:id="91" w:name="_Toc269118416"/>
      <w:bookmarkStart w:id="92" w:name="_Toc269139334"/>
      <w:bookmarkStart w:id="93" w:name="_Toc269295561"/>
      <w:bookmarkStart w:id="94" w:name="_Toc269907500"/>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W w:w="5000" w:type="pct"/>
        <w:tblLook w:val="04A0" w:firstRow="1" w:lastRow="0" w:firstColumn="1" w:lastColumn="0" w:noHBand="0" w:noVBand="1"/>
      </w:tblPr>
      <w:tblGrid>
        <w:gridCol w:w="4980"/>
        <w:gridCol w:w="1457"/>
        <w:gridCol w:w="1457"/>
        <w:gridCol w:w="1394"/>
      </w:tblGrid>
      <w:tr w:rsidR="00B51AD9" w:rsidRPr="00B51AD9" w:rsidTr="002C76B2">
        <w:trPr>
          <w:trHeight w:val="276"/>
        </w:trPr>
        <w:tc>
          <w:tcPr>
            <w:tcW w:w="2699" w:type="pct"/>
            <w:tcBorders>
              <w:top w:val="nil"/>
              <w:left w:val="nil"/>
              <w:bottom w:val="nil"/>
              <w:right w:val="nil"/>
            </w:tcBorders>
            <w:shd w:val="clear" w:color="000000" w:fill="E2001C"/>
            <w:noWrap/>
            <w:vAlign w:val="bottom"/>
            <w:hideMark/>
          </w:tcPr>
          <w:p w:rsidR="00B51AD9" w:rsidRPr="0013454F" w:rsidRDefault="00B51AD9" w:rsidP="00B51AD9">
            <w:pPr>
              <w:spacing w:before="0" w:beforeAutospacing="0" w:after="0" w:afterAutospacing="0"/>
              <w:jc w:val="left"/>
              <w:rPr>
                <w:rFonts w:ascii="Calibri" w:hAnsi="Calibri" w:cs="Arial"/>
                <w:color w:val="FFFFFF"/>
                <w:sz w:val="20"/>
                <w:szCs w:val="20"/>
                <w:lang w:eastAsia="en-US"/>
              </w:rPr>
            </w:pPr>
            <w:r w:rsidRPr="0013454F">
              <w:rPr>
                <w:rFonts w:ascii="Calibri" w:hAnsi="Calibri" w:cs="Arial"/>
                <w:color w:val="FFFFFF"/>
                <w:sz w:val="20"/>
                <w:szCs w:val="20"/>
                <w:lang w:eastAsia="en-US"/>
              </w:rPr>
              <w:t> </w:t>
            </w:r>
          </w:p>
        </w:tc>
        <w:tc>
          <w:tcPr>
            <w:tcW w:w="1531" w:type="pct"/>
            <w:gridSpan w:val="2"/>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Období tří měsíců do</w:t>
            </w:r>
          </w:p>
        </w:tc>
        <w:tc>
          <w:tcPr>
            <w:tcW w:w="770"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 </w:t>
            </w:r>
          </w:p>
        </w:tc>
      </w:tr>
      <w:tr w:rsidR="00B51AD9" w:rsidRPr="00B51AD9" w:rsidTr="002C76B2">
        <w:trPr>
          <w:trHeight w:val="552"/>
        </w:trPr>
        <w:tc>
          <w:tcPr>
            <w:tcW w:w="2699"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v tis. EUR</w:t>
            </w:r>
          </w:p>
        </w:tc>
        <w:tc>
          <w:tcPr>
            <w:tcW w:w="766"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30. června</w:t>
            </w:r>
            <w:r w:rsidRPr="00B51AD9">
              <w:rPr>
                <w:rFonts w:ascii="Calibri" w:hAnsi="Calibri" w:cs="Arial"/>
                <w:b/>
                <w:bCs/>
                <w:color w:val="FFFFFF"/>
                <w:sz w:val="20"/>
                <w:szCs w:val="20"/>
                <w:lang w:val="en-US" w:eastAsia="en-US"/>
              </w:rPr>
              <w:br/>
              <w:t>2016</w:t>
            </w:r>
          </w:p>
        </w:tc>
        <w:tc>
          <w:tcPr>
            <w:tcW w:w="766"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30. června</w:t>
            </w:r>
            <w:r w:rsidRPr="00B51AD9">
              <w:rPr>
                <w:rFonts w:ascii="Calibri" w:hAnsi="Calibri" w:cs="Arial"/>
                <w:b/>
                <w:bCs/>
                <w:color w:val="FFFFFF"/>
                <w:sz w:val="20"/>
                <w:szCs w:val="20"/>
                <w:lang w:val="en-US" w:eastAsia="en-US"/>
              </w:rPr>
              <w:br/>
              <w:t>2017</w:t>
            </w:r>
          </w:p>
        </w:tc>
        <w:tc>
          <w:tcPr>
            <w:tcW w:w="770"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 </w:t>
            </w:r>
          </w:p>
        </w:tc>
      </w:tr>
      <w:tr w:rsidR="00B51AD9" w:rsidRPr="00B51AD9" w:rsidTr="002C76B2">
        <w:trPr>
          <w:trHeight w:val="276"/>
        </w:trPr>
        <w:tc>
          <w:tcPr>
            <w:tcW w:w="2699"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 </w:t>
            </w:r>
          </w:p>
        </w:tc>
        <w:tc>
          <w:tcPr>
            <w:tcW w:w="766"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c>
          <w:tcPr>
            <w:tcW w:w="766"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c>
          <w:tcPr>
            <w:tcW w:w="770"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 změna</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Výnosy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51 584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55 967</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8,5%</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Spotřeba materiálu a služeb</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-36 834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-42 414</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15,1%</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Osobní náklady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-3 181</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-3 596</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13,0%</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Ostatní provozní výnosy/(náklady) (netto)</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-358</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-490</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36,9%</w:t>
            </w:r>
          </w:p>
        </w:tc>
      </w:tr>
      <w:tr w:rsidR="00B51AD9" w:rsidRPr="00B51AD9" w:rsidTr="002C76B2">
        <w:trPr>
          <w:trHeight w:val="315"/>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EBITDA</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11 210</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9 467</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-15,6%</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i/>
                <w:iCs/>
                <w:sz w:val="20"/>
                <w:szCs w:val="20"/>
                <w:lang w:val="en-US" w:eastAsia="en-US"/>
              </w:rPr>
            </w:pPr>
            <w:r w:rsidRPr="00B51AD9">
              <w:rPr>
                <w:rFonts w:ascii="Calibri" w:hAnsi="Calibri" w:cs="Arial"/>
                <w:b/>
                <w:bCs/>
                <w:i/>
                <w:iCs/>
                <w:sz w:val="20"/>
                <w:szCs w:val="20"/>
                <w:lang w:val="en-US" w:eastAsia="en-US"/>
              </w:rPr>
              <w:t xml:space="preserve">EBITDA marže </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i/>
                <w:iCs/>
                <w:sz w:val="20"/>
                <w:szCs w:val="20"/>
                <w:lang w:val="en-US" w:eastAsia="en-US"/>
              </w:rPr>
            </w:pPr>
            <w:r w:rsidRPr="00B51AD9">
              <w:rPr>
                <w:rFonts w:ascii="Calibri" w:hAnsi="Calibri" w:cs="Arial"/>
                <w:b/>
                <w:bCs/>
                <w:i/>
                <w:iCs/>
                <w:sz w:val="20"/>
                <w:szCs w:val="20"/>
                <w:lang w:val="en-US" w:eastAsia="en-US"/>
              </w:rPr>
              <w:t>21,7%</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i/>
                <w:iCs/>
                <w:sz w:val="20"/>
                <w:szCs w:val="20"/>
                <w:lang w:val="en-US" w:eastAsia="en-US"/>
              </w:rPr>
            </w:pPr>
            <w:r w:rsidRPr="00B51AD9">
              <w:rPr>
                <w:rFonts w:ascii="Calibri" w:hAnsi="Calibri" w:cs="Arial"/>
                <w:b/>
                <w:bCs/>
                <w:i/>
                <w:iCs/>
                <w:sz w:val="20"/>
                <w:szCs w:val="20"/>
                <w:lang w:val="en-US" w:eastAsia="en-US"/>
              </w:rPr>
              <w:t>16,9%</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i/>
                <w:iCs/>
                <w:sz w:val="20"/>
                <w:szCs w:val="20"/>
                <w:lang w:val="en-US" w:eastAsia="en-US"/>
              </w:rPr>
            </w:pPr>
            <w:r w:rsidRPr="00B51AD9">
              <w:rPr>
                <w:rFonts w:ascii="Calibri" w:hAnsi="Calibri" w:cs="Arial"/>
                <w:b/>
                <w:bCs/>
                <w:i/>
                <w:iCs/>
                <w:sz w:val="20"/>
                <w:szCs w:val="20"/>
                <w:lang w:val="en-US" w:eastAsia="en-US"/>
              </w:rPr>
              <w:t>-4,8 p.b.</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Odpisy dlouhodobého nehmotného a hmotného majetku</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-4 047</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-4 171</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3,1%</w:t>
            </w:r>
          </w:p>
        </w:tc>
      </w:tr>
      <w:tr w:rsidR="00B51AD9" w:rsidRPr="00B51AD9" w:rsidTr="002C76B2">
        <w:trPr>
          <w:trHeight w:val="315"/>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Provozní zisk</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7 163</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5 296</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-26,1%</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Kurzové zisky a ostatní finanční výnosy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-321</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6 983</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Kurzové ztráty a ostatní finanční náklady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2 069</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-9 035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Úrokové výnosy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23</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12</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-47,8%</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Úrokové náklady</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-2 061</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-1 924</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-6,7%</w:t>
            </w:r>
          </w:p>
        </w:tc>
      </w:tr>
      <w:tr w:rsidR="00B51AD9" w:rsidRPr="00B51AD9" w:rsidTr="002C76B2">
        <w:trPr>
          <w:trHeight w:val="315"/>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Zisk před zdaněním</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6 873</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1 332</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-80,6%</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 xml:space="preserve">Daň z příjmů – (náklad)/výnos </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205</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w:t>
            </w:r>
            <w:r w:rsidR="0048429B">
              <w:rPr>
                <w:rFonts w:ascii="Calibri" w:hAnsi="Calibri" w:cs="Arial"/>
                <w:sz w:val="20"/>
                <w:szCs w:val="20"/>
                <w:lang w:val="en-US" w:eastAsia="en-US"/>
              </w:rPr>
              <w:t>535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300"/>
        </w:trPr>
        <w:tc>
          <w:tcPr>
            <w:tcW w:w="269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Čistý zisk po zdanění</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7 078</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48429B" w:rsidP="0048429B">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797</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-8</w:t>
            </w:r>
            <w:r w:rsidR="0048429B">
              <w:rPr>
                <w:rFonts w:ascii="Calibri" w:hAnsi="Calibri" w:cs="Arial"/>
                <w:b/>
                <w:bCs/>
                <w:sz w:val="20"/>
                <w:szCs w:val="20"/>
                <w:lang w:val="en-US" w:eastAsia="en-US"/>
              </w:rPr>
              <w:t>8</w:t>
            </w:r>
            <w:r w:rsidRPr="00B51AD9">
              <w:rPr>
                <w:rFonts w:ascii="Calibri" w:hAnsi="Calibri" w:cs="Arial"/>
                <w:b/>
                <w:bCs/>
                <w:sz w:val="20"/>
                <w:szCs w:val="20"/>
                <w:lang w:val="en-US" w:eastAsia="en-US"/>
              </w:rPr>
              <w:t>,7%</w:t>
            </w:r>
          </w:p>
        </w:tc>
      </w:tr>
      <w:tr w:rsidR="00B51AD9" w:rsidRPr="00B51AD9" w:rsidTr="002C76B2">
        <w:trPr>
          <w:trHeight w:val="276"/>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Ostatní úplný výsledek</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0"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Čistý zisk ze zajištění peněžních toků</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-1 063</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-61</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-94,3%</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Kurzové rozdíly vzniklé z přepočtu</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5 08</w:t>
            </w:r>
            <w:r w:rsidR="0048429B">
              <w:rPr>
                <w:rFonts w:ascii="Calibri" w:hAnsi="Calibri" w:cs="Arial"/>
                <w:sz w:val="20"/>
                <w:szCs w:val="20"/>
                <w:lang w:val="en-US" w:eastAsia="en-US"/>
              </w:rPr>
              <w:t>5</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n/a</w:t>
            </w:r>
          </w:p>
        </w:tc>
      </w:tr>
      <w:tr w:rsidR="00B51AD9" w:rsidRPr="00B51AD9" w:rsidTr="002C76B2">
        <w:trPr>
          <w:trHeight w:val="315"/>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val="pl-PL" w:eastAsia="en-US"/>
              </w:rPr>
            </w:pPr>
            <w:r w:rsidRPr="0013454F">
              <w:rPr>
                <w:rFonts w:ascii="Calibri" w:hAnsi="Calibri" w:cs="Arial"/>
                <w:b/>
                <w:bCs/>
                <w:sz w:val="20"/>
                <w:szCs w:val="20"/>
                <w:lang w:val="pl-PL" w:eastAsia="en-US"/>
              </w:rPr>
              <w:t>Úplný výsledek za období celkem</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6 014</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5 8</w:t>
            </w:r>
            <w:r w:rsidR="0048429B">
              <w:rPr>
                <w:rFonts w:ascii="Calibri" w:hAnsi="Calibri" w:cs="Arial"/>
                <w:b/>
                <w:bCs/>
                <w:sz w:val="20"/>
                <w:szCs w:val="20"/>
                <w:lang w:val="en-US" w:eastAsia="en-US"/>
              </w:rPr>
              <w:t>21</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w:t>
            </w:r>
            <w:r w:rsidR="0048429B">
              <w:rPr>
                <w:rFonts w:ascii="Calibri" w:hAnsi="Calibri" w:cs="Arial"/>
                <w:b/>
                <w:bCs/>
                <w:sz w:val="20"/>
                <w:szCs w:val="20"/>
                <w:lang w:val="en-US" w:eastAsia="en-US"/>
              </w:rPr>
              <w:t>3,2</w:t>
            </w:r>
            <w:r w:rsidRPr="00B51AD9">
              <w:rPr>
                <w:rFonts w:ascii="Calibri" w:hAnsi="Calibri" w:cs="Arial"/>
                <w:b/>
                <w:bCs/>
                <w:sz w:val="20"/>
                <w:szCs w:val="20"/>
                <w:lang w:val="en-US" w:eastAsia="en-US"/>
              </w:rPr>
              <w:t>%</w:t>
            </w:r>
          </w:p>
        </w:tc>
      </w:tr>
      <w:tr w:rsidR="00B51AD9" w:rsidRPr="00B51AD9" w:rsidTr="002C76B2">
        <w:trPr>
          <w:trHeight w:val="105"/>
        </w:trPr>
        <w:tc>
          <w:tcPr>
            <w:tcW w:w="269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66"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0"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9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Čistý zisk na akcii</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66"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0"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Základní čistý zisk na akcii (EUR)</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0,81</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r w:rsidR="0048429B">
              <w:rPr>
                <w:rFonts w:ascii="Calibri" w:hAnsi="Calibri" w:cs="Arial"/>
                <w:sz w:val="20"/>
                <w:szCs w:val="20"/>
                <w:lang w:val="en-US" w:eastAsia="en-US"/>
              </w:rPr>
              <w:t>09</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w:t>
            </w:r>
            <w:r w:rsidR="0048429B">
              <w:rPr>
                <w:rFonts w:ascii="Calibri" w:hAnsi="Calibri" w:cs="Arial"/>
                <w:sz w:val="20"/>
                <w:szCs w:val="20"/>
                <w:lang w:val="en-US" w:eastAsia="en-US"/>
              </w:rPr>
              <w:t>8</w:t>
            </w:r>
            <w:r w:rsidRPr="00B51AD9">
              <w:rPr>
                <w:rFonts w:ascii="Calibri" w:hAnsi="Calibri" w:cs="Arial"/>
                <w:sz w:val="20"/>
                <w:szCs w:val="20"/>
                <w:lang w:val="en-US" w:eastAsia="en-US"/>
              </w:rPr>
              <w:t>,7%</w:t>
            </w:r>
          </w:p>
        </w:tc>
      </w:tr>
      <w:tr w:rsidR="00B51AD9" w:rsidRPr="00B51AD9" w:rsidTr="002C76B2">
        <w:trPr>
          <w:trHeight w:val="276"/>
        </w:trPr>
        <w:tc>
          <w:tcPr>
            <w:tcW w:w="269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Zředěný čistý zisk na akcii (EUR)</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0,80</w:t>
            </w:r>
          </w:p>
        </w:tc>
        <w:tc>
          <w:tcPr>
            <w:tcW w:w="766"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r w:rsidR="0048429B">
              <w:rPr>
                <w:rFonts w:ascii="Calibri" w:hAnsi="Calibri" w:cs="Arial"/>
                <w:sz w:val="20"/>
                <w:szCs w:val="20"/>
                <w:lang w:val="en-US" w:eastAsia="en-US"/>
              </w:rPr>
              <w:t>09</w:t>
            </w:r>
          </w:p>
        </w:tc>
        <w:tc>
          <w:tcPr>
            <w:tcW w:w="770"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w:t>
            </w:r>
            <w:r w:rsidR="0048429B">
              <w:rPr>
                <w:rFonts w:ascii="Calibri" w:hAnsi="Calibri" w:cs="Arial"/>
                <w:sz w:val="20"/>
                <w:szCs w:val="20"/>
                <w:lang w:val="en-US" w:eastAsia="en-US"/>
              </w:rPr>
              <w:t>8</w:t>
            </w:r>
            <w:r w:rsidRPr="00B51AD9">
              <w:rPr>
                <w:rFonts w:ascii="Calibri" w:hAnsi="Calibri" w:cs="Arial"/>
                <w:sz w:val="20"/>
                <w:szCs w:val="20"/>
                <w:lang w:val="en-US" w:eastAsia="en-US"/>
              </w:rPr>
              <w:t>,</w:t>
            </w:r>
            <w:r w:rsidR="0048429B">
              <w:rPr>
                <w:rFonts w:ascii="Calibri" w:hAnsi="Calibri" w:cs="Arial"/>
                <w:sz w:val="20"/>
                <w:szCs w:val="20"/>
                <w:lang w:val="en-US" w:eastAsia="en-US"/>
              </w:rPr>
              <w:t>7</w:t>
            </w:r>
            <w:r w:rsidRPr="00B51AD9">
              <w:rPr>
                <w:rFonts w:ascii="Calibri" w:hAnsi="Calibri" w:cs="Arial"/>
                <w:sz w:val="20"/>
                <w:szCs w:val="20"/>
                <w:lang w:val="en-US" w:eastAsia="en-US"/>
              </w:rPr>
              <w:t>%</w:t>
            </w:r>
          </w:p>
        </w:tc>
      </w:tr>
    </w:tbl>
    <w:p w:rsidR="008A66C6" w:rsidRDefault="008A66C6">
      <w:pPr>
        <w:spacing w:before="0" w:beforeAutospacing="0" w:after="0" w:afterAutospacing="0"/>
        <w:jc w:val="left"/>
        <w:rPr>
          <w:b/>
          <w:bCs/>
          <w:kern w:val="32"/>
          <w:sz w:val="28"/>
          <w:szCs w:val="28"/>
        </w:rPr>
      </w:pPr>
      <w:r>
        <w:br w:type="page"/>
      </w:r>
    </w:p>
    <w:p w:rsidR="00CC1601" w:rsidRPr="007A3749" w:rsidRDefault="00234327" w:rsidP="00396F0C">
      <w:pPr>
        <w:pStyle w:val="Heading2"/>
      </w:pPr>
      <w:bookmarkStart w:id="95" w:name="_Toc487810691"/>
      <w:r w:rsidRPr="00234327">
        <w:t>Konsolidovaný výkaz o finanční situaci ve zkrácené podobě</w:t>
      </w:r>
      <w:bookmarkEnd w:id="93"/>
      <w:bookmarkEnd w:id="94"/>
      <w:bookmarkEnd w:id="95"/>
    </w:p>
    <w:p w:rsidR="00CC1601" w:rsidRDefault="00CC1601" w:rsidP="007A3749"/>
    <w:tbl>
      <w:tblPr>
        <w:tblW w:w="5000" w:type="pct"/>
        <w:tblLook w:val="04A0" w:firstRow="1" w:lastRow="0" w:firstColumn="1" w:lastColumn="0" w:noHBand="0" w:noVBand="1"/>
      </w:tblPr>
      <w:tblGrid>
        <w:gridCol w:w="4946"/>
        <w:gridCol w:w="1457"/>
        <w:gridCol w:w="1428"/>
        <w:gridCol w:w="1457"/>
      </w:tblGrid>
      <w:tr w:rsidR="00B51AD9" w:rsidRPr="00B51AD9" w:rsidTr="002C76B2">
        <w:trPr>
          <w:trHeight w:val="564"/>
        </w:trPr>
        <w:tc>
          <w:tcPr>
            <w:tcW w:w="2669"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b/>
                <w:bCs/>
                <w:color w:val="FFFFFF"/>
                <w:sz w:val="20"/>
                <w:szCs w:val="20"/>
                <w:lang w:val="en-US" w:eastAsia="en-US"/>
              </w:rPr>
            </w:pPr>
            <w:bookmarkStart w:id="96" w:name="_Toc269111145"/>
            <w:bookmarkStart w:id="97" w:name="_Toc269118418"/>
            <w:bookmarkStart w:id="98" w:name="_Toc269139336"/>
            <w:bookmarkStart w:id="99" w:name="_Toc269295562"/>
            <w:bookmarkStart w:id="100" w:name="_Toc269907501"/>
            <w:bookmarkStart w:id="101" w:name="_Toc487810692"/>
            <w:bookmarkEnd w:id="96"/>
            <w:bookmarkEnd w:id="97"/>
            <w:bookmarkEnd w:id="98"/>
            <w:r w:rsidRPr="00B51AD9">
              <w:rPr>
                <w:rFonts w:ascii="Calibri" w:hAnsi="Calibri" w:cs="Arial"/>
                <w:b/>
                <w:bCs/>
                <w:color w:val="FFFFFF"/>
                <w:sz w:val="20"/>
                <w:szCs w:val="20"/>
                <w:lang w:val="en-US" w:eastAsia="en-US"/>
              </w:rPr>
              <w:t>v tis. EUR</w:t>
            </w:r>
          </w:p>
        </w:tc>
        <w:tc>
          <w:tcPr>
            <w:tcW w:w="778"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30. června</w:t>
            </w:r>
            <w:r w:rsidRPr="00B51AD9">
              <w:rPr>
                <w:rFonts w:ascii="Calibri" w:hAnsi="Calibri" w:cs="Arial"/>
                <w:b/>
                <w:bCs/>
                <w:color w:val="FFFFFF"/>
                <w:sz w:val="20"/>
                <w:szCs w:val="20"/>
                <w:lang w:val="en-US" w:eastAsia="en-US"/>
              </w:rPr>
              <w:br/>
              <w:t>2016</w:t>
            </w:r>
          </w:p>
        </w:tc>
        <w:tc>
          <w:tcPr>
            <w:tcW w:w="775"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31. prosince</w:t>
            </w:r>
            <w:r w:rsidRPr="00B51AD9">
              <w:rPr>
                <w:rFonts w:ascii="Calibri" w:hAnsi="Calibri" w:cs="Arial"/>
                <w:b/>
                <w:bCs/>
                <w:color w:val="FFFFFF"/>
                <w:sz w:val="20"/>
                <w:szCs w:val="20"/>
                <w:lang w:val="en-US" w:eastAsia="en-US"/>
              </w:rPr>
              <w:br/>
              <w:t>2016</w:t>
            </w:r>
          </w:p>
        </w:tc>
        <w:tc>
          <w:tcPr>
            <w:tcW w:w="778" w:type="pct"/>
            <w:tcBorders>
              <w:top w:val="nil"/>
              <w:left w:val="nil"/>
              <w:bottom w:val="nil"/>
              <w:right w:val="nil"/>
            </w:tcBorders>
            <w:shd w:val="clear" w:color="000000" w:fill="E2001C"/>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30. června</w:t>
            </w:r>
            <w:r w:rsidRPr="00B51AD9">
              <w:rPr>
                <w:rFonts w:ascii="Calibri" w:hAnsi="Calibri" w:cs="Arial"/>
                <w:b/>
                <w:bCs/>
                <w:color w:val="FFFFFF"/>
                <w:sz w:val="20"/>
                <w:szCs w:val="20"/>
                <w:lang w:val="en-US" w:eastAsia="en-US"/>
              </w:rPr>
              <w:br/>
              <w:t>2017</w:t>
            </w:r>
          </w:p>
        </w:tc>
      </w:tr>
      <w:tr w:rsidR="00B51AD9" w:rsidRPr="00B51AD9" w:rsidTr="002C76B2">
        <w:trPr>
          <w:trHeight w:val="276"/>
        </w:trPr>
        <w:tc>
          <w:tcPr>
            <w:tcW w:w="2669"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 </w:t>
            </w:r>
          </w:p>
        </w:tc>
        <w:tc>
          <w:tcPr>
            <w:tcW w:w="778"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c>
          <w:tcPr>
            <w:tcW w:w="775"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(auditované)</w:t>
            </w:r>
          </w:p>
        </w:tc>
        <w:tc>
          <w:tcPr>
            <w:tcW w:w="778"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r>
      <w:tr w:rsidR="00B51AD9" w:rsidRPr="00B51AD9" w:rsidTr="002C76B2">
        <w:trPr>
          <w:trHeight w:val="150"/>
        </w:trPr>
        <w:tc>
          <w:tcPr>
            <w:tcW w:w="266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color w:val="000000"/>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color w:val="000000"/>
                <w:sz w:val="20"/>
                <w:szCs w:val="20"/>
                <w:lang w:val="en-US" w:eastAsia="en-US"/>
              </w:rPr>
            </w:pPr>
          </w:p>
        </w:tc>
        <w:tc>
          <w:tcPr>
            <w:tcW w:w="775"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color w:val="000000"/>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color w:val="000000"/>
                <w:sz w:val="20"/>
                <w:szCs w:val="20"/>
                <w:lang w:val="en-US" w:eastAsia="en-US"/>
              </w:rPr>
            </w:pPr>
          </w:p>
        </w:tc>
      </w:tr>
      <w:tr w:rsidR="00B51AD9" w:rsidRPr="00B51AD9" w:rsidTr="002C76B2">
        <w:trPr>
          <w:trHeight w:val="288"/>
        </w:trPr>
        <w:tc>
          <w:tcPr>
            <w:tcW w:w="2669" w:type="pct"/>
            <w:tcBorders>
              <w:top w:val="double" w:sz="6" w:space="0" w:color="9C9D9F"/>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Aktiva</w:t>
            </w:r>
          </w:p>
        </w:tc>
        <w:tc>
          <w:tcPr>
            <w:tcW w:w="778" w:type="pct"/>
            <w:tcBorders>
              <w:top w:val="double" w:sz="6" w:space="0" w:color="9C9D9F"/>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5" w:type="pct"/>
            <w:tcBorders>
              <w:top w:val="double" w:sz="6" w:space="0" w:color="9C9D9F"/>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8" w:type="pct"/>
            <w:tcBorders>
              <w:top w:val="double" w:sz="6" w:space="0" w:color="9C9D9F"/>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150"/>
        </w:trPr>
        <w:tc>
          <w:tcPr>
            <w:tcW w:w="266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6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Dlouhodobý majetek</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Dlouhodobý hmotný majetek</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179 234</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187 288</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191 928</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Dlouhodobý nehmotný majetek</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2 345</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4 066</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4 175</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Goodwill</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85 516</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85 864</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88 565</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Dlouhodobý majetek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267 095</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277 218</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284 668</w:t>
            </w:r>
          </w:p>
        </w:tc>
      </w:tr>
      <w:tr w:rsidR="00B51AD9" w:rsidRPr="00B51AD9" w:rsidTr="002C76B2">
        <w:trPr>
          <w:trHeight w:val="150"/>
        </w:trPr>
        <w:tc>
          <w:tcPr>
            <w:tcW w:w="266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6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Oběžná aktiva</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Zásoby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29 952</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39 91</w:t>
            </w:r>
            <w:r w:rsidR="00A07FAB">
              <w:rPr>
                <w:rFonts w:ascii="Calibri" w:hAnsi="Calibri" w:cs="Arial"/>
                <w:sz w:val="20"/>
                <w:szCs w:val="20"/>
                <w:lang w:val="en-US" w:eastAsia="en-US"/>
              </w:rPr>
              <w:t>3</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36 540</w:t>
            </w:r>
          </w:p>
        </w:tc>
      </w:tr>
      <w:tr w:rsidR="00B51AD9" w:rsidRPr="00B51AD9" w:rsidTr="002C76B2">
        <w:trPr>
          <w:trHeight w:val="276"/>
        </w:trPr>
        <w:tc>
          <w:tcPr>
            <w:tcW w:w="2669"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Pohledávky z obchodních vztahů a jiné pohledávky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48 739</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43 764</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B51AD9">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58 831</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Pohledávky z daně z příjmu</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8429B"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517</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Peníze a peněžní ekvivalenty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39 663</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24 220</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70 013</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Oběžná aktiva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118 355</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107 897</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48429B">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165 9</w:t>
            </w:r>
            <w:r w:rsidR="0048429B">
              <w:rPr>
                <w:rFonts w:ascii="Calibri" w:hAnsi="Calibri" w:cs="Arial"/>
                <w:b/>
                <w:bCs/>
                <w:sz w:val="20"/>
                <w:szCs w:val="20"/>
                <w:lang w:val="en-US" w:eastAsia="en-US"/>
              </w:rPr>
              <w:t>02</w:t>
            </w:r>
          </w:p>
        </w:tc>
      </w:tr>
      <w:tr w:rsidR="00B51AD9" w:rsidRPr="00B51AD9" w:rsidTr="002C76B2">
        <w:trPr>
          <w:trHeight w:val="300"/>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Aktiva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385 449</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385 115</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48429B">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 xml:space="preserve">450 </w:t>
            </w:r>
            <w:r w:rsidR="0048429B">
              <w:rPr>
                <w:rFonts w:ascii="Calibri" w:hAnsi="Calibri" w:cs="Arial"/>
                <w:b/>
                <w:bCs/>
                <w:sz w:val="20"/>
                <w:szCs w:val="20"/>
                <w:lang w:val="en-US" w:eastAsia="en-US"/>
              </w:rPr>
              <w:t>569</w:t>
            </w:r>
          </w:p>
        </w:tc>
      </w:tr>
      <w:tr w:rsidR="00B51AD9" w:rsidRPr="00B51AD9" w:rsidTr="002C76B2">
        <w:trPr>
          <w:trHeight w:val="288"/>
        </w:trPr>
        <w:tc>
          <w:tcPr>
            <w:tcW w:w="266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88"/>
        </w:trPr>
        <w:tc>
          <w:tcPr>
            <w:tcW w:w="2669" w:type="pct"/>
            <w:tcBorders>
              <w:top w:val="double" w:sz="6" w:space="0" w:color="9C9D9F"/>
              <w:left w:val="nil"/>
              <w:bottom w:val="nil"/>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val="pl-PL" w:eastAsia="en-US"/>
              </w:rPr>
            </w:pPr>
            <w:r w:rsidRPr="0013454F">
              <w:rPr>
                <w:rFonts w:ascii="Calibri" w:hAnsi="Calibri" w:cs="Arial"/>
                <w:b/>
                <w:bCs/>
                <w:sz w:val="20"/>
                <w:szCs w:val="20"/>
                <w:lang w:val="pl-PL" w:eastAsia="en-US"/>
              </w:rPr>
              <w:t>Vlastní kapitál a cizí zdroje</w:t>
            </w:r>
          </w:p>
        </w:tc>
        <w:tc>
          <w:tcPr>
            <w:tcW w:w="778" w:type="pct"/>
            <w:tcBorders>
              <w:top w:val="double" w:sz="6" w:space="0" w:color="9C9D9F"/>
              <w:left w:val="nil"/>
              <w:bottom w:val="nil"/>
              <w:right w:val="nil"/>
            </w:tcBorders>
            <w:shd w:val="clear" w:color="auto" w:fill="auto"/>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r w:rsidRPr="0013454F">
              <w:rPr>
                <w:rFonts w:ascii="Calibri" w:hAnsi="Calibri" w:cs="Arial"/>
                <w:sz w:val="20"/>
                <w:szCs w:val="20"/>
                <w:lang w:val="pl-PL" w:eastAsia="en-US"/>
              </w:rPr>
              <w:t> </w:t>
            </w:r>
          </w:p>
        </w:tc>
        <w:tc>
          <w:tcPr>
            <w:tcW w:w="775" w:type="pct"/>
            <w:tcBorders>
              <w:top w:val="double" w:sz="6" w:space="0" w:color="9C9D9F"/>
              <w:left w:val="nil"/>
              <w:bottom w:val="nil"/>
              <w:right w:val="nil"/>
            </w:tcBorders>
            <w:shd w:val="clear" w:color="auto" w:fill="auto"/>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r w:rsidRPr="0013454F">
              <w:rPr>
                <w:rFonts w:ascii="Calibri" w:hAnsi="Calibri" w:cs="Arial"/>
                <w:sz w:val="20"/>
                <w:szCs w:val="20"/>
                <w:lang w:val="pl-PL" w:eastAsia="en-US"/>
              </w:rPr>
              <w:t> </w:t>
            </w:r>
          </w:p>
        </w:tc>
        <w:tc>
          <w:tcPr>
            <w:tcW w:w="778" w:type="pct"/>
            <w:tcBorders>
              <w:top w:val="double" w:sz="6" w:space="0" w:color="9C9D9F"/>
              <w:left w:val="nil"/>
              <w:bottom w:val="nil"/>
              <w:right w:val="nil"/>
            </w:tcBorders>
            <w:shd w:val="clear" w:color="auto" w:fill="auto"/>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r w:rsidRPr="0013454F">
              <w:rPr>
                <w:rFonts w:ascii="Calibri" w:hAnsi="Calibri" w:cs="Arial"/>
                <w:sz w:val="20"/>
                <w:szCs w:val="20"/>
                <w:lang w:val="pl-PL" w:eastAsia="en-US"/>
              </w:rPr>
              <w:t> </w:t>
            </w:r>
          </w:p>
        </w:tc>
      </w:tr>
      <w:tr w:rsidR="00B51AD9" w:rsidRPr="00B51AD9" w:rsidTr="002C76B2">
        <w:trPr>
          <w:trHeight w:val="150"/>
        </w:trPr>
        <w:tc>
          <w:tcPr>
            <w:tcW w:w="2669" w:type="pct"/>
            <w:tcBorders>
              <w:top w:val="nil"/>
              <w:left w:val="nil"/>
              <w:bottom w:val="nil"/>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val="pl-PL" w:eastAsia="en-US"/>
              </w:rPr>
            </w:pPr>
          </w:p>
        </w:tc>
        <w:tc>
          <w:tcPr>
            <w:tcW w:w="778" w:type="pct"/>
            <w:tcBorders>
              <w:top w:val="nil"/>
              <w:left w:val="nil"/>
              <w:bottom w:val="nil"/>
              <w:right w:val="nil"/>
            </w:tcBorders>
            <w:shd w:val="clear" w:color="auto" w:fill="auto"/>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p>
        </w:tc>
        <w:tc>
          <w:tcPr>
            <w:tcW w:w="775" w:type="pct"/>
            <w:tcBorders>
              <w:top w:val="nil"/>
              <w:left w:val="nil"/>
              <w:bottom w:val="nil"/>
              <w:right w:val="nil"/>
            </w:tcBorders>
            <w:shd w:val="clear" w:color="auto" w:fill="auto"/>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p>
        </w:tc>
        <w:tc>
          <w:tcPr>
            <w:tcW w:w="778" w:type="pct"/>
            <w:tcBorders>
              <w:top w:val="nil"/>
              <w:left w:val="nil"/>
              <w:bottom w:val="nil"/>
              <w:right w:val="nil"/>
            </w:tcBorders>
            <w:shd w:val="clear" w:color="auto" w:fill="auto"/>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p>
        </w:tc>
      </w:tr>
      <w:tr w:rsidR="00B51AD9" w:rsidRPr="00B51AD9" w:rsidTr="002C76B2">
        <w:trPr>
          <w:trHeight w:val="276"/>
        </w:trPr>
        <w:tc>
          <w:tcPr>
            <w:tcW w:w="2669"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val="pl-PL" w:eastAsia="en-US"/>
              </w:rPr>
            </w:pPr>
            <w:r w:rsidRPr="0013454F">
              <w:rPr>
                <w:rFonts w:ascii="Calibri" w:hAnsi="Calibri" w:cs="Arial"/>
                <w:b/>
                <w:bCs/>
                <w:sz w:val="20"/>
                <w:szCs w:val="20"/>
                <w:lang w:val="pl-PL" w:eastAsia="en-US"/>
              </w:rPr>
              <w:t>Základní kapitál a rezervní fondy</w:t>
            </w:r>
          </w:p>
        </w:tc>
        <w:tc>
          <w:tcPr>
            <w:tcW w:w="778"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r w:rsidRPr="0013454F">
              <w:rPr>
                <w:rFonts w:ascii="Calibri" w:hAnsi="Calibri" w:cs="Arial"/>
                <w:sz w:val="20"/>
                <w:szCs w:val="20"/>
                <w:lang w:val="pl-PL" w:eastAsia="en-US"/>
              </w:rPr>
              <w:t> </w:t>
            </w:r>
          </w:p>
        </w:tc>
        <w:tc>
          <w:tcPr>
            <w:tcW w:w="775"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r w:rsidRPr="0013454F">
              <w:rPr>
                <w:rFonts w:ascii="Calibri" w:hAnsi="Calibri" w:cs="Arial"/>
                <w:sz w:val="20"/>
                <w:szCs w:val="20"/>
                <w:lang w:val="pl-PL" w:eastAsia="en-US"/>
              </w:rPr>
              <w:t> </w:t>
            </w:r>
          </w:p>
        </w:tc>
        <w:tc>
          <w:tcPr>
            <w:tcW w:w="778"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0"/>
              <w:jc w:val="right"/>
              <w:rPr>
                <w:rFonts w:ascii="Calibri" w:hAnsi="Calibri" w:cs="Arial"/>
                <w:sz w:val="20"/>
                <w:szCs w:val="20"/>
                <w:lang w:val="pl-PL" w:eastAsia="en-US"/>
              </w:rPr>
            </w:pPr>
            <w:r w:rsidRPr="0013454F">
              <w:rPr>
                <w:rFonts w:ascii="Calibri" w:hAnsi="Calibri" w:cs="Arial"/>
                <w:sz w:val="20"/>
                <w:szCs w:val="20"/>
                <w:lang w:val="pl-PL" w:eastAsia="en-US"/>
              </w:rPr>
              <w:t> </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 xml:space="preserve">Základní kapitál </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11 444</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11 444</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10 867</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Zákonný rezervní fond a ostatní rezervy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9 451</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1 999</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3 182</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Vlastní akcie</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-13 672</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-13 672</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Rozdíly z přepočtu</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2 646</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6 279</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A91451"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9 86</w:t>
            </w:r>
            <w:r w:rsidR="0048429B">
              <w:rPr>
                <w:rFonts w:ascii="Calibri" w:hAnsi="Calibri" w:cs="Arial"/>
                <w:sz w:val="20"/>
                <w:szCs w:val="20"/>
                <w:lang w:val="en-US" w:eastAsia="en-US"/>
              </w:rPr>
              <w:t>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Zajištění peněžních toků</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-1 683</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608</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1 333</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Nerozdělený zisk</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137 516</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152 077</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A91451"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 xml:space="preserve">130 </w:t>
            </w:r>
            <w:r w:rsidR="0048429B">
              <w:rPr>
                <w:rFonts w:ascii="Calibri" w:hAnsi="Calibri" w:cs="Arial"/>
                <w:sz w:val="20"/>
                <w:szCs w:val="20"/>
                <w:lang w:val="en-US" w:eastAsia="en-US"/>
              </w:rPr>
              <w:t>737</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val="pl-PL" w:eastAsia="en-US"/>
              </w:rPr>
            </w:pPr>
            <w:r w:rsidRPr="0013454F">
              <w:rPr>
                <w:rFonts w:ascii="Calibri" w:hAnsi="Calibri" w:cs="Arial"/>
                <w:b/>
                <w:bCs/>
                <w:sz w:val="20"/>
                <w:szCs w:val="20"/>
                <w:lang w:val="pl-PL" w:eastAsia="en-US"/>
              </w:rPr>
              <w:t>Základní kapitál a rezervní fondy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145 703</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158 735</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15</w:t>
            </w:r>
            <w:r w:rsidR="0048429B">
              <w:rPr>
                <w:rFonts w:ascii="Calibri" w:hAnsi="Calibri" w:cs="Arial"/>
                <w:b/>
                <w:bCs/>
                <w:sz w:val="20"/>
                <w:szCs w:val="20"/>
                <w:lang w:val="en-US" w:eastAsia="en-US"/>
              </w:rPr>
              <w:t>5 979</w:t>
            </w:r>
          </w:p>
        </w:tc>
      </w:tr>
      <w:tr w:rsidR="00B51AD9" w:rsidRPr="00B51AD9" w:rsidTr="002C76B2">
        <w:trPr>
          <w:trHeight w:val="150"/>
        </w:trPr>
        <w:tc>
          <w:tcPr>
            <w:tcW w:w="266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6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Dlouhodobé závazky</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Bankovní úvěry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Odložený daňový závazek</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16 866</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20 067</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19 510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Ostatní dlouhodobé závazky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184 315</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185 034</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239 460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Dlouhodobé závazky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201 181</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205 10</w:t>
            </w:r>
            <w:r w:rsidR="00A07FAB">
              <w:rPr>
                <w:rFonts w:ascii="Calibri" w:hAnsi="Calibri" w:cs="Arial"/>
                <w:b/>
                <w:bCs/>
                <w:sz w:val="20"/>
                <w:szCs w:val="20"/>
                <w:lang w:val="en-US" w:eastAsia="en-US"/>
              </w:rPr>
              <w:t>1</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258 970</w:t>
            </w:r>
          </w:p>
        </w:tc>
      </w:tr>
      <w:tr w:rsidR="00B51AD9" w:rsidRPr="00B51AD9" w:rsidTr="002C76B2">
        <w:trPr>
          <w:trHeight w:val="150"/>
        </w:trPr>
        <w:tc>
          <w:tcPr>
            <w:tcW w:w="2669"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2669"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Krátkodobé závazky</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C65512" w:rsidRDefault="00B51AD9" w:rsidP="00B51AD9">
            <w:pPr>
              <w:spacing w:before="0" w:beforeAutospacing="0" w:after="0" w:afterAutospacing="0"/>
              <w:jc w:val="left"/>
              <w:rPr>
                <w:rFonts w:ascii="Calibri" w:hAnsi="Calibri" w:cs="Arial"/>
                <w:sz w:val="20"/>
                <w:szCs w:val="20"/>
                <w:lang w:eastAsia="en-US"/>
              </w:rPr>
            </w:pPr>
            <w:r w:rsidRPr="00C65512">
              <w:rPr>
                <w:rFonts w:ascii="Calibri" w:hAnsi="Calibri" w:cs="Arial"/>
                <w:sz w:val="20"/>
                <w:szCs w:val="20"/>
                <w:lang w:eastAsia="en-US"/>
              </w:rPr>
              <w:t>Závazky z obchodních vztahů a jiné závazky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38 071</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20 553</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B51AD9">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35 370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Daňové závazky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493</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726</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251</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Krátkodobá část bankovních úvěrů</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Rezervy</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Krátkodobé závazky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38 565</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21 279</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B51AD9">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35 621</w:t>
            </w:r>
          </w:p>
        </w:tc>
      </w:tr>
      <w:tr w:rsidR="00B51AD9" w:rsidRPr="00B51AD9" w:rsidTr="002C76B2">
        <w:trPr>
          <w:trHeight w:val="276"/>
        </w:trPr>
        <w:tc>
          <w:tcPr>
            <w:tcW w:w="2669"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Cizí zdroje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239 746</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226 380</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B51AD9">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294 591</w:t>
            </w:r>
          </w:p>
        </w:tc>
      </w:tr>
      <w:tr w:rsidR="00B51AD9" w:rsidRPr="00B51AD9" w:rsidTr="002C76B2">
        <w:trPr>
          <w:trHeight w:val="300"/>
        </w:trPr>
        <w:tc>
          <w:tcPr>
            <w:tcW w:w="2669" w:type="pct"/>
            <w:tcBorders>
              <w:top w:val="nil"/>
              <w:left w:val="nil"/>
              <w:bottom w:val="single" w:sz="4" w:space="0" w:color="9C9D9F"/>
              <w:right w:val="nil"/>
            </w:tcBorders>
            <w:shd w:val="clear" w:color="auto" w:fill="auto"/>
            <w:noWrap/>
            <w:vAlign w:val="bottom"/>
            <w:hideMark/>
          </w:tcPr>
          <w:p w:rsidR="00B51AD9" w:rsidRPr="00C65512" w:rsidRDefault="00B51AD9" w:rsidP="00B51AD9">
            <w:pPr>
              <w:spacing w:before="0" w:beforeAutospacing="0" w:after="0" w:afterAutospacing="0"/>
              <w:jc w:val="left"/>
              <w:rPr>
                <w:rFonts w:ascii="Calibri" w:hAnsi="Calibri" w:cs="Arial"/>
                <w:b/>
                <w:bCs/>
                <w:sz w:val="20"/>
                <w:szCs w:val="20"/>
                <w:lang w:val="pl-PL" w:eastAsia="en-US"/>
              </w:rPr>
            </w:pPr>
            <w:r w:rsidRPr="00C65512">
              <w:rPr>
                <w:rFonts w:ascii="Calibri" w:hAnsi="Calibri" w:cs="Arial"/>
                <w:b/>
                <w:bCs/>
                <w:sz w:val="20"/>
                <w:szCs w:val="20"/>
                <w:lang w:val="pl-PL" w:eastAsia="en-US"/>
              </w:rPr>
              <w:t>Vlastní kapitál a cizí zdroje celkem</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385 449</w:t>
            </w:r>
          </w:p>
        </w:tc>
        <w:tc>
          <w:tcPr>
            <w:tcW w:w="775"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385 115</w:t>
            </w:r>
          </w:p>
        </w:tc>
        <w:tc>
          <w:tcPr>
            <w:tcW w:w="778" w:type="pct"/>
            <w:tcBorders>
              <w:top w:val="nil"/>
              <w:left w:val="nil"/>
              <w:bottom w:val="single" w:sz="4" w:space="0" w:color="9C9D9F"/>
              <w:right w:val="nil"/>
            </w:tcBorders>
            <w:shd w:val="clear" w:color="auto" w:fill="auto"/>
            <w:noWrap/>
            <w:vAlign w:val="bottom"/>
            <w:hideMark/>
          </w:tcPr>
          <w:p w:rsidR="00B51AD9" w:rsidRPr="00B51AD9" w:rsidRDefault="00454F41" w:rsidP="0048429B">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 xml:space="preserve">450 </w:t>
            </w:r>
            <w:r w:rsidR="0048429B">
              <w:rPr>
                <w:rFonts w:ascii="Calibri" w:hAnsi="Calibri" w:cs="Arial"/>
                <w:b/>
                <w:bCs/>
                <w:sz w:val="20"/>
                <w:szCs w:val="20"/>
                <w:lang w:val="en-US" w:eastAsia="en-US"/>
              </w:rPr>
              <w:t>569</w:t>
            </w:r>
          </w:p>
        </w:tc>
      </w:tr>
    </w:tbl>
    <w:p w:rsidR="00CC1601" w:rsidRPr="007A3749" w:rsidRDefault="00234327" w:rsidP="00396F0C">
      <w:pPr>
        <w:pStyle w:val="Heading2"/>
      </w:pPr>
      <w:r w:rsidRPr="00234327">
        <w:t>Konsolidovaný přehled o peněžních tocích ve zkrácené podobě</w:t>
      </w:r>
      <w:bookmarkEnd w:id="99"/>
      <w:bookmarkEnd w:id="100"/>
      <w:bookmarkEnd w:id="101"/>
    </w:p>
    <w:p w:rsidR="00CC1601" w:rsidRDefault="00CC1601" w:rsidP="007A3749"/>
    <w:tbl>
      <w:tblPr>
        <w:tblW w:w="5000" w:type="pct"/>
        <w:tblLook w:val="04A0" w:firstRow="1" w:lastRow="0" w:firstColumn="1" w:lastColumn="0" w:noHBand="0" w:noVBand="1"/>
      </w:tblPr>
      <w:tblGrid>
        <w:gridCol w:w="5718"/>
        <w:gridCol w:w="1785"/>
        <w:gridCol w:w="1785"/>
      </w:tblGrid>
      <w:tr w:rsidR="00B51AD9" w:rsidRPr="00B51AD9" w:rsidTr="002C76B2">
        <w:trPr>
          <w:trHeight w:val="276"/>
        </w:trPr>
        <w:tc>
          <w:tcPr>
            <w:tcW w:w="3077"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v tis. EUR</w:t>
            </w:r>
          </w:p>
        </w:tc>
        <w:tc>
          <w:tcPr>
            <w:tcW w:w="961"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2016</w:t>
            </w:r>
          </w:p>
        </w:tc>
        <w:tc>
          <w:tcPr>
            <w:tcW w:w="961"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b/>
                <w:bCs/>
                <w:color w:val="FFFFFF"/>
                <w:sz w:val="20"/>
                <w:szCs w:val="20"/>
                <w:lang w:val="en-US" w:eastAsia="en-US"/>
              </w:rPr>
            </w:pPr>
            <w:r w:rsidRPr="00B51AD9">
              <w:rPr>
                <w:rFonts w:ascii="Calibri" w:hAnsi="Calibri" w:cs="Arial"/>
                <w:b/>
                <w:bCs/>
                <w:color w:val="FFFFFF"/>
                <w:sz w:val="20"/>
                <w:szCs w:val="20"/>
                <w:lang w:val="en-US" w:eastAsia="en-US"/>
              </w:rPr>
              <w:t>2017</w:t>
            </w:r>
          </w:p>
        </w:tc>
      </w:tr>
      <w:tr w:rsidR="00B51AD9" w:rsidRPr="00B51AD9" w:rsidTr="002C76B2">
        <w:trPr>
          <w:trHeight w:val="276"/>
        </w:trPr>
        <w:tc>
          <w:tcPr>
            <w:tcW w:w="3077"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left"/>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 </w:t>
            </w:r>
          </w:p>
        </w:tc>
        <w:tc>
          <w:tcPr>
            <w:tcW w:w="961"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c>
          <w:tcPr>
            <w:tcW w:w="961" w:type="pct"/>
            <w:tcBorders>
              <w:top w:val="nil"/>
              <w:left w:val="nil"/>
              <w:bottom w:val="nil"/>
              <w:right w:val="nil"/>
            </w:tcBorders>
            <w:shd w:val="clear" w:color="000000" w:fill="E2001C"/>
            <w:noWrap/>
            <w:vAlign w:val="bottom"/>
            <w:hideMark/>
          </w:tcPr>
          <w:p w:rsidR="00B51AD9" w:rsidRPr="00B51AD9" w:rsidRDefault="00B51AD9" w:rsidP="00B51AD9">
            <w:pPr>
              <w:spacing w:before="0" w:beforeAutospacing="0" w:after="0" w:afterAutospacing="0"/>
              <w:jc w:val="center"/>
              <w:rPr>
                <w:rFonts w:ascii="Calibri" w:hAnsi="Calibri" w:cs="Arial"/>
                <w:color w:val="FFFFFF"/>
                <w:sz w:val="20"/>
                <w:szCs w:val="20"/>
                <w:lang w:val="en-US" w:eastAsia="en-US"/>
              </w:rPr>
            </w:pPr>
            <w:r w:rsidRPr="00B51AD9">
              <w:rPr>
                <w:rFonts w:ascii="Calibri" w:hAnsi="Calibri" w:cs="Arial"/>
                <w:color w:val="FFFFFF"/>
                <w:sz w:val="20"/>
                <w:szCs w:val="20"/>
                <w:lang w:val="en-US" w:eastAsia="en-US"/>
              </w:rPr>
              <w:t>(neauditované)</w:t>
            </w:r>
          </w:p>
        </w:tc>
      </w:tr>
      <w:tr w:rsidR="00B51AD9" w:rsidRPr="00B51AD9" w:rsidTr="002C76B2">
        <w:trPr>
          <w:trHeight w:val="135"/>
        </w:trPr>
        <w:tc>
          <w:tcPr>
            <w:tcW w:w="3077"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jc w:val="left"/>
              <w:rPr>
                <w:rFonts w:ascii="Calibri" w:hAnsi="Calibri" w:cs="Arial"/>
                <w:color w:val="000000"/>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color w:val="000000"/>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color w:val="000000"/>
                <w:sz w:val="20"/>
                <w:szCs w:val="20"/>
                <w:lang w:val="en-US" w:eastAsia="en-US"/>
              </w:rPr>
            </w:pP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Zisk před zdaněním</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8 602</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5 580</w:t>
            </w:r>
          </w:p>
        </w:tc>
      </w:tr>
      <w:tr w:rsidR="00B51AD9" w:rsidRPr="00B51AD9" w:rsidTr="002C76B2">
        <w:trPr>
          <w:trHeight w:val="135"/>
        </w:trPr>
        <w:tc>
          <w:tcPr>
            <w:tcW w:w="3077" w:type="pct"/>
            <w:tcBorders>
              <w:top w:val="nil"/>
              <w:left w:val="nil"/>
              <w:bottom w:val="nil"/>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3077" w:type="pct"/>
            <w:tcBorders>
              <w:top w:val="nil"/>
              <w:left w:val="nil"/>
              <w:bottom w:val="nil"/>
              <w:right w:val="nil"/>
            </w:tcBorders>
            <w:shd w:val="clear" w:color="000000" w:fill="9C9D9F"/>
            <w:vAlign w:val="bottom"/>
            <w:hideMark/>
          </w:tcPr>
          <w:p w:rsidR="00B51AD9" w:rsidRPr="00B51AD9" w:rsidRDefault="00B51AD9" w:rsidP="00B51AD9">
            <w:pPr>
              <w:spacing w:before="0" w:beforeAutospacing="0" w:after="0" w:afterAutospacing="0"/>
              <w:jc w:val="left"/>
              <w:rPr>
                <w:rFonts w:ascii="Calibri" w:hAnsi="Calibri" w:cs="Arial"/>
                <w:b/>
                <w:bCs/>
                <w:sz w:val="20"/>
                <w:szCs w:val="20"/>
                <w:lang w:val="en-US" w:eastAsia="en-US"/>
              </w:rPr>
            </w:pPr>
            <w:r w:rsidRPr="00B51AD9">
              <w:rPr>
                <w:rFonts w:ascii="Calibri" w:hAnsi="Calibri" w:cs="Arial"/>
                <w:b/>
                <w:bCs/>
                <w:sz w:val="20"/>
                <w:szCs w:val="20"/>
                <w:lang w:val="en-US" w:eastAsia="en-US"/>
              </w:rPr>
              <w:t>Úpravy o:</w:t>
            </w:r>
          </w:p>
        </w:tc>
        <w:tc>
          <w:tcPr>
            <w:tcW w:w="961"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 </w:t>
            </w:r>
          </w:p>
        </w:tc>
        <w:tc>
          <w:tcPr>
            <w:tcW w:w="961" w:type="pct"/>
            <w:tcBorders>
              <w:top w:val="nil"/>
              <w:left w:val="nil"/>
              <w:bottom w:val="nil"/>
              <w:right w:val="nil"/>
            </w:tcBorders>
            <w:shd w:val="clear" w:color="000000" w:fill="9C9D9F"/>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 </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Odpisy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8 107</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8 295</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Kursové změny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-1 615</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454F41" w:rsidP="004842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w:t>
            </w:r>
            <w:r w:rsidR="0048429B">
              <w:rPr>
                <w:rFonts w:ascii="Calibri" w:hAnsi="Calibri" w:cs="Arial"/>
                <w:sz w:val="20"/>
                <w:szCs w:val="20"/>
                <w:lang w:val="en-US" w:eastAsia="en-US"/>
              </w:rPr>
              <w:t>4 983</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Úrokové náklady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4 196</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3 734</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Ostatní změny ve vlastním kapitálu</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-3 101</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725</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Ostatní finanční výnosy/(náklady)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-499</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-961</w:t>
            </w:r>
          </w:p>
        </w:tc>
      </w:tr>
      <w:tr w:rsidR="00B51AD9" w:rsidRPr="00B51AD9" w:rsidTr="002C76B2">
        <w:trPr>
          <w:trHeight w:val="135"/>
        </w:trPr>
        <w:tc>
          <w:tcPr>
            <w:tcW w:w="3077" w:type="pct"/>
            <w:tcBorders>
              <w:top w:val="nil"/>
              <w:left w:val="nil"/>
              <w:bottom w:val="nil"/>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3077" w:type="pct"/>
            <w:tcBorders>
              <w:top w:val="nil"/>
              <w:left w:val="nil"/>
              <w:bottom w:val="nil"/>
              <w:right w:val="nil"/>
            </w:tcBorders>
            <w:shd w:val="clear" w:color="000000" w:fill="9C9D9F"/>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eastAsia="en-US"/>
              </w:rPr>
            </w:pPr>
            <w:r w:rsidRPr="0013454F">
              <w:rPr>
                <w:rFonts w:ascii="Calibri" w:hAnsi="Calibri" w:cs="Arial"/>
                <w:b/>
                <w:bCs/>
                <w:sz w:val="20"/>
                <w:szCs w:val="20"/>
                <w:lang w:eastAsia="en-US"/>
              </w:rPr>
              <w:t>Peněžní toky z provozní činnosti</w:t>
            </w:r>
          </w:p>
        </w:tc>
        <w:tc>
          <w:tcPr>
            <w:tcW w:w="961"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1"/>
              <w:jc w:val="right"/>
              <w:rPr>
                <w:rFonts w:ascii="Calibri" w:hAnsi="Calibri" w:cs="Arial"/>
                <w:b/>
                <w:bCs/>
                <w:sz w:val="20"/>
                <w:szCs w:val="20"/>
                <w:lang w:eastAsia="en-US"/>
              </w:rPr>
            </w:pPr>
            <w:r w:rsidRPr="0013454F">
              <w:rPr>
                <w:rFonts w:ascii="Calibri" w:hAnsi="Calibri" w:cs="Arial"/>
                <w:b/>
                <w:bCs/>
                <w:sz w:val="20"/>
                <w:szCs w:val="20"/>
                <w:lang w:eastAsia="en-US"/>
              </w:rPr>
              <w:t> </w:t>
            </w:r>
          </w:p>
        </w:tc>
        <w:tc>
          <w:tcPr>
            <w:tcW w:w="961"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1"/>
              <w:jc w:val="right"/>
              <w:rPr>
                <w:rFonts w:ascii="Calibri" w:hAnsi="Calibri" w:cs="Arial"/>
                <w:b/>
                <w:bCs/>
                <w:sz w:val="20"/>
                <w:szCs w:val="20"/>
                <w:lang w:eastAsia="en-US"/>
              </w:rPr>
            </w:pPr>
            <w:r w:rsidRPr="0013454F">
              <w:rPr>
                <w:rFonts w:ascii="Calibri" w:hAnsi="Calibri" w:cs="Arial"/>
                <w:b/>
                <w:bCs/>
                <w:sz w:val="20"/>
                <w:szCs w:val="20"/>
                <w:lang w:eastAsia="en-US"/>
              </w:rPr>
              <w:t> </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Pokles/(růst) stavu zásob</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8 788</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2 588</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Pokles/(růst) pohledávek</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1 957</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-7 596</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Růst/(pokles) závazků</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2 784</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48429B">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 xml:space="preserve">11 </w:t>
            </w:r>
            <w:r w:rsidR="0048429B">
              <w:rPr>
                <w:rFonts w:ascii="Calibri" w:hAnsi="Calibri" w:cs="Arial"/>
                <w:sz w:val="20"/>
                <w:szCs w:val="20"/>
                <w:lang w:val="en-US" w:eastAsia="en-US"/>
              </w:rPr>
              <w:t>563</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Zaplacená daň z příjmů</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-1 769</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-2 520</w:t>
            </w:r>
          </w:p>
        </w:tc>
      </w:tr>
      <w:tr w:rsidR="00B51AD9" w:rsidRPr="00B51AD9" w:rsidTr="002C76B2">
        <w:trPr>
          <w:trHeight w:val="315"/>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eastAsia="en-US"/>
              </w:rPr>
            </w:pPr>
            <w:r w:rsidRPr="0013454F">
              <w:rPr>
                <w:rFonts w:ascii="Calibri" w:hAnsi="Calibri" w:cs="Arial"/>
                <w:b/>
                <w:bCs/>
                <w:sz w:val="20"/>
                <w:szCs w:val="20"/>
                <w:lang w:eastAsia="en-US"/>
              </w:rPr>
              <w:t>Čisté peněžní toky z provozní činnosti</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27 449</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454F41" w:rsidP="00010527">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 xml:space="preserve">16 </w:t>
            </w:r>
            <w:r w:rsidR="00010527">
              <w:rPr>
                <w:rFonts w:ascii="Calibri" w:hAnsi="Calibri" w:cs="Arial"/>
                <w:b/>
                <w:bCs/>
                <w:sz w:val="20"/>
                <w:szCs w:val="20"/>
                <w:lang w:val="en-US" w:eastAsia="en-US"/>
              </w:rPr>
              <w:t>425</w:t>
            </w:r>
          </w:p>
        </w:tc>
      </w:tr>
      <w:tr w:rsidR="00B51AD9" w:rsidRPr="00B51AD9" w:rsidTr="002C76B2">
        <w:trPr>
          <w:trHeight w:val="135"/>
        </w:trPr>
        <w:tc>
          <w:tcPr>
            <w:tcW w:w="3077" w:type="pct"/>
            <w:tcBorders>
              <w:top w:val="nil"/>
              <w:left w:val="nil"/>
              <w:bottom w:val="nil"/>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3077" w:type="pct"/>
            <w:tcBorders>
              <w:top w:val="nil"/>
              <w:left w:val="nil"/>
              <w:bottom w:val="nil"/>
              <w:right w:val="nil"/>
            </w:tcBorders>
            <w:shd w:val="clear" w:color="000000" w:fill="9C9D9F"/>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eastAsia="en-US"/>
              </w:rPr>
            </w:pPr>
            <w:r w:rsidRPr="0013454F">
              <w:rPr>
                <w:rFonts w:ascii="Calibri" w:hAnsi="Calibri" w:cs="Arial"/>
                <w:b/>
                <w:bCs/>
                <w:sz w:val="20"/>
                <w:szCs w:val="20"/>
                <w:lang w:eastAsia="en-US"/>
              </w:rPr>
              <w:t>Peněžní toky z investiční činnosti</w:t>
            </w:r>
          </w:p>
        </w:tc>
        <w:tc>
          <w:tcPr>
            <w:tcW w:w="961"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1"/>
              <w:jc w:val="right"/>
              <w:rPr>
                <w:rFonts w:ascii="Calibri" w:hAnsi="Calibri" w:cs="Arial"/>
                <w:b/>
                <w:bCs/>
                <w:sz w:val="20"/>
                <w:szCs w:val="20"/>
                <w:lang w:eastAsia="en-US"/>
              </w:rPr>
            </w:pPr>
            <w:r w:rsidRPr="0013454F">
              <w:rPr>
                <w:rFonts w:ascii="Calibri" w:hAnsi="Calibri" w:cs="Arial"/>
                <w:b/>
                <w:bCs/>
                <w:sz w:val="20"/>
                <w:szCs w:val="20"/>
                <w:lang w:eastAsia="en-US"/>
              </w:rPr>
              <w:t> </w:t>
            </w:r>
          </w:p>
        </w:tc>
        <w:tc>
          <w:tcPr>
            <w:tcW w:w="961"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1"/>
              <w:jc w:val="right"/>
              <w:rPr>
                <w:rFonts w:ascii="Calibri" w:hAnsi="Calibri" w:cs="Arial"/>
                <w:b/>
                <w:bCs/>
                <w:sz w:val="20"/>
                <w:szCs w:val="20"/>
                <w:lang w:eastAsia="en-US"/>
              </w:rPr>
            </w:pPr>
            <w:r w:rsidRPr="0013454F">
              <w:rPr>
                <w:rFonts w:ascii="Calibri" w:hAnsi="Calibri" w:cs="Arial"/>
                <w:b/>
                <w:bCs/>
                <w:sz w:val="20"/>
                <w:szCs w:val="20"/>
                <w:lang w:eastAsia="en-US"/>
              </w:rPr>
              <w:t> </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Pořízení dlouhodobého hmotného a nehmotného majetku</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-6 447</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-14 497</w:t>
            </w:r>
          </w:p>
        </w:tc>
      </w:tr>
      <w:tr w:rsidR="00B51AD9" w:rsidRPr="00B51AD9" w:rsidTr="002C76B2">
        <w:trPr>
          <w:trHeight w:val="300"/>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eastAsia="en-US"/>
              </w:rPr>
            </w:pPr>
            <w:r w:rsidRPr="0013454F">
              <w:rPr>
                <w:rFonts w:ascii="Calibri" w:hAnsi="Calibri" w:cs="Arial"/>
                <w:b/>
                <w:bCs/>
                <w:sz w:val="20"/>
                <w:szCs w:val="20"/>
                <w:lang w:eastAsia="en-US"/>
              </w:rPr>
              <w:t>Čisté peněžní toky z investiční činnosti</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-6 447</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-14 497</w:t>
            </w:r>
          </w:p>
        </w:tc>
      </w:tr>
      <w:tr w:rsidR="00B51AD9" w:rsidRPr="00B51AD9" w:rsidTr="002C76B2">
        <w:trPr>
          <w:trHeight w:val="135"/>
        </w:trPr>
        <w:tc>
          <w:tcPr>
            <w:tcW w:w="3077" w:type="pct"/>
            <w:tcBorders>
              <w:top w:val="nil"/>
              <w:left w:val="nil"/>
              <w:bottom w:val="nil"/>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3077" w:type="pct"/>
            <w:tcBorders>
              <w:top w:val="nil"/>
              <w:left w:val="nil"/>
              <w:bottom w:val="nil"/>
              <w:right w:val="nil"/>
            </w:tcBorders>
            <w:shd w:val="clear" w:color="000000" w:fill="9C9D9F"/>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val="pl-PL" w:eastAsia="en-US"/>
              </w:rPr>
            </w:pPr>
            <w:r w:rsidRPr="0013454F">
              <w:rPr>
                <w:rFonts w:ascii="Calibri" w:hAnsi="Calibri" w:cs="Arial"/>
                <w:b/>
                <w:bCs/>
                <w:sz w:val="20"/>
                <w:szCs w:val="20"/>
                <w:lang w:val="pl-PL" w:eastAsia="en-US"/>
              </w:rPr>
              <w:t>Peněžní toky z finanční činnosti</w:t>
            </w:r>
          </w:p>
        </w:tc>
        <w:tc>
          <w:tcPr>
            <w:tcW w:w="961"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1"/>
              <w:jc w:val="right"/>
              <w:rPr>
                <w:rFonts w:ascii="Calibri" w:hAnsi="Calibri" w:cs="Arial"/>
                <w:b/>
                <w:bCs/>
                <w:sz w:val="20"/>
                <w:szCs w:val="20"/>
                <w:lang w:val="pl-PL" w:eastAsia="en-US"/>
              </w:rPr>
            </w:pPr>
            <w:r w:rsidRPr="0013454F">
              <w:rPr>
                <w:rFonts w:ascii="Calibri" w:hAnsi="Calibri" w:cs="Arial"/>
                <w:b/>
                <w:bCs/>
                <w:sz w:val="20"/>
                <w:szCs w:val="20"/>
                <w:lang w:val="pl-PL" w:eastAsia="en-US"/>
              </w:rPr>
              <w:t> </w:t>
            </w:r>
          </w:p>
        </w:tc>
        <w:tc>
          <w:tcPr>
            <w:tcW w:w="961" w:type="pct"/>
            <w:tcBorders>
              <w:top w:val="nil"/>
              <w:left w:val="nil"/>
              <w:bottom w:val="nil"/>
              <w:right w:val="nil"/>
            </w:tcBorders>
            <w:shd w:val="clear" w:color="000000" w:fill="9C9D9F"/>
            <w:noWrap/>
            <w:vAlign w:val="bottom"/>
            <w:hideMark/>
          </w:tcPr>
          <w:p w:rsidR="00B51AD9" w:rsidRPr="0013454F" w:rsidRDefault="00B51AD9" w:rsidP="00B51AD9">
            <w:pPr>
              <w:spacing w:before="0" w:beforeAutospacing="0" w:after="0" w:afterAutospacing="0"/>
              <w:ind w:firstLineChars="100" w:firstLine="201"/>
              <w:jc w:val="right"/>
              <w:rPr>
                <w:rFonts w:ascii="Calibri" w:hAnsi="Calibri" w:cs="Arial"/>
                <w:b/>
                <w:bCs/>
                <w:sz w:val="20"/>
                <w:szCs w:val="20"/>
                <w:lang w:val="pl-PL" w:eastAsia="en-US"/>
              </w:rPr>
            </w:pPr>
            <w:r w:rsidRPr="0013454F">
              <w:rPr>
                <w:rFonts w:ascii="Calibri" w:hAnsi="Calibri" w:cs="Arial"/>
                <w:b/>
                <w:bCs/>
                <w:sz w:val="20"/>
                <w:szCs w:val="20"/>
                <w:lang w:val="pl-PL" w:eastAsia="en-US"/>
              </w:rPr>
              <w:t> </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Růst/(pokles) bankovních úvěrů</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-7 106</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Růst/(pokles) ostatních dlouhodobých závazků</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-490</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54 426</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val="pl-PL" w:eastAsia="en-US"/>
              </w:rPr>
            </w:pPr>
            <w:r w:rsidRPr="0013454F">
              <w:rPr>
                <w:rFonts w:ascii="Calibri" w:hAnsi="Calibri" w:cs="Arial"/>
                <w:sz w:val="20"/>
                <w:szCs w:val="20"/>
                <w:lang w:val="pl-PL" w:eastAsia="en-US"/>
              </w:rPr>
              <w:t>Nabytí vlastních akcií a ostatní změny v kapitálu</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-875</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454F41" w:rsidP="00A91451">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 xml:space="preserve">-11 </w:t>
            </w:r>
            <w:r w:rsidR="00A91451">
              <w:rPr>
                <w:rFonts w:ascii="Calibri" w:hAnsi="Calibri" w:cs="Arial"/>
                <w:sz w:val="20"/>
                <w:szCs w:val="20"/>
                <w:lang w:val="en-US" w:eastAsia="en-US"/>
              </w:rPr>
              <w:t>521</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Distribuce dividendy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5F418A" w:rsidP="00B51AD9">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Zaplacené úroky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-1 449</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0</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r w:rsidRPr="00B51AD9">
              <w:rPr>
                <w:rFonts w:ascii="Calibri" w:hAnsi="Calibri" w:cs="Arial"/>
                <w:sz w:val="20"/>
                <w:szCs w:val="20"/>
                <w:lang w:val="en-US" w:eastAsia="en-US"/>
              </w:rPr>
              <w:t>Ostatní finanční výnosy/(náklady)</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499</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961</w:t>
            </w:r>
          </w:p>
        </w:tc>
      </w:tr>
      <w:tr w:rsidR="00B51AD9" w:rsidRPr="00B51AD9" w:rsidTr="002C76B2">
        <w:trPr>
          <w:trHeight w:val="315"/>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eastAsia="en-US"/>
              </w:rPr>
            </w:pPr>
            <w:r w:rsidRPr="0013454F">
              <w:rPr>
                <w:rFonts w:ascii="Calibri" w:hAnsi="Calibri" w:cs="Arial"/>
                <w:b/>
                <w:bCs/>
                <w:sz w:val="20"/>
                <w:szCs w:val="20"/>
                <w:lang w:eastAsia="en-US"/>
              </w:rPr>
              <w:t>Čisté peněžní toky z finanční činnosti</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-9 421</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454F41" w:rsidP="00A91451">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 xml:space="preserve">43 </w:t>
            </w:r>
            <w:r w:rsidR="00A91451">
              <w:rPr>
                <w:rFonts w:ascii="Calibri" w:hAnsi="Calibri" w:cs="Arial"/>
                <w:b/>
                <w:bCs/>
                <w:sz w:val="20"/>
                <w:szCs w:val="20"/>
                <w:lang w:val="en-US" w:eastAsia="en-US"/>
              </w:rPr>
              <w:t>867</w:t>
            </w:r>
          </w:p>
        </w:tc>
      </w:tr>
      <w:tr w:rsidR="00B51AD9" w:rsidRPr="00B51AD9" w:rsidTr="002C76B2">
        <w:trPr>
          <w:trHeight w:val="135"/>
        </w:trPr>
        <w:tc>
          <w:tcPr>
            <w:tcW w:w="3077" w:type="pct"/>
            <w:tcBorders>
              <w:top w:val="nil"/>
              <w:left w:val="nil"/>
              <w:bottom w:val="nil"/>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Peněžní prostředky a peněžní ekvivalenty na počátku účetního období</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28 082</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24 219</w:t>
            </w: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sz w:val="20"/>
                <w:szCs w:val="20"/>
                <w:lang w:eastAsia="en-US"/>
              </w:rPr>
            </w:pPr>
            <w:r w:rsidRPr="0013454F">
              <w:rPr>
                <w:rFonts w:ascii="Calibri" w:hAnsi="Calibri" w:cs="Arial"/>
                <w:sz w:val="20"/>
                <w:szCs w:val="20"/>
                <w:lang w:eastAsia="en-US"/>
              </w:rPr>
              <w:t>Čistý přírůstek (úbytek) peněžních prostředků a peněžních ekvivalentů</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r w:rsidRPr="00B51AD9">
              <w:rPr>
                <w:rFonts w:ascii="Calibri" w:hAnsi="Calibri" w:cs="Arial"/>
                <w:sz w:val="20"/>
                <w:szCs w:val="20"/>
                <w:lang w:val="en-US" w:eastAsia="en-US"/>
              </w:rPr>
              <w:t>11 581</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5F418A" w:rsidP="00B51AD9">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45 794</w:t>
            </w:r>
          </w:p>
        </w:tc>
      </w:tr>
      <w:tr w:rsidR="00B51AD9" w:rsidRPr="00B51AD9" w:rsidTr="002C76B2">
        <w:trPr>
          <w:trHeight w:val="135"/>
        </w:trPr>
        <w:tc>
          <w:tcPr>
            <w:tcW w:w="3077" w:type="pct"/>
            <w:tcBorders>
              <w:top w:val="nil"/>
              <w:left w:val="nil"/>
              <w:bottom w:val="nil"/>
              <w:right w:val="nil"/>
            </w:tcBorders>
            <w:shd w:val="clear" w:color="auto" w:fill="auto"/>
            <w:vAlign w:val="bottom"/>
            <w:hideMark/>
          </w:tcPr>
          <w:p w:rsidR="00B51AD9" w:rsidRPr="00B51AD9" w:rsidRDefault="00B51AD9" w:rsidP="00B51AD9">
            <w:pPr>
              <w:spacing w:before="0" w:beforeAutospacing="0" w:after="0" w:afterAutospacing="0"/>
              <w:jc w:val="lef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c>
          <w:tcPr>
            <w:tcW w:w="961" w:type="pct"/>
            <w:tcBorders>
              <w:top w:val="nil"/>
              <w:left w:val="nil"/>
              <w:bottom w:val="nil"/>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0"/>
              <w:jc w:val="right"/>
              <w:rPr>
                <w:rFonts w:ascii="Calibri" w:hAnsi="Calibri" w:cs="Arial"/>
                <w:sz w:val="20"/>
                <w:szCs w:val="20"/>
                <w:lang w:val="en-US" w:eastAsia="en-US"/>
              </w:rPr>
            </w:pPr>
          </w:p>
        </w:tc>
      </w:tr>
      <w:tr w:rsidR="00B51AD9" w:rsidRPr="00B51AD9" w:rsidTr="002C76B2">
        <w:trPr>
          <w:trHeight w:val="276"/>
        </w:trPr>
        <w:tc>
          <w:tcPr>
            <w:tcW w:w="3077" w:type="pct"/>
            <w:tcBorders>
              <w:top w:val="nil"/>
              <w:left w:val="nil"/>
              <w:bottom w:val="single" w:sz="4" w:space="0" w:color="9C9D9F"/>
              <w:right w:val="nil"/>
            </w:tcBorders>
            <w:shd w:val="clear" w:color="auto" w:fill="auto"/>
            <w:vAlign w:val="bottom"/>
            <w:hideMark/>
          </w:tcPr>
          <w:p w:rsidR="00B51AD9" w:rsidRPr="0013454F" w:rsidRDefault="00B51AD9" w:rsidP="00B51AD9">
            <w:pPr>
              <w:spacing w:before="0" w:beforeAutospacing="0" w:after="0" w:afterAutospacing="0"/>
              <w:jc w:val="left"/>
              <w:rPr>
                <w:rFonts w:ascii="Calibri" w:hAnsi="Calibri" w:cs="Arial"/>
                <w:b/>
                <w:bCs/>
                <w:sz w:val="20"/>
                <w:szCs w:val="20"/>
                <w:lang w:eastAsia="en-US"/>
              </w:rPr>
            </w:pPr>
            <w:r w:rsidRPr="0013454F">
              <w:rPr>
                <w:rFonts w:ascii="Calibri" w:hAnsi="Calibri" w:cs="Arial"/>
                <w:b/>
                <w:bCs/>
                <w:sz w:val="20"/>
                <w:szCs w:val="20"/>
                <w:lang w:eastAsia="en-US"/>
              </w:rPr>
              <w:t>Peněžní prostředky a peněžní ekvivalenty na konci účetního období</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rsidP="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39 663</w:t>
            </w:r>
          </w:p>
        </w:tc>
        <w:tc>
          <w:tcPr>
            <w:tcW w:w="961" w:type="pct"/>
            <w:tcBorders>
              <w:top w:val="nil"/>
              <w:left w:val="nil"/>
              <w:bottom w:val="single" w:sz="4" w:space="0" w:color="9C9D9F"/>
              <w:right w:val="nil"/>
            </w:tcBorders>
            <w:shd w:val="clear" w:color="auto" w:fill="auto"/>
            <w:noWrap/>
            <w:vAlign w:val="bottom"/>
            <w:hideMark/>
          </w:tcPr>
          <w:p w:rsidR="00B51AD9" w:rsidRPr="00B51AD9" w:rsidRDefault="00B51AD9">
            <w:pPr>
              <w:spacing w:before="0" w:beforeAutospacing="0" w:after="0" w:afterAutospacing="0"/>
              <w:ind w:firstLineChars="100" w:firstLine="201"/>
              <w:jc w:val="right"/>
              <w:rPr>
                <w:rFonts w:ascii="Calibri" w:hAnsi="Calibri" w:cs="Arial"/>
                <w:b/>
                <w:bCs/>
                <w:sz w:val="20"/>
                <w:szCs w:val="20"/>
                <w:lang w:val="en-US" w:eastAsia="en-US"/>
              </w:rPr>
            </w:pPr>
            <w:r w:rsidRPr="00B51AD9">
              <w:rPr>
                <w:rFonts w:ascii="Calibri" w:hAnsi="Calibri" w:cs="Arial"/>
                <w:b/>
                <w:bCs/>
                <w:sz w:val="20"/>
                <w:szCs w:val="20"/>
                <w:lang w:val="en-US" w:eastAsia="en-US"/>
              </w:rPr>
              <w:t xml:space="preserve">70 </w:t>
            </w:r>
            <w:r w:rsidR="005F418A">
              <w:rPr>
                <w:rFonts w:ascii="Calibri" w:hAnsi="Calibri" w:cs="Arial"/>
                <w:b/>
                <w:bCs/>
                <w:sz w:val="20"/>
                <w:szCs w:val="20"/>
                <w:lang w:val="en-US" w:eastAsia="en-US"/>
              </w:rPr>
              <w:t>013</w:t>
            </w:r>
          </w:p>
        </w:tc>
      </w:tr>
    </w:tbl>
    <w:p w:rsidR="001E4529" w:rsidRPr="007A3749" w:rsidRDefault="001E4529" w:rsidP="007A3749"/>
    <w:p w:rsidR="00CC1601" w:rsidRPr="007A3749" w:rsidRDefault="00CC1601" w:rsidP="007A3749"/>
    <w:p w:rsidR="008A66C6" w:rsidRDefault="008A66C6">
      <w:pPr>
        <w:spacing w:before="0" w:beforeAutospacing="0" w:after="0" w:afterAutospacing="0"/>
        <w:jc w:val="left"/>
        <w:rPr>
          <w:b/>
          <w:bCs/>
          <w:kern w:val="32"/>
          <w:sz w:val="28"/>
          <w:szCs w:val="28"/>
        </w:rPr>
      </w:pPr>
      <w:bookmarkStart w:id="102" w:name="_Toc269295563"/>
      <w:bookmarkStart w:id="103" w:name="_Toc269907502"/>
    </w:p>
    <w:p w:rsidR="00CC1601" w:rsidRDefault="00234327" w:rsidP="00396F0C">
      <w:pPr>
        <w:pStyle w:val="Heading2"/>
      </w:pPr>
      <w:bookmarkStart w:id="104" w:name="_Toc487810693"/>
      <w:r w:rsidRPr="00234327">
        <w:t>Konsolidovaný přehled o změnách vlastního kapitálu ve zkrácené podobě</w:t>
      </w:r>
      <w:bookmarkEnd w:id="102"/>
      <w:bookmarkEnd w:id="103"/>
      <w:bookmarkEnd w:id="104"/>
    </w:p>
    <w:p w:rsidR="001E4529" w:rsidRPr="00202C43" w:rsidRDefault="001E4529" w:rsidP="00864FC2"/>
    <w:tbl>
      <w:tblPr>
        <w:tblW w:w="5373" w:type="pct"/>
        <w:tblInd w:w="-144" w:type="dxa"/>
        <w:tblLayout w:type="fixed"/>
        <w:tblCellMar>
          <w:left w:w="0" w:type="dxa"/>
          <w:right w:w="0" w:type="dxa"/>
        </w:tblCellMar>
        <w:tblLook w:val="0000" w:firstRow="0" w:lastRow="0" w:firstColumn="0" w:lastColumn="0" w:noHBand="0" w:noVBand="0"/>
      </w:tblPr>
      <w:tblGrid>
        <w:gridCol w:w="1767"/>
        <w:gridCol w:w="1174"/>
        <w:gridCol w:w="1172"/>
        <w:gridCol w:w="1082"/>
        <w:gridCol w:w="1082"/>
        <w:gridCol w:w="1082"/>
        <w:gridCol w:w="1203"/>
        <w:gridCol w:w="1187"/>
      </w:tblGrid>
      <w:tr w:rsidR="00037DF3" w:rsidRPr="005D16E5" w:rsidTr="00037DF3">
        <w:trPr>
          <w:trHeight w:val="255"/>
        </w:trPr>
        <w:tc>
          <w:tcPr>
            <w:tcW w:w="906" w:type="pct"/>
            <w:shd w:val="clear" w:color="auto" w:fill="E2001C"/>
            <w:noWrap/>
            <w:vAlign w:val="center"/>
          </w:tcPr>
          <w:p w:rsidR="00037DF3" w:rsidRPr="005D16E5" w:rsidRDefault="001B637E" w:rsidP="001B637E">
            <w:pPr>
              <w:ind w:right="144"/>
              <w:jc w:val="center"/>
              <w:rPr>
                <w:rFonts w:cs="Arial"/>
                <w:b/>
                <w:color w:val="FFFFFF" w:themeColor="background1"/>
                <w:sz w:val="20"/>
                <w:szCs w:val="20"/>
              </w:rPr>
            </w:pPr>
            <w:r w:rsidRPr="00843428">
              <w:rPr>
                <w:rFonts w:ascii="Calibri" w:hAnsi="Calibri" w:cs="Arial"/>
                <w:b/>
                <w:bCs/>
                <w:color w:val="FFFFFF"/>
                <w:sz w:val="20"/>
                <w:szCs w:val="20"/>
                <w:lang w:val="en-US" w:eastAsia="en-US"/>
              </w:rPr>
              <w:t>v tis. EUR</w:t>
            </w:r>
          </w:p>
        </w:tc>
        <w:tc>
          <w:tcPr>
            <w:tcW w:w="602" w:type="pct"/>
            <w:shd w:val="clear" w:color="auto" w:fill="E2001C"/>
            <w:noWrap/>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Základní kapitál</w:t>
            </w:r>
          </w:p>
        </w:tc>
        <w:tc>
          <w:tcPr>
            <w:tcW w:w="601" w:type="pct"/>
            <w:shd w:val="clear" w:color="auto" w:fill="E2001C"/>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Zákonný rezervní fond</w:t>
            </w:r>
            <w:r w:rsidR="00465C88">
              <w:rPr>
                <w:rFonts w:cs="Arial"/>
                <w:b/>
                <w:color w:val="FFFFFF" w:themeColor="background1"/>
                <w:sz w:val="20"/>
                <w:szCs w:val="20"/>
              </w:rPr>
              <w:t xml:space="preserve"> a ostatní rezervy</w:t>
            </w:r>
          </w:p>
        </w:tc>
        <w:tc>
          <w:tcPr>
            <w:tcW w:w="555" w:type="pct"/>
            <w:shd w:val="clear" w:color="auto" w:fill="E2001C"/>
            <w:vAlign w:val="center"/>
          </w:tcPr>
          <w:p w:rsidR="00037DF3" w:rsidRPr="005D16E5" w:rsidRDefault="00037DF3" w:rsidP="00656ADD">
            <w:pPr>
              <w:jc w:val="center"/>
              <w:rPr>
                <w:rFonts w:cs="Arial"/>
                <w:b/>
                <w:color w:val="FFFFFF" w:themeColor="background1"/>
                <w:sz w:val="20"/>
                <w:szCs w:val="20"/>
              </w:rPr>
            </w:pPr>
            <w:r>
              <w:rPr>
                <w:rFonts w:cs="Arial"/>
                <w:b/>
                <w:color w:val="FFFFFF" w:themeColor="background1"/>
                <w:sz w:val="20"/>
                <w:szCs w:val="20"/>
              </w:rPr>
              <w:t>Vlastní</w:t>
            </w:r>
            <w:r w:rsidR="00656ADD">
              <w:rPr>
                <w:rFonts w:cs="Arial"/>
                <w:b/>
                <w:color w:val="FFFFFF" w:themeColor="background1"/>
                <w:sz w:val="20"/>
                <w:szCs w:val="20"/>
              </w:rPr>
              <w:t xml:space="preserve"> </w:t>
            </w:r>
            <w:r>
              <w:rPr>
                <w:rFonts w:cs="Arial"/>
                <w:b/>
                <w:color w:val="FFFFFF" w:themeColor="background1"/>
                <w:sz w:val="20"/>
                <w:szCs w:val="20"/>
              </w:rPr>
              <w:t>akcie</w:t>
            </w:r>
          </w:p>
        </w:tc>
        <w:tc>
          <w:tcPr>
            <w:tcW w:w="555" w:type="pct"/>
            <w:shd w:val="clear" w:color="auto" w:fill="E2001C"/>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Rozdíly z přepočtu</w:t>
            </w:r>
          </w:p>
        </w:tc>
        <w:tc>
          <w:tcPr>
            <w:tcW w:w="555" w:type="pct"/>
            <w:shd w:val="clear" w:color="auto" w:fill="E2001C"/>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Zajištění peněžních toků</w:t>
            </w:r>
          </w:p>
        </w:tc>
        <w:tc>
          <w:tcPr>
            <w:tcW w:w="617" w:type="pct"/>
            <w:shd w:val="clear" w:color="auto" w:fill="E2001C"/>
            <w:noWrap/>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Nerozdělený zisk</w:t>
            </w:r>
          </w:p>
        </w:tc>
        <w:tc>
          <w:tcPr>
            <w:tcW w:w="609" w:type="pct"/>
            <w:shd w:val="clear" w:color="auto" w:fill="E2001C"/>
            <w:vAlign w:val="center"/>
          </w:tcPr>
          <w:p w:rsidR="00037DF3" w:rsidRPr="005D16E5" w:rsidRDefault="00037DF3" w:rsidP="00037DF3">
            <w:pPr>
              <w:jc w:val="center"/>
              <w:rPr>
                <w:rFonts w:cs="Arial"/>
                <w:b/>
                <w:color w:val="FFFFFF" w:themeColor="background1"/>
                <w:sz w:val="20"/>
                <w:szCs w:val="20"/>
              </w:rPr>
            </w:pPr>
            <w:r>
              <w:rPr>
                <w:rFonts w:cs="Arial"/>
                <w:b/>
                <w:color w:val="FFFFFF" w:themeColor="background1"/>
                <w:sz w:val="20"/>
                <w:szCs w:val="20"/>
              </w:rPr>
              <w:t>Základní kapitál a rezervní fondy celkem</w:t>
            </w:r>
          </w:p>
        </w:tc>
      </w:tr>
      <w:tr w:rsidR="00037DF3" w:rsidRPr="005D16E5" w:rsidTr="00037DF3">
        <w:trPr>
          <w:trHeight w:val="20"/>
        </w:trPr>
        <w:tc>
          <w:tcPr>
            <w:tcW w:w="906" w:type="pct"/>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617"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vAlign w:val="center"/>
          </w:tcPr>
          <w:p w:rsidR="00037DF3" w:rsidRPr="005D16E5" w:rsidRDefault="00037DF3" w:rsidP="00037DF3">
            <w:pPr>
              <w:ind w:right="96"/>
              <w:jc w:val="right"/>
              <w:rPr>
                <w:rFonts w:cs="Arial"/>
                <w:b/>
                <w:bCs/>
                <w:color w:val="000000"/>
                <w:sz w:val="20"/>
                <w:szCs w:val="20"/>
              </w:rPr>
            </w:pPr>
          </w:p>
        </w:tc>
      </w:tr>
      <w:tr w:rsidR="00587600" w:rsidRPr="005D16E5" w:rsidTr="00037DF3">
        <w:trPr>
          <w:trHeight w:val="446"/>
        </w:trPr>
        <w:tc>
          <w:tcPr>
            <w:tcW w:w="906" w:type="pct"/>
            <w:shd w:val="clear" w:color="auto" w:fill="9C9D9F"/>
            <w:noWrap/>
            <w:vAlign w:val="center"/>
          </w:tcPr>
          <w:p w:rsidR="00587600" w:rsidRPr="005D16E5" w:rsidRDefault="00587600" w:rsidP="009372D3">
            <w:pPr>
              <w:ind w:right="144"/>
              <w:jc w:val="right"/>
              <w:rPr>
                <w:rFonts w:cs="Arial"/>
                <w:color w:val="000000"/>
                <w:sz w:val="20"/>
                <w:szCs w:val="20"/>
              </w:rPr>
            </w:pPr>
            <w:r w:rsidRPr="005D16E5">
              <w:rPr>
                <w:rFonts w:cs="Arial"/>
                <w:b/>
                <w:bCs/>
                <w:color w:val="000000"/>
                <w:sz w:val="20"/>
                <w:szCs w:val="20"/>
              </w:rPr>
              <w:t>k 1. lednu 2016</w:t>
            </w:r>
          </w:p>
        </w:tc>
        <w:tc>
          <w:tcPr>
            <w:tcW w:w="602" w:type="pct"/>
            <w:shd w:val="clear" w:color="auto" w:fill="9C9D9F"/>
            <w:noWrap/>
            <w:vAlign w:val="center"/>
          </w:tcPr>
          <w:p w:rsidR="00587600" w:rsidRPr="005D16E5" w:rsidRDefault="00587600" w:rsidP="009372D3">
            <w:pPr>
              <w:ind w:right="96"/>
              <w:jc w:val="right"/>
              <w:rPr>
                <w:b/>
                <w:color w:val="000000"/>
                <w:sz w:val="20"/>
                <w:szCs w:val="20"/>
              </w:rPr>
            </w:pPr>
            <w:r w:rsidRPr="005D16E5">
              <w:rPr>
                <w:b/>
                <w:color w:val="000000"/>
                <w:sz w:val="20"/>
                <w:szCs w:val="20"/>
              </w:rPr>
              <w:t xml:space="preserve">11 444 </w:t>
            </w:r>
          </w:p>
        </w:tc>
        <w:tc>
          <w:tcPr>
            <w:tcW w:w="601" w:type="pct"/>
            <w:shd w:val="clear" w:color="auto" w:fill="9C9D9F"/>
            <w:vAlign w:val="center"/>
          </w:tcPr>
          <w:p w:rsidR="00587600" w:rsidRPr="005D16E5" w:rsidRDefault="00587600" w:rsidP="009372D3">
            <w:pPr>
              <w:ind w:right="96"/>
              <w:jc w:val="right"/>
              <w:rPr>
                <w:b/>
                <w:color w:val="000000"/>
                <w:sz w:val="20"/>
                <w:szCs w:val="20"/>
              </w:rPr>
            </w:pPr>
            <w:r w:rsidRPr="005D16E5">
              <w:rPr>
                <w:b/>
                <w:color w:val="000000"/>
                <w:sz w:val="20"/>
                <w:szCs w:val="20"/>
              </w:rPr>
              <w:t>9 451</w:t>
            </w:r>
          </w:p>
        </w:tc>
        <w:tc>
          <w:tcPr>
            <w:tcW w:w="555" w:type="pct"/>
            <w:shd w:val="clear" w:color="auto" w:fill="9C9D9F"/>
            <w:vAlign w:val="center"/>
          </w:tcPr>
          <w:p w:rsidR="00587600" w:rsidRPr="005D16E5" w:rsidRDefault="00587600" w:rsidP="009372D3">
            <w:pPr>
              <w:ind w:right="96"/>
              <w:jc w:val="right"/>
              <w:rPr>
                <w:b/>
                <w:color w:val="000000"/>
                <w:sz w:val="20"/>
                <w:szCs w:val="20"/>
              </w:rPr>
            </w:pPr>
            <w:r w:rsidRPr="005D16E5">
              <w:rPr>
                <w:b/>
                <w:color w:val="000000"/>
                <w:sz w:val="20"/>
                <w:szCs w:val="20"/>
              </w:rPr>
              <w:t>-12 797</w:t>
            </w:r>
          </w:p>
        </w:tc>
        <w:tc>
          <w:tcPr>
            <w:tcW w:w="555" w:type="pct"/>
            <w:shd w:val="clear" w:color="auto" w:fill="9C9D9F"/>
            <w:vAlign w:val="center"/>
          </w:tcPr>
          <w:p w:rsidR="00587600" w:rsidRPr="005D16E5" w:rsidRDefault="00587600" w:rsidP="009372D3">
            <w:pPr>
              <w:ind w:right="96"/>
              <w:jc w:val="right"/>
              <w:rPr>
                <w:b/>
                <w:color w:val="000000"/>
                <w:sz w:val="20"/>
                <w:szCs w:val="20"/>
              </w:rPr>
            </w:pPr>
            <w:r w:rsidRPr="005D16E5">
              <w:rPr>
                <w:b/>
                <w:color w:val="000000"/>
                <w:sz w:val="20"/>
                <w:szCs w:val="20"/>
              </w:rPr>
              <w:t>5 691</w:t>
            </w:r>
          </w:p>
        </w:tc>
        <w:tc>
          <w:tcPr>
            <w:tcW w:w="555" w:type="pct"/>
            <w:shd w:val="clear" w:color="auto" w:fill="9C9D9F"/>
            <w:vAlign w:val="center"/>
          </w:tcPr>
          <w:p w:rsidR="00587600" w:rsidRPr="005D16E5" w:rsidDel="002D1E65" w:rsidRDefault="00587600" w:rsidP="009372D3">
            <w:pPr>
              <w:ind w:right="96"/>
              <w:jc w:val="right"/>
              <w:rPr>
                <w:b/>
                <w:color w:val="000000"/>
                <w:sz w:val="20"/>
                <w:szCs w:val="20"/>
              </w:rPr>
            </w:pPr>
            <w:r w:rsidRPr="005D16E5">
              <w:rPr>
                <w:b/>
                <w:color w:val="000000"/>
                <w:sz w:val="20"/>
                <w:szCs w:val="20"/>
              </w:rPr>
              <w:t>1 418</w:t>
            </w:r>
          </w:p>
        </w:tc>
        <w:tc>
          <w:tcPr>
            <w:tcW w:w="617" w:type="pct"/>
            <w:shd w:val="clear" w:color="auto" w:fill="9C9D9F"/>
            <w:noWrap/>
            <w:vAlign w:val="center"/>
          </w:tcPr>
          <w:p w:rsidR="00587600" w:rsidRPr="005D16E5" w:rsidRDefault="00587600" w:rsidP="009372D3">
            <w:pPr>
              <w:ind w:right="96"/>
              <w:jc w:val="right"/>
              <w:rPr>
                <w:b/>
                <w:color w:val="000000"/>
                <w:sz w:val="20"/>
                <w:szCs w:val="20"/>
              </w:rPr>
            </w:pPr>
            <w:r w:rsidRPr="005D16E5">
              <w:rPr>
                <w:b/>
                <w:color w:val="000000"/>
                <w:sz w:val="20"/>
                <w:szCs w:val="20"/>
              </w:rPr>
              <w:t>141 50</w:t>
            </w:r>
            <w:r>
              <w:rPr>
                <w:b/>
                <w:color w:val="000000"/>
                <w:sz w:val="20"/>
                <w:szCs w:val="20"/>
              </w:rPr>
              <w:t>5</w:t>
            </w:r>
          </w:p>
        </w:tc>
        <w:tc>
          <w:tcPr>
            <w:tcW w:w="609" w:type="pct"/>
            <w:shd w:val="clear" w:color="auto" w:fill="9C9D9F"/>
            <w:vAlign w:val="center"/>
          </w:tcPr>
          <w:p w:rsidR="00587600" w:rsidRPr="005D16E5" w:rsidRDefault="00587600" w:rsidP="009372D3">
            <w:pPr>
              <w:ind w:right="94"/>
              <w:jc w:val="right"/>
              <w:rPr>
                <w:b/>
                <w:color w:val="000000"/>
                <w:sz w:val="20"/>
                <w:szCs w:val="20"/>
              </w:rPr>
            </w:pPr>
            <w:r>
              <w:rPr>
                <w:b/>
                <w:color w:val="000000"/>
                <w:sz w:val="20"/>
                <w:szCs w:val="20"/>
              </w:rPr>
              <w:t>156 712</w:t>
            </w:r>
          </w:p>
        </w:tc>
      </w:tr>
      <w:tr w:rsidR="00587600" w:rsidRPr="005D16E5" w:rsidTr="00037DF3">
        <w:trPr>
          <w:trHeight w:val="427"/>
        </w:trPr>
        <w:tc>
          <w:tcPr>
            <w:tcW w:w="906" w:type="pct"/>
            <w:tcBorders>
              <w:bottom w:val="single" w:sz="4" w:space="0" w:color="9C9D9F"/>
            </w:tcBorders>
            <w:shd w:val="clear" w:color="auto" w:fill="auto"/>
            <w:noWrap/>
            <w:vAlign w:val="center"/>
          </w:tcPr>
          <w:p w:rsidR="00587600" w:rsidRPr="005D16E5" w:rsidRDefault="00587600" w:rsidP="009372D3">
            <w:pPr>
              <w:ind w:right="144"/>
              <w:jc w:val="right"/>
              <w:rPr>
                <w:rFonts w:cs="Arial"/>
                <w:bCs/>
                <w:color w:val="000000"/>
                <w:sz w:val="20"/>
                <w:szCs w:val="20"/>
              </w:rPr>
            </w:pPr>
            <w:r w:rsidRPr="005D16E5">
              <w:rPr>
                <w:rFonts w:cs="Arial"/>
                <w:color w:val="000000"/>
                <w:sz w:val="20"/>
                <w:szCs w:val="20"/>
              </w:rPr>
              <w:t>Distribuce</w:t>
            </w:r>
          </w:p>
        </w:tc>
        <w:tc>
          <w:tcPr>
            <w:tcW w:w="602" w:type="pct"/>
            <w:tcBorders>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601" w:type="pct"/>
            <w:tcBorders>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587600" w:rsidRPr="005D16E5" w:rsidRDefault="00587600" w:rsidP="009372D3">
            <w:pPr>
              <w:ind w:right="96"/>
              <w:jc w:val="right"/>
              <w:rPr>
                <w:rFonts w:cs="Arial"/>
                <w:b/>
                <w:iCs/>
                <w:color w:val="000000"/>
                <w:sz w:val="20"/>
                <w:szCs w:val="20"/>
              </w:rPr>
            </w:pPr>
            <w:r w:rsidRPr="005D16E5">
              <w:rPr>
                <w:color w:val="000000"/>
                <w:sz w:val="20"/>
                <w:szCs w:val="20"/>
              </w:rPr>
              <w:t>--</w:t>
            </w:r>
          </w:p>
        </w:tc>
        <w:tc>
          <w:tcPr>
            <w:tcW w:w="617" w:type="pct"/>
            <w:tcBorders>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Pr>
                <w:color w:val="000000"/>
                <w:sz w:val="20"/>
                <w:szCs w:val="20"/>
              </w:rPr>
              <w:t>-11 537</w:t>
            </w:r>
          </w:p>
        </w:tc>
        <w:tc>
          <w:tcPr>
            <w:tcW w:w="609" w:type="pct"/>
            <w:tcBorders>
              <w:bottom w:val="single" w:sz="4" w:space="0" w:color="9C9D9F"/>
            </w:tcBorders>
            <w:vAlign w:val="center"/>
          </w:tcPr>
          <w:p w:rsidR="00587600" w:rsidRPr="005D16E5" w:rsidRDefault="00587600" w:rsidP="009372D3">
            <w:pPr>
              <w:ind w:right="94"/>
              <w:jc w:val="right"/>
              <w:rPr>
                <w:rFonts w:cs="Arial"/>
                <w:b/>
                <w:bCs/>
                <w:color w:val="000000"/>
                <w:sz w:val="20"/>
                <w:szCs w:val="20"/>
              </w:rPr>
            </w:pPr>
            <w:r>
              <w:rPr>
                <w:b/>
                <w:color w:val="000000"/>
                <w:sz w:val="20"/>
                <w:szCs w:val="20"/>
              </w:rPr>
              <w:t>-11 537</w:t>
            </w:r>
          </w:p>
        </w:tc>
      </w:tr>
      <w:tr w:rsidR="00587600" w:rsidRPr="005D16E5" w:rsidTr="00037DF3">
        <w:trPr>
          <w:trHeight w:hRule="exact" w:val="611"/>
        </w:trPr>
        <w:tc>
          <w:tcPr>
            <w:tcW w:w="906" w:type="pct"/>
            <w:tcBorders>
              <w:top w:val="single" w:sz="4" w:space="0" w:color="9C9D9F"/>
              <w:bottom w:val="single" w:sz="4" w:space="0" w:color="9C9D9F"/>
            </w:tcBorders>
            <w:shd w:val="clear" w:color="auto" w:fill="auto"/>
            <w:noWrap/>
            <w:vAlign w:val="center"/>
          </w:tcPr>
          <w:p w:rsidR="00587600" w:rsidRPr="005D16E5" w:rsidRDefault="00587600" w:rsidP="009372D3">
            <w:pPr>
              <w:ind w:right="144"/>
              <w:jc w:val="right"/>
              <w:rPr>
                <w:rFonts w:cs="Arial"/>
                <w:bCs/>
                <w:color w:val="000000"/>
                <w:sz w:val="20"/>
                <w:szCs w:val="20"/>
              </w:rPr>
            </w:pPr>
            <w:r w:rsidRPr="005D16E5">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Pr>
                <w:rFonts w:cs="Arial"/>
                <w:iCs/>
                <w:color w:val="000000"/>
                <w:sz w:val="20"/>
                <w:szCs w:val="20"/>
              </w:rPr>
              <w:t>-3 044</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bCs/>
                <w:color w:val="000000"/>
                <w:sz w:val="20"/>
                <w:szCs w:val="20"/>
              </w:rPr>
            </w:pPr>
            <w:r>
              <w:rPr>
                <w:rFonts w:cs="Arial"/>
                <w:bCs/>
                <w:color w:val="000000"/>
                <w:sz w:val="20"/>
                <w:szCs w:val="20"/>
              </w:rPr>
              <w:t>-3 101</w:t>
            </w:r>
          </w:p>
        </w:tc>
        <w:tc>
          <w:tcPr>
            <w:tcW w:w="617"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vAlign w:val="center"/>
          </w:tcPr>
          <w:p w:rsidR="00587600" w:rsidRPr="005D16E5" w:rsidRDefault="00587600" w:rsidP="009372D3">
            <w:pPr>
              <w:ind w:right="94"/>
              <w:jc w:val="right"/>
              <w:rPr>
                <w:rFonts w:cs="Arial"/>
                <w:b/>
                <w:bCs/>
                <w:color w:val="000000"/>
                <w:sz w:val="20"/>
                <w:szCs w:val="20"/>
              </w:rPr>
            </w:pPr>
            <w:r>
              <w:rPr>
                <w:rFonts w:cs="Arial"/>
                <w:b/>
                <w:bCs/>
                <w:color w:val="000000"/>
                <w:sz w:val="20"/>
                <w:szCs w:val="20"/>
              </w:rPr>
              <w:t>-6 145</w:t>
            </w:r>
          </w:p>
        </w:tc>
      </w:tr>
      <w:tr w:rsidR="00587600" w:rsidRPr="005D16E5" w:rsidTr="00037DF3">
        <w:trPr>
          <w:trHeight w:hRule="exact" w:val="665"/>
        </w:trPr>
        <w:tc>
          <w:tcPr>
            <w:tcW w:w="906" w:type="pct"/>
            <w:tcBorders>
              <w:top w:val="single" w:sz="4" w:space="0" w:color="9C9D9F"/>
              <w:bottom w:val="single" w:sz="4" w:space="0" w:color="9C9D9F"/>
            </w:tcBorders>
            <w:shd w:val="clear" w:color="auto" w:fill="auto"/>
            <w:noWrap/>
            <w:vAlign w:val="center"/>
          </w:tcPr>
          <w:p w:rsidR="00587600" w:rsidRPr="005D16E5" w:rsidRDefault="00587600" w:rsidP="009372D3">
            <w:pPr>
              <w:ind w:right="144"/>
              <w:jc w:val="right"/>
              <w:rPr>
                <w:rFonts w:cs="Arial"/>
                <w:bCs/>
                <w:color w:val="000000"/>
                <w:sz w:val="20"/>
                <w:szCs w:val="20"/>
              </w:rPr>
            </w:pPr>
            <w:r w:rsidRPr="005D16E5">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b/>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b/>
                <w:iCs/>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Pr>
                <w:rFonts w:cs="Arial"/>
                <w:iCs/>
                <w:color w:val="000000"/>
                <w:sz w:val="20"/>
                <w:szCs w:val="20"/>
              </w:rPr>
              <w:t>7 548</w:t>
            </w:r>
          </w:p>
        </w:tc>
        <w:tc>
          <w:tcPr>
            <w:tcW w:w="609" w:type="pct"/>
            <w:tcBorders>
              <w:top w:val="single" w:sz="4" w:space="0" w:color="9C9D9F"/>
              <w:bottom w:val="single" w:sz="4" w:space="0" w:color="9C9D9F"/>
            </w:tcBorders>
            <w:vAlign w:val="center"/>
          </w:tcPr>
          <w:p w:rsidR="00587600" w:rsidRPr="005D16E5" w:rsidRDefault="00587600" w:rsidP="009372D3">
            <w:pPr>
              <w:ind w:right="94"/>
              <w:jc w:val="right"/>
              <w:rPr>
                <w:rFonts w:cs="Arial"/>
                <w:b/>
                <w:bCs/>
                <w:color w:val="000000"/>
                <w:sz w:val="20"/>
                <w:szCs w:val="20"/>
              </w:rPr>
            </w:pPr>
            <w:r>
              <w:rPr>
                <w:rFonts w:cs="Arial"/>
                <w:b/>
                <w:bCs/>
                <w:color w:val="000000"/>
                <w:sz w:val="20"/>
                <w:szCs w:val="20"/>
              </w:rPr>
              <w:t>7 548</w:t>
            </w:r>
          </w:p>
        </w:tc>
      </w:tr>
      <w:tr w:rsidR="00587600" w:rsidRPr="005D16E5" w:rsidTr="00037DF3">
        <w:trPr>
          <w:trHeight w:hRule="exact" w:val="1004"/>
        </w:trPr>
        <w:tc>
          <w:tcPr>
            <w:tcW w:w="906" w:type="pct"/>
            <w:tcBorders>
              <w:top w:val="single" w:sz="4" w:space="0" w:color="9C9D9F"/>
              <w:bottom w:val="single" w:sz="4" w:space="0" w:color="9C9D9F"/>
            </w:tcBorders>
            <w:shd w:val="clear" w:color="auto" w:fill="auto"/>
            <w:noWrap/>
            <w:vAlign w:val="center"/>
          </w:tcPr>
          <w:p w:rsidR="00587600" w:rsidRPr="005D16E5" w:rsidRDefault="00587600" w:rsidP="009372D3">
            <w:pPr>
              <w:ind w:right="144"/>
              <w:jc w:val="right"/>
              <w:rPr>
                <w:rFonts w:cs="Arial"/>
                <w:color w:val="000000"/>
                <w:sz w:val="20"/>
                <w:szCs w:val="20"/>
              </w:rPr>
            </w:pPr>
            <w:r>
              <w:rPr>
                <w:rFonts w:cs="Arial"/>
                <w:color w:val="000000"/>
                <w:sz w:val="20"/>
                <w:szCs w:val="20"/>
              </w:rPr>
              <w:t>Nabytí vlastních akcií</w:t>
            </w:r>
          </w:p>
        </w:tc>
        <w:tc>
          <w:tcPr>
            <w:tcW w:w="602"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vAlign w:val="center"/>
          </w:tcPr>
          <w:p w:rsidR="00587600" w:rsidRPr="005D16E5" w:rsidRDefault="00587600" w:rsidP="009372D3">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color w:val="000000"/>
                <w:sz w:val="20"/>
                <w:szCs w:val="20"/>
              </w:rPr>
            </w:pPr>
            <w:r>
              <w:rPr>
                <w:color w:val="000000"/>
                <w:sz w:val="20"/>
                <w:szCs w:val="20"/>
              </w:rPr>
              <w:t>-875</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vAlign w:val="center"/>
          </w:tcPr>
          <w:p w:rsidR="00587600" w:rsidRPr="005D16E5" w:rsidRDefault="00587600" w:rsidP="009372D3">
            <w:pPr>
              <w:ind w:right="94"/>
              <w:jc w:val="right"/>
              <w:rPr>
                <w:b/>
                <w:color w:val="000000"/>
                <w:sz w:val="20"/>
                <w:szCs w:val="20"/>
              </w:rPr>
            </w:pPr>
            <w:r>
              <w:rPr>
                <w:b/>
                <w:color w:val="000000"/>
                <w:sz w:val="20"/>
                <w:szCs w:val="20"/>
              </w:rPr>
              <w:t>-875</w:t>
            </w:r>
          </w:p>
        </w:tc>
      </w:tr>
      <w:tr w:rsidR="00587600" w:rsidRPr="005D16E5" w:rsidTr="00037DF3">
        <w:trPr>
          <w:trHeight w:hRule="exact" w:val="1004"/>
        </w:trPr>
        <w:tc>
          <w:tcPr>
            <w:tcW w:w="906" w:type="pct"/>
            <w:tcBorders>
              <w:top w:val="single" w:sz="4" w:space="0" w:color="9C9D9F"/>
              <w:bottom w:val="single" w:sz="4" w:space="0" w:color="9C9D9F"/>
            </w:tcBorders>
            <w:shd w:val="clear" w:color="auto" w:fill="auto"/>
            <w:noWrap/>
            <w:vAlign w:val="center"/>
          </w:tcPr>
          <w:p w:rsidR="00587600" w:rsidRPr="005D16E5" w:rsidRDefault="00587600" w:rsidP="009372D3">
            <w:pPr>
              <w:ind w:right="144"/>
              <w:jc w:val="right"/>
              <w:rPr>
                <w:rFonts w:cs="Arial"/>
                <w:color w:val="000000"/>
                <w:sz w:val="20"/>
                <w:szCs w:val="20"/>
              </w:rPr>
            </w:pPr>
            <w:r w:rsidRPr="005D16E5">
              <w:rPr>
                <w:rFonts w:cs="Arial"/>
                <w:color w:val="000000"/>
                <w:sz w:val="20"/>
                <w:szCs w:val="20"/>
              </w:rPr>
              <w:t>Zákonný rezervní fond tvořený ze zisku</w:t>
            </w:r>
          </w:p>
        </w:tc>
        <w:tc>
          <w:tcPr>
            <w:tcW w:w="602"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b/>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587600" w:rsidRPr="005D16E5" w:rsidRDefault="00587600" w:rsidP="009372D3">
            <w:pPr>
              <w:ind w:right="96"/>
              <w:jc w:val="right"/>
              <w:rPr>
                <w:rFonts w:cs="Arial"/>
                <w:b/>
                <w:iCs/>
                <w:color w:val="000000"/>
                <w:sz w:val="20"/>
                <w:szCs w:val="20"/>
              </w:rPr>
            </w:pPr>
            <w:r w:rsidRPr="005D16E5">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587600" w:rsidRPr="005D16E5" w:rsidRDefault="00587600" w:rsidP="009372D3">
            <w:pPr>
              <w:ind w:right="96"/>
              <w:jc w:val="right"/>
              <w:rPr>
                <w:rFonts w:cs="Arial"/>
                <w:iCs/>
                <w:color w:val="000000"/>
                <w:sz w:val="20"/>
                <w:szCs w:val="20"/>
              </w:rPr>
            </w:pPr>
            <w:r w:rsidRPr="005D16E5">
              <w:rPr>
                <w:color w:val="000000"/>
                <w:sz w:val="20"/>
                <w:szCs w:val="20"/>
              </w:rPr>
              <w:t>--</w:t>
            </w:r>
          </w:p>
        </w:tc>
        <w:tc>
          <w:tcPr>
            <w:tcW w:w="609" w:type="pct"/>
            <w:tcBorders>
              <w:top w:val="single" w:sz="4" w:space="0" w:color="9C9D9F"/>
              <w:bottom w:val="single" w:sz="4" w:space="0" w:color="9C9D9F"/>
            </w:tcBorders>
            <w:vAlign w:val="center"/>
          </w:tcPr>
          <w:p w:rsidR="00587600" w:rsidRPr="005D16E5" w:rsidRDefault="00587600" w:rsidP="009372D3">
            <w:pPr>
              <w:ind w:right="94"/>
              <w:jc w:val="right"/>
              <w:rPr>
                <w:rFonts w:cs="Arial"/>
                <w:b/>
                <w:bCs/>
                <w:color w:val="000000"/>
                <w:sz w:val="20"/>
                <w:szCs w:val="20"/>
              </w:rPr>
            </w:pPr>
            <w:r w:rsidRPr="005D16E5">
              <w:rPr>
                <w:b/>
                <w:color w:val="000000"/>
                <w:sz w:val="20"/>
                <w:szCs w:val="20"/>
              </w:rPr>
              <w:t>--</w:t>
            </w:r>
          </w:p>
        </w:tc>
      </w:tr>
      <w:tr w:rsidR="00587600" w:rsidRPr="005D16E5" w:rsidTr="00037DF3">
        <w:trPr>
          <w:trHeight w:val="211"/>
        </w:trPr>
        <w:tc>
          <w:tcPr>
            <w:tcW w:w="906" w:type="pct"/>
            <w:tcBorders>
              <w:top w:val="single" w:sz="4" w:space="0" w:color="9C9D9F"/>
            </w:tcBorders>
            <w:shd w:val="clear" w:color="auto" w:fill="auto"/>
            <w:noWrap/>
            <w:vAlign w:val="center"/>
          </w:tcPr>
          <w:p w:rsidR="00587600" w:rsidRPr="005D16E5" w:rsidRDefault="00587600" w:rsidP="009372D3">
            <w:pPr>
              <w:ind w:right="144"/>
              <w:jc w:val="right"/>
              <w:rPr>
                <w:rFonts w:cs="Arial"/>
                <w:b/>
                <w:bCs/>
                <w:color w:val="000000"/>
                <w:sz w:val="20"/>
                <w:szCs w:val="20"/>
              </w:rPr>
            </w:pPr>
          </w:p>
        </w:tc>
        <w:tc>
          <w:tcPr>
            <w:tcW w:w="602" w:type="pct"/>
            <w:tcBorders>
              <w:top w:val="single" w:sz="4" w:space="0" w:color="9C9D9F"/>
            </w:tcBorders>
            <w:shd w:val="clear" w:color="auto" w:fill="auto"/>
            <w:noWrap/>
            <w:vAlign w:val="center"/>
          </w:tcPr>
          <w:p w:rsidR="00587600" w:rsidRPr="005D16E5" w:rsidRDefault="00587600" w:rsidP="009372D3">
            <w:pPr>
              <w:ind w:right="96"/>
              <w:jc w:val="right"/>
              <w:rPr>
                <w:rFonts w:cs="Arial"/>
                <w:b/>
                <w:bCs/>
                <w:color w:val="000000"/>
                <w:sz w:val="20"/>
                <w:szCs w:val="20"/>
              </w:rPr>
            </w:pPr>
          </w:p>
        </w:tc>
        <w:tc>
          <w:tcPr>
            <w:tcW w:w="601" w:type="pct"/>
            <w:tcBorders>
              <w:top w:val="single" w:sz="4" w:space="0" w:color="9C9D9F"/>
            </w:tcBorders>
            <w:vAlign w:val="center"/>
          </w:tcPr>
          <w:p w:rsidR="00587600" w:rsidRPr="005D16E5" w:rsidRDefault="00587600" w:rsidP="009372D3">
            <w:pPr>
              <w:ind w:right="96"/>
              <w:jc w:val="right"/>
              <w:rPr>
                <w:rFonts w:cs="Arial"/>
                <w:b/>
                <w:bCs/>
                <w:color w:val="000000"/>
                <w:sz w:val="20"/>
                <w:szCs w:val="20"/>
              </w:rPr>
            </w:pPr>
          </w:p>
        </w:tc>
        <w:tc>
          <w:tcPr>
            <w:tcW w:w="555" w:type="pct"/>
            <w:tcBorders>
              <w:top w:val="single" w:sz="4" w:space="0" w:color="9C9D9F"/>
            </w:tcBorders>
            <w:vAlign w:val="center"/>
          </w:tcPr>
          <w:p w:rsidR="00587600" w:rsidRPr="005D16E5" w:rsidRDefault="00587600" w:rsidP="009372D3">
            <w:pPr>
              <w:ind w:right="96"/>
              <w:jc w:val="right"/>
              <w:rPr>
                <w:rFonts w:cs="Arial"/>
                <w:b/>
                <w:bCs/>
                <w:color w:val="000000"/>
                <w:sz w:val="20"/>
                <w:szCs w:val="20"/>
              </w:rPr>
            </w:pPr>
          </w:p>
        </w:tc>
        <w:tc>
          <w:tcPr>
            <w:tcW w:w="555" w:type="pct"/>
            <w:tcBorders>
              <w:top w:val="single" w:sz="4" w:space="0" w:color="9C9D9F"/>
            </w:tcBorders>
            <w:vAlign w:val="center"/>
          </w:tcPr>
          <w:p w:rsidR="00587600" w:rsidRPr="005D16E5" w:rsidRDefault="00587600" w:rsidP="009372D3">
            <w:pPr>
              <w:ind w:right="96"/>
              <w:jc w:val="right"/>
              <w:rPr>
                <w:rFonts w:cs="Arial"/>
                <w:b/>
                <w:bCs/>
                <w:color w:val="000000"/>
                <w:sz w:val="20"/>
                <w:szCs w:val="20"/>
              </w:rPr>
            </w:pPr>
          </w:p>
        </w:tc>
        <w:tc>
          <w:tcPr>
            <w:tcW w:w="555" w:type="pct"/>
            <w:tcBorders>
              <w:top w:val="single" w:sz="4" w:space="0" w:color="9C9D9F"/>
            </w:tcBorders>
            <w:vAlign w:val="center"/>
          </w:tcPr>
          <w:p w:rsidR="00587600" w:rsidRPr="005D16E5" w:rsidRDefault="00587600" w:rsidP="009372D3">
            <w:pPr>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rsidR="00587600" w:rsidRPr="005D16E5" w:rsidRDefault="00587600" w:rsidP="009372D3">
            <w:pPr>
              <w:ind w:right="96"/>
              <w:jc w:val="right"/>
              <w:rPr>
                <w:rFonts w:cs="Arial"/>
                <w:b/>
                <w:bCs/>
                <w:color w:val="000000"/>
                <w:sz w:val="20"/>
                <w:szCs w:val="20"/>
              </w:rPr>
            </w:pPr>
          </w:p>
        </w:tc>
        <w:tc>
          <w:tcPr>
            <w:tcW w:w="609" w:type="pct"/>
            <w:tcBorders>
              <w:top w:val="single" w:sz="4" w:space="0" w:color="9C9D9F"/>
            </w:tcBorders>
            <w:vAlign w:val="center"/>
          </w:tcPr>
          <w:p w:rsidR="00587600" w:rsidRPr="005D16E5" w:rsidRDefault="00587600" w:rsidP="009372D3">
            <w:pPr>
              <w:ind w:right="94"/>
              <w:jc w:val="right"/>
              <w:rPr>
                <w:rFonts w:cs="Arial"/>
                <w:b/>
                <w:bCs/>
                <w:color w:val="000000"/>
                <w:sz w:val="20"/>
                <w:szCs w:val="20"/>
              </w:rPr>
            </w:pPr>
          </w:p>
        </w:tc>
      </w:tr>
      <w:tr w:rsidR="00587600" w:rsidRPr="005D16E5" w:rsidTr="00037DF3">
        <w:trPr>
          <w:trHeight w:hRule="exact" w:val="446"/>
        </w:trPr>
        <w:tc>
          <w:tcPr>
            <w:tcW w:w="906" w:type="pct"/>
            <w:shd w:val="clear" w:color="auto" w:fill="9C9D9F"/>
            <w:noWrap/>
            <w:vAlign w:val="center"/>
          </w:tcPr>
          <w:p w:rsidR="00587600" w:rsidRPr="005D16E5" w:rsidRDefault="00587600" w:rsidP="009372D3">
            <w:pPr>
              <w:ind w:right="144"/>
              <w:jc w:val="right"/>
              <w:rPr>
                <w:rFonts w:cs="Arial"/>
                <w:b/>
                <w:bCs/>
                <w:color w:val="000000"/>
                <w:sz w:val="20"/>
                <w:szCs w:val="20"/>
              </w:rPr>
            </w:pPr>
            <w:r w:rsidRPr="005D16E5">
              <w:rPr>
                <w:rFonts w:cs="Arial"/>
                <w:b/>
                <w:bCs/>
                <w:color w:val="000000"/>
                <w:sz w:val="20"/>
                <w:szCs w:val="20"/>
              </w:rPr>
              <w:t>k 3</w:t>
            </w:r>
            <w:r>
              <w:rPr>
                <w:rFonts w:cs="Arial"/>
                <w:b/>
                <w:bCs/>
                <w:color w:val="000000"/>
                <w:sz w:val="20"/>
                <w:szCs w:val="20"/>
              </w:rPr>
              <w:t>0</w:t>
            </w:r>
            <w:r w:rsidRPr="005D16E5">
              <w:rPr>
                <w:rFonts w:cs="Arial"/>
                <w:b/>
                <w:bCs/>
                <w:color w:val="000000"/>
                <w:sz w:val="20"/>
                <w:szCs w:val="20"/>
              </w:rPr>
              <w:t xml:space="preserve">. </w:t>
            </w:r>
            <w:r>
              <w:rPr>
                <w:rFonts w:cs="Arial"/>
                <w:b/>
                <w:bCs/>
                <w:color w:val="000000"/>
                <w:sz w:val="20"/>
                <w:szCs w:val="20"/>
              </w:rPr>
              <w:t xml:space="preserve">červnu </w:t>
            </w:r>
            <w:r w:rsidRPr="005D16E5">
              <w:rPr>
                <w:rFonts w:cs="Arial"/>
                <w:b/>
                <w:bCs/>
                <w:color w:val="000000"/>
                <w:sz w:val="20"/>
                <w:szCs w:val="20"/>
              </w:rPr>
              <w:t>2016</w:t>
            </w:r>
          </w:p>
        </w:tc>
        <w:tc>
          <w:tcPr>
            <w:tcW w:w="602" w:type="pct"/>
            <w:shd w:val="clear" w:color="auto" w:fill="9C9D9F"/>
            <w:noWrap/>
            <w:vAlign w:val="center"/>
          </w:tcPr>
          <w:p w:rsidR="00587600" w:rsidRPr="00673872" w:rsidRDefault="00587600" w:rsidP="009372D3">
            <w:pPr>
              <w:ind w:right="96"/>
              <w:jc w:val="right"/>
              <w:rPr>
                <w:rFonts w:cs="Arial"/>
                <w:b/>
                <w:iCs/>
                <w:color w:val="000000"/>
                <w:sz w:val="20"/>
                <w:szCs w:val="20"/>
              </w:rPr>
            </w:pPr>
            <w:r w:rsidRPr="00673872">
              <w:rPr>
                <w:rFonts w:cs="Arial"/>
                <w:b/>
                <w:iCs/>
                <w:color w:val="000000"/>
                <w:sz w:val="20"/>
                <w:szCs w:val="20"/>
              </w:rPr>
              <w:t>11 444</w:t>
            </w:r>
          </w:p>
        </w:tc>
        <w:tc>
          <w:tcPr>
            <w:tcW w:w="601" w:type="pct"/>
            <w:shd w:val="clear" w:color="auto" w:fill="9C9D9F"/>
            <w:vAlign w:val="center"/>
          </w:tcPr>
          <w:p w:rsidR="00587600" w:rsidRPr="00673872" w:rsidRDefault="00587600" w:rsidP="009372D3">
            <w:pPr>
              <w:ind w:right="96"/>
              <w:jc w:val="right"/>
              <w:rPr>
                <w:rFonts w:cs="Arial"/>
                <w:b/>
                <w:iCs/>
                <w:color w:val="000000"/>
                <w:sz w:val="20"/>
                <w:szCs w:val="20"/>
              </w:rPr>
            </w:pPr>
            <w:r w:rsidRPr="00673872">
              <w:rPr>
                <w:rFonts w:cs="Arial"/>
                <w:b/>
                <w:iCs/>
                <w:color w:val="000000"/>
                <w:sz w:val="20"/>
                <w:szCs w:val="20"/>
              </w:rPr>
              <w:t>9 451</w:t>
            </w:r>
          </w:p>
        </w:tc>
        <w:tc>
          <w:tcPr>
            <w:tcW w:w="555" w:type="pct"/>
            <w:shd w:val="clear" w:color="auto" w:fill="9C9D9F"/>
            <w:vAlign w:val="center"/>
          </w:tcPr>
          <w:p w:rsidR="00587600" w:rsidRPr="00673872" w:rsidRDefault="00587600" w:rsidP="009372D3">
            <w:pPr>
              <w:ind w:right="96"/>
              <w:jc w:val="right"/>
              <w:rPr>
                <w:rFonts w:cs="Arial"/>
                <w:b/>
                <w:bCs/>
                <w:color w:val="000000"/>
                <w:sz w:val="20"/>
                <w:szCs w:val="20"/>
              </w:rPr>
            </w:pPr>
            <w:r w:rsidRPr="00673872">
              <w:rPr>
                <w:rFonts w:cs="Arial"/>
                <w:b/>
                <w:bCs/>
                <w:color w:val="000000"/>
                <w:sz w:val="20"/>
                <w:szCs w:val="20"/>
              </w:rPr>
              <w:t>-13 672</w:t>
            </w:r>
          </w:p>
        </w:tc>
        <w:tc>
          <w:tcPr>
            <w:tcW w:w="555" w:type="pct"/>
            <w:shd w:val="clear" w:color="auto" w:fill="9C9D9F"/>
            <w:vAlign w:val="center"/>
          </w:tcPr>
          <w:p w:rsidR="00587600" w:rsidRPr="00673872" w:rsidRDefault="00587600" w:rsidP="009372D3">
            <w:pPr>
              <w:ind w:right="96"/>
              <w:jc w:val="right"/>
              <w:rPr>
                <w:rFonts w:cs="Arial"/>
                <w:b/>
                <w:bCs/>
                <w:color w:val="000000"/>
                <w:sz w:val="20"/>
                <w:szCs w:val="20"/>
              </w:rPr>
            </w:pPr>
            <w:r w:rsidRPr="00593942">
              <w:rPr>
                <w:rFonts w:cs="Arial"/>
                <w:b/>
                <w:bCs/>
                <w:color w:val="000000"/>
                <w:sz w:val="20"/>
                <w:szCs w:val="20"/>
              </w:rPr>
              <w:t>2 646</w:t>
            </w:r>
          </w:p>
        </w:tc>
        <w:tc>
          <w:tcPr>
            <w:tcW w:w="555" w:type="pct"/>
            <w:shd w:val="clear" w:color="auto" w:fill="9C9D9F"/>
            <w:vAlign w:val="center"/>
          </w:tcPr>
          <w:p w:rsidR="00587600" w:rsidRPr="00673872" w:rsidDel="002D1E65" w:rsidRDefault="00587600" w:rsidP="009372D3">
            <w:pPr>
              <w:ind w:right="96"/>
              <w:jc w:val="right"/>
              <w:rPr>
                <w:rFonts w:cs="Arial"/>
                <w:b/>
                <w:bCs/>
                <w:color w:val="000000"/>
                <w:sz w:val="20"/>
                <w:szCs w:val="20"/>
              </w:rPr>
            </w:pPr>
            <w:r w:rsidRPr="00673872">
              <w:rPr>
                <w:rFonts w:cs="Arial"/>
                <w:b/>
                <w:bCs/>
                <w:color w:val="000000"/>
                <w:sz w:val="20"/>
                <w:szCs w:val="20"/>
              </w:rPr>
              <w:t>-1 683</w:t>
            </w:r>
          </w:p>
        </w:tc>
        <w:tc>
          <w:tcPr>
            <w:tcW w:w="617" w:type="pct"/>
            <w:shd w:val="clear" w:color="auto" w:fill="9C9D9F"/>
            <w:noWrap/>
            <w:vAlign w:val="center"/>
          </w:tcPr>
          <w:p w:rsidR="00587600" w:rsidRPr="00673872" w:rsidRDefault="00587600">
            <w:pPr>
              <w:ind w:right="96"/>
              <w:jc w:val="right"/>
              <w:rPr>
                <w:rFonts w:cs="Arial"/>
                <w:b/>
                <w:bCs/>
                <w:color w:val="000000"/>
                <w:sz w:val="20"/>
                <w:szCs w:val="20"/>
              </w:rPr>
            </w:pPr>
            <w:r w:rsidRPr="00673872">
              <w:rPr>
                <w:rFonts w:cs="Arial"/>
                <w:b/>
                <w:bCs/>
                <w:color w:val="000000"/>
                <w:sz w:val="20"/>
                <w:szCs w:val="20"/>
              </w:rPr>
              <w:t xml:space="preserve">137 </w:t>
            </w:r>
            <w:r>
              <w:rPr>
                <w:rFonts w:cs="Arial"/>
                <w:b/>
                <w:bCs/>
                <w:color w:val="000000"/>
                <w:sz w:val="20"/>
                <w:szCs w:val="20"/>
              </w:rPr>
              <w:t>51</w:t>
            </w:r>
            <w:r w:rsidR="00A07FAB">
              <w:rPr>
                <w:rFonts w:cs="Arial"/>
                <w:b/>
                <w:bCs/>
                <w:color w:val="000000"/>
                <w:sz w:val="20"/>
                <w:szCs w:val="20"/>
              </w:rPr>
              <w:t>6</w:t>
            </w:r>
          </w:p>
        </w:tc>
        <w:tc>
          <w:tcPr>
            <w:tcW w:w="609" w:type="pct"/>
            <w:shd w:val="clear" w:color="auto" w:fill="9C9D9F"/>
            <w:vAlign w:val="center"/>
          </w:tcPr>
          <w:p w:rsidR="00587600" w:rsidRPr="00673872" w:rsidRDefault="00587600" w:rsidP="009372D3">
            <w:pPr>
              <w:ind w:right="94"/>
              <w:jc w:val="right"/>
              <w:rPr>
                <w:rFonts w:cs="Arial"/>
                <w:b/>
                <w:bCs/>
                <w:color w:val="000000"/>
                <w:sz w:val="20"/>
                <w:szCs w:val="20"/>
              </w:rPr>
            </w:pPr>
            <w:r w:rsidRPr="00673872">
              <w:rPr>
                <w:b/>
                <w:color w:val="000000"/>
                <w:sz w:val="20"/>
                <w:szCs w:val="20"/>
              </w:rPr>
              <w:t xml:space="preserve">145 </w:t>
            </w:r>
            <w:r>
              <w:rPr>
                <w:b/>
                <w:color w:val="000000"/>
                <w:sz w:val="20"/>
                <w:szCs w:val="20"/>
              </w:rPr>
              <w:t>703</w:t>
            </w:r>
          </w:p>
        </w:tc>
      </w:tr>
      <w:tr w:rsidR="00037DF3" w:rsidRPr="005D16E5" w:rsidTr="00037DF3">
        <w:trPr>
          <w:trHeight w:val="118"/>
        </w:trPr>
        <w:tc>
          <w:tcPr>
            <w:tcW w:w="906" w:type="pct"/>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617"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vAlign w:val="center"/>
          </w:tcPr>
          <w:p w:rsidR="00037DF3" w:rsidRPr="005D16E5" w:rsidRDefault="00037DF3" w:rsidP="00037DF3">
            <w:pPr>
              <w:ind w:right="94"/>
              <w:jc w:val="right"/>
              <w:rPr>
                <w:rFonts w:cs="Arial"/>
                <w:b/>
                <w:bCs/>
                <w:color w:val="000000"/>
                <w:sz w:val="20"/>
                <w:szCs w:val="20"/>
              </w:rPr>
            </w:pPr>
          </w:p>
        </w:tc>
      </w:tr>
      <w:tr w:rsidR="00037DF3" w:rsidRPr="005D16E5" w:rsidTr="00037DF3">
        <w:trPr>
          <w:trHeight w:val="443"/>
        </w:trPr>
        <w:tc>
          <w:tcPr>
            <w:tcW w:w="906" w:type="pct"/>
            <w:shd w:val="clear" w:color="auto" w:fill="9C9D9F"/>
            <w:noWrap/>
            <w:vAlign w:val="center"/>
          </w:tcPr>
          <w:p w:rsidR="00037DF3" w:rsidRPr="005D16E5" w:rsidRDefault="00037DF3" w:rsidP="00037DF3">
            <w:pPr>
              <w:ind w:right="144"/>
              <w:jc w:val="right"/>
              <w:rPr>
                <w:rFonts w:cs="Arial"/>
                <w:color w:val="000000"/>
                <w:sz w:val="20"/>
                <w:szCs w:val="20"/>
              </w:rPr>
            </w:pPr>
            <w:r w:rsidRPr="005D16E5">
              <w:rPr>
                <w:rFonts w:cs="Arial"/>
                <w:b/>
                <w:bCs/>
                <w:color w:val="000000"/>
                <w:sz w:val="20"/>
                <w:szCs w:val="20"/>
              </w:rPr>
              <w:t>k 1. lednu 201</w:t>
            </w:r>
            <w:r w:rsidR="00587600">
              <w:rPr>
                <w:rFonts w:cs="Arial"/>
                <w:b/>
                <w:bCs/>
                <w:color w:val="000000"/>
                <w:sz w:val="20"/>
                <w:szCs w:val="20"/>
              </w:rPr>
              <w:t>7</w:t>
            </w:r>
          </w:p>
        </w:tc>
        <w:tc>
          <w:tcPr>
            <w:tcW w:w="602" w:type="pct"/>
            <w:shd w:val="clear" w:color="auto" w:fill="9C9D9F"/>
            <w:noWrap/>
            <w:vAlign w:val="center"/>
          </w:tcPr>
          <w:p w:rsidR="00037DF3" w:rsidRPr="005D16E5" w:rsidRDefault="00587600" w:rsidP="00037DF3">
            <w:pPr>
              <w:ind w:right="96"/>
              <w:jc w:val="right"/>
              <w:rPr>
                <w:b/>
                <w:color w:val="000000"/>
                <w:sz w:val="20"/>
                <w:szCs w:val="20"/>
              </w:rPr>
            </w:pPr>
            <w:r>
              <w:rPr>
                <w:b/>
                <w:color w:val="000000"/>
                <w:sz w:val="20"/>
                <w:szCs w:val="20"/>
              </w:rPr>
              <w:t>11 444</w:t>
            </w:r>
          </w:p>
        </w:tc>
        <w:tc>
          <w:tcPr>
            <w:tcW w:w="601" w:type="pct"/>
            <w:shd w:val="clear" w:color="auto" w:fill="9C9D9F"/>
            <w:vAlign w:val="center"/>
          </w:tcPr>
          <w:p w:rsidR="00037DF3" w:rsidRPr="005D16E5" w:rsidRDefault="00587600" w:rsidP="00037DF3">
            <w:pPr>
              <w:ind w:right="96"/>
              <w:jc w:val="right"/>
              <w:rPr>
                <w:b/>
                <w:color w:val="000000"/>
                <w:sz w:val="20"/>
                <w:szCs w:val="20"/>
              </w:rPr>
            </w:pPr>
            <w:r>
              <w:rPr>
                <w:b/>
                <w:color w:val="000000"/>
                <w:sz w:val="20"/>
                <w:szCs w:val="20"/>
              </w:rPr>
              <w:t>1 999</w:t>
            </w:r>
          </w:p>
        </w:tc>
        <w:tc>
          <w:tcPr>
            <w:tcW w:w="555" w:type="pct"/>
            <w:shd w:val="clear" w:color="auto" w:fill="9C9D9F"/>
            <w:vAlign w:val="center"/>
          </w:tcPr>
          <w:p w:rsidR="00037DF3" w:rsidRPr="005D16E5" w:rsidRDefault="00587600" w:rsidP="00037DF3">
            <w:pPr>
              <w:ind w:right="96"/>
              <w:jc w:val="right"/>
              <w:rPr>
                <w:b/>
                <w:color w:val="000000"/>
                <w:sz w:val="20"/>
                <w:szCs w:val="20"/>
              </w:rPr>
            </w:pPr>
            <w:r>
              <w:rPr>
                <w:b/>
                <w:color w:val="000000"/>
                <w:sz w:val="20"/>
                <w:szCs w:val="20"/>
              </w:rPr>
              <w:t>-13 672</w:t>
            </w:r>
          </w:p>
        </w:tc>
        <w:tc>
          <w:tcPr>
            <w:tcW w:w="555" w:type="pct"/>
            <w:shd w:val="clear" w:color="auto" w:fill="9C9D9F"/>
            <w:vAlign w:val="center"/>
          </w:tcPr>
          <w:p w:rsidR="00037DF3" w:rsidRPr="005D16E5" w:rsidRDefault="00587600" w:rsidP="00037DF3">
            <w:pPr>
              <w:ind w:right="96"/>
              <w:jc w:val="right"/>
              <w:rPr>
                <w:b/>
                <w:color w:val="000000"/>
                <w:sz w:val="20"/>
                <w:szCs w:val="20"/>
              </w:rPr>
            </w:pPr>
            <w:r>
              <w:rPr>
                <w:b/>
                <w:color w:val="000000"/>
                <w:sz w:val="20"/>
                <w:szCs w:val="20"/>
              </w:rPr>
              <w:t>6 279</w:t>
            </w:r>
          </w:p>
        </w:tc>
        <w:tc>
          <w:tcPr>
            <w:tcW w:w="555" w:type="pct"/>
            <w:shd w:val="clear" w:color="auto" w:fill="9C9D9F"/>
            <w:vAlign w:val="center"/>
          </w:tcPr>
          <w:p w:rsidR="00037DF3" w:rsidRPr="005D16E5" w:rsidDel="002D1E65" w:rsidRDefault="00587600" w:rsidP="00037DF3">
            <w:pPr>
              <w:ind w:right="96"/>
              <w:jc w:val="right"/>
              <w:rPr>
                <w:b/>
                <w:color w:val="000000"/>
                <w:sz w:val="20"/>
                <w:szCs w:val="20"/>
              </w:rPr>
            </w:pPr>
            <w:r>
              <w:rPr>
                <w:b/>
                <w:color w:val="000000"/>
                <w:sz w:val="20"/>
                <w:szCs w:val="20"/>
              </w:rPr>
              <w:t>608</w:t>
            </w:r>
          </w:p>
        </w:tc>
        <w:tc>
          <w:tcPr>
            <w:tcW w:w="617" w:type="pct"/>
            <w:shd w:val="clear" w:color="auto" w:fill="9C9D9F"/>
            <w:noWrap/>
            <w:vAlign w:val="center"/>
          </w:tcPr>
          <w:p w:rsidR="00037DF3" w:rsidRPr="005D16E5" w:rsidRDefault="00587600" w:rsidP="00037DF3">
            <w:pPr>
              <w:ind w:right="96"/>
              <w:jc w:val="right"/>
              <w:rPr>
                <w:b/>
                <w:color w:val="000000"/>
                <w:sz w:val="20"/>
                <w:szCs w:val="20"/>
              </w:rPr>
            </w:pPr>
            <w:r>
              <w:rPr>
                <w:b/>
                <w:color w:val="000000"/>
                <w:sz w:val="20"/>
                <w:szCs w:val="20"/>
              </w:rPr>
              <w:t>152 077</w:t>
            </w:r>
          </w:p>
        </w:tc>
        <w:tc>
          <w:tcPr>
            <w:tcW w:w="609" w:type="pct"/>
            <w:shd w:val="clear" w:color="auto" w:fill="9C9D9F"/>
            <w:vAlign w:val="center"/>
          </w:tcPr>
          <w:p w:rsidR="00037DF3" w:rsidRPr="005D16E5" w:rsidRDefault="00587600" w:rsidP="00037DF3">
            <w:pPr>
              <w:ind w:right="94"/>
              <w:jc w:val="right"/>
              <w:rPr>
                <w:b/>
                <w:color w:val="000000"/>
                <w:sz w:val="20"/>
                <w:szCs w:val="20"/>
              </w:rPr>
            </w:pPr>
            <w:r>
              <w:rPr>
                <w:b/>
                <w:color w:val="000000"/>
                <w:sz w:val="20"/>
                <w:szCs w:val="20"/>
              </w:rPr>
              <w:t>158 735</w:t>
            </w:r>
          </w:p>
        </w:tc>
      </w:tr>
      <w:tr w:rsidR="00037DF3" w:rsidRPr="005D16E5" w:rsidTr="00037DF3">
        <w:trPr>
          <w:trHeight w:val="359"/>
        </w:trPr>
        <w:tc>
          <w:tcPr>
            <w:tcW w:w="906" w:type="pct"/>
            <w:tcBorders>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Distribuce</w:t>
            </w:r>
          </w:p>
        </w:tc>
        <w:tc>
          <w:tcPr>
            <w:tcW w:w="602" w:type="pct"/>
            <w:tcBorders>
              <w:bottom w:val="single" w:sz="4" w:space="0" w:color="9C9D9F"/>
            </w:tcBorders>
            <w:shd w:val="clear" w:color="auto" w:fill="auto"/>
            <w:noWrap/>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601" w:type="pct"/>
            <w:tcBorders>
              <w:bottom w:val="single" w:sz="4" w:space="0" w:color="9C9D9F"/>
            </w:tcBorders>
            <w:shd w:val="clear" w:color="auto" w:fill="auto"/>
            <w:vAlign w:val="center"/>
          </w:tcPr>
          <w:p w:rsidR="00037DF3" w:rsidRPr="005D16E5" w:rsidRDefault="00116D5B" w:rsidP="00037DF3">
            <w:pPr>
              <w:ind w:right="96"/>
              <w:jc w:val="right"/>
              <w:rPr>
                <w:rFonts w:cs="Arial"/>
                <w:iCs/>
                <w:color w:val="000000"/>
                <w:sz w:val="20"/>
                <w:szCs w:val="20"/>
              </w:rPr>
            </w:pPr>
            <w:r>
              <w:rPr>
                <w:rFonts w:cs="Arial"/>
                <w:iCs/>
                <w:color w:val="000000"/>
                <w:sz w:val="20"/>
                <w:szCs w:val="20"/>
              </w:rPr>
              <w:t>606</w:t>
            </w:r>
          </w:p>
        </w:tc>
        <w:tc>
          <w:tcPr>
            <w:tcW w:w="555" w:type="pct"/>
            <w:tcBorders>
              <w:bottom w:val="single" w:sz="4" w:space="0" w:color="9C9D9F"/>
            </w:tcBorders>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bottom w:val="single" w:sz="4" w:space="0" w:color="9C9D9F"/>
            </w:tcBorders>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bottom w:val="single" w:sz="4" w:space="0" w:color="9C9D9F"/>
            </w:tcBorders>
            <w:shd w:val="clear" w:color="auto" w:fill="auto"/>
            <w:vAlign w:val="center"/>
          </w:tcPr>
          <w:p w:rsidR="00037DF3" w:rsidRPr="005D16E5" w:rsidRDefault="00465C88" w:rsidP="00037DF3">
            <w:pPr>
              <w:ind w:right="96"/>
              <w:jc w:val="right"/>
              <w:rPr>
                <w:rFonts w:cs="Arial"/>
                <w:b/>
                <w:iCs/>
                <w:color w:val="000000"/>
                <w:sz w:val="20"/>
                <w:szCs w:val="20"/>
              </w:rPr>
            </w:pPr>
            <w:r>
              <w:rPr>
                <w:rFonts w:cs="Arial"/>
                <w:iCs/>
                <w:color w:val="000000"/>
                <w:sz w:val="20"/>
                <w:szCs w:val="20"/>
              </w:rPr>
              <w:t>--</w:t>
            </w:r>
          </w:p>
        </w:tc>
        <w:tc>
          <w:tcPr>
            <w:tcW w:w="617" w:type="pct"/>
            <w:tcBorders>
              <w:bottom w:val="single" w:sz="4" w:space="0" w:color="9C9D9F"/>
            </w:tcBorders>
            <w:shd w:val="clear" w:color="auto" w:fill="auto"/>
            <w:noWrap/>
            <w:vAlign w:val="center"/>
          </w:tcPr>
          <w:p w:rsidR="00037DF3" w:rsidRPr="005D16E5" w:rsidRDefault="001E4529" w:rsidP="00F27DB1">
            <w:pPr>
              <w:ind w:right="96"/>
              <w:jc w:val="right"/>
              <w:rPr>
                <w:rFonts w:cs="Arial"/>
                <w:iCs/>
                <w:color w:val="000000"/>
                <w:sz w:val="20"/>
                <w:szCs w:val="20"/>
              </w:rPr>
            </w:pPr>
            <w:r>
              <w:rPr>
                <w:rFonts w:cs="Arial"/>
                <w:iCs/>
                <w:color w:val="000000"/>
                <w:sz w:val="20"/>
                <w:szCs w:val="20"/>
              </w:rPr>
              <w:t>-11 998</w:t>
            </w:r>
          </w:p>
        </w:tc>
        <w:tc>
          <w:tcPr>
            <w:tcW w:w="609" w:type="pct"/>
            <w:tcBorders>
              <w:bottom w:val="single" w:sz="4" w:space="0" w:color="9C9D9F"/>
            </w:tcBorders>
            <w:shd w:val="clear" w:color="auto" w:fill="auto"/>
            <w:vAlign w:val="center"/>
          </w:tcPr>
          <w:p w:rsidR="00037DF3" w:rsidRPr="005D16E5" w:rsidRDefault="00465C88">
            <w:pPr>
              <w:ind w:right="94"/>
              <w:jc w:val="right"/>
              <w:rPr>
                <w:rFonts w:cs="Arial"/>
                <w:b/>
                <w:bCs/>
                <w:color w:val="000000"/>
                <w:sz w:val="20"/>
                <w:szCs w:val="20"/>
              </w:rPr>
            </w:pPr>
            <w:r>
              <w:rPr>
                <w:rFonts w:cs="Arial"/>
                <w:b/>
                <w:bCs/>
                <w:color w:val="000000"/>
                <w:sz w:val="20"/>
                <w:szCs w:val="20"/>
              </w:rPr>
              <w:t xml:space="preserve">-11 </w:t>
            </w:r>
            <w:r w:rsidR="00B51AD9">
              <w:rPr>
                <w:rFonts w:cs="Arial"/>
                <w:b/>
                <w:bCs/>
                <w:color w:val="000000"/>
                <w:sz w:val="20"/>
                <w:szCs w:val="20"/>
              </w:rPr>
              <w:t>392</w:t>
            </w:r>
          </w:p>
        </w:tc>
      </w:tr>
      <w:tr w:rsidR="00037DF3" w:rsidRPr="005D16E5" w:rsidTr="00037DF3">
        <w:trPr>
          <w:trHeight w:val="707"/>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1E4529" w:rsidP="0048429B">
            <w:pPr>
              <w:ind w:right="96"/>
              <w:jc w:val="right"/>
              <w:rPr>
                <w:rFonts w:cs="Arial"/>
                <w:iCs/>
                <w:color w:val="000000"/>
                <w:sz w:val="20"/>
                <w:szCs w:val="20"/>
              </w:rPr>
            </w:pPr>
            <w:r>
              <w:rPr>
                <w:rFonts w:cs="Arial"/>
                <w:iCs/>
                <w:color w:val="000000"/>
                <w:sz w:val="20"/>
                <w:szCs w:val="20"/>
              </w:rPr>
              <w:t>3</w:t>
            </w:r>
            <w:r w:rsidR="00B51AD9">
              <w:rPr>
                <w:rFonts w:cs="Arial"/>
                <w:iCs/>
                <w:color w:val="000000"/>
                <w:sz w:val="20"/>
                <w:szCs w:val="20"/>
              </w:rPr>
              <w:t> </w:t>
            </w:r>
            <w:r>
              <w:rPr>
                <w:rFonts w:cs="Arial"/>
                <w:iCs/>
                <w:color w:val="000000"/>
                <w:sz w:val="20"/>
                <w:szCs w:val="20"/>
              </w:rPr>
              <w:t>5</w:t>
            </w:r>
            <w:r w:rsidR="00B51AD9">
              <w:rPr>
                <w:rFonts w:cs="Arial"/>
                <w:iCs/>
                <w:color w:val="000000"/>
                <w:sz w:val="20"/>
                <w:szCs w:val="20"/>
              </w:rPr>
              <w:t>8</w:t>
            </w:r>
            <w:r w:rsidR="0048429B">
              <w:rPr>
                <w:rFonts w:cs="Arial"/>
                <w:iCs/>
                <w:color w:val="000000"/>
                <w:sz w:val="20"/>
                <w:szCs w:val="20"/>
              </w:rPr>
              <w:t>1</w:t>
            </w:r>
          </w:p>
        </w:tc>
        <w:tc>
          <w:tcPr>
            <w:tcW w:w="555" w:type="pct"/>
            <w:tcBorders>
              <w:top w:val="single" w:sz="4" w:space="0" w:color="9C9D9F"/>
              <w:bottom w:val="single" w:sz="4" w:space="0" w:color="9C9D9F"/>
            </w:tcBorders>
            <w:shd w:val="clear" w:color="auto" w:fill="auto"/>
            <w:vAlign w:val="center"/>
          </w:tcPr>
          <w:p w:rsidR="00037DF3" w:rsidRPr="005D16E5" w:rsidRDefault="001E4529" w:rsidP="00037DF3">
            <w:pPr>
              <w:ind w:right="96"/>
              <w:jc w:val="right"/>
              <w:rPr>
                <w:rFonts w:cs="Arial"/>
                <w:bCs/>
                <w:color w:val="000000"/>
                <w:sz w:val="20"/>
                <w:szCs w:val="20"/>
              </w:rPr>
            </w:pPr>
            <w:r>
              <w:rPr>
                <w:rFonts w:cs="Arial"/>
                <w:bCs/>
                <w:color w:val="000000"/>
                <w:sz w:val="20"/>
                <w:szCs w:val="20"/>
              </w:rPr>
              <w:t>725</w:t>
            </w:r>
          </w:p>
        </w:tc>
        <w:tc>
          <w:tcPr>
            <w:tcW w:w="617" w:type="pct"/>
            <w:tcBorders>
              <w:top w:val="single" w:sz="4" w:space="0" w:color="9C9D9F"/>
              <w:bottom w:val="single" w:sz="4" w:space="0" w:color="9C9D9F"/>
            </w:tcBorders>
            <w:shd w:val="clear" w:color="auto" w:fill="auto"/>
            <w:noWrap/>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rsidR="00037DF3" w:rsidRPr="005D16E5" w:rsidRDefault="00465C88" w:rsidP="0048429B">
            <w:pPr>
              <w:ind w:right="94"/>
              <w:jc w:val="right"/>
              <w:rPr>
                <w:rFonts w:cs="Arial"/>
                <w:b/>
                <w:bCs/>
                <w:color w:val="000000"/>
                <w:sz w:val="20"/>
                <w:szCs w:val="20"/>
              </w:rPr>
            </w:pPr>
            <w:r>
              <w:rPr>
                <w:rFonts w:cs="Arial"/>
                <w:b/>
                <w:bCs/>
                <w:color w:val="000000"/>
                <w:sz w:val="20"/>
                <w:szCs w:val="20"/>
              </w:rPr>
              <w:t>4 30</w:t>
            </w:r>
            <w:r w:rsidR="0048429B">
              <w:rPr>
                <w:rFonts w:cs="Arial"/>
                <w:b/>
                <w:bCs/>
                <w:color w:val="000000"/>
                <w:sz w:val="20"/>
                <w:szCs w:val="20"/>
              </w:rPr>
              <w:t>6</w:t>
            </w:r>
          </w:p>
        </w:tc>
      </w:tr>
      <w:tr w:rsidR="00037DF3" w:rsidRPr="005D16E5" w:rsidTr="00037DF3">
        <w:trPr>
          <w:trHeight w:val="751"/>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465C88" w:rsidP="00037DF3">
            <w:pPr>
              <w:ind w:right="96"/>
              <w:jc w:val="right"/>
              <w:rPr>
                <w:rFonts w:cs="Arial"/>
                <w:b/>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shd w:val="clear" w:color="auto" w:fill="auto"/>
            <w:vAlign w:val="center"/>
          </w:tcPr>
          <w:p w:rsidR="00037DF3" w:rsidRPr="005D16E5" w:rsidRDefault="00465C88" w:rsidP="00037DF3">
            <w:pPr>
              <w:ind w:right="96"/>
              <w:jc w:val="right"/>
              <w:rPr>
                <w:rFonts w:cs="Arial"/>
                <w:b/>
                <w:iCs/>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1E4529" w:rsidP="0048429B">
            <w:pPr>
              <w:ind w:right="96"/>
              <w:jc w:val="right"/>
              <w:rPr>
                <w:rFonts w:cs="Arial"/>
                <w:iCs/>
                <w:color w:val="000000"/>
                <w:sz w:val="20"/>
                <w:szCs w:val="20"/>
              </w:rPr>
            </w:pPr>
            <w:r>
              <w:rPr>
                <w:rFonts w:cs="Arial"/>
                <w:iCs/>
                <w:color w:val="000000"/>
                <w:sz w:val="20"/>
                <w:szCs w:val="20"/>
              </w:rPr>
              <w:t xml:space="preserve">4 </w:t>
            </w:r>
            <w:r w:rsidR="0048429B">
              <w:rPr>
                <w:rFonts w:cs="Arial"/>
                <w:iCs/>
                <w:color w:val="000000"/>
                <w:sz w:val="20"/>
                <w:szCs w:val="20"/>
              </w:rPr>
              <w:t>458</w:t>
            </w:r>
          </w:p>
        </w:tc>
        <w:tc>
          <w:tcPr>
            <w:tcW w:w="609" w:type="pct"/>
            <w:tcBorders>
              <w:top w:val="single" w:sz="4" w:space="0" w:color="9C9D9F"/>
              <w:bottom w:val="single" w:sz="4" w:space="0" w:color="9C9D9F"/>
            </w:tcBorders>
            <w:shd w:val="clear" w:color="auto" w:fill="auto"/>
            <w:vAlign w:val="center"/>
          </w:tcPr>
          <w:p w:rsidR="00037DF3" w:rsidRPr="005D16E5" w:rsidRDefault="00B51AD9" w:rsidP="0048429B">
            <w:pPr>
              <w:ind w:right="94"/>
              <w:jc w:val="right"/>
              <w:rPr>
                <w:rFonts w:cs="Arial"/>
                <w:b/>
                <w:bCs/>
                <w:color w:val="000000"/>
                <w:sz w:val="20"/>
                <w:szCs w:val="20"/>
              </w:rPr>
            </w:pPr>
            <w:r>
              <w:rPr>
                <w:rFonts w:cs="Arial"/>
                <w:b/>
                <w:bCs/>
                <w:color w:val="000000"/>
                <w:sz w:val="20"/>
                <w:szCs w:val="20"/>
              </w:rPr>
              <w:t xml:space="preserve">4 </w:t>
            </w:r>
            <w:r w:rsidR="0048429B">
              <w:rPr>
                <w:rFonts w:cs="Arial"/>
                <w:b/>
                <w:bCs/>
                <w:color w:val="000000"/>
                <w:sz w:val="20"/>
                <w:szCs w:val="20"/>
              </w:rPr>
              <w:t>458</w:t>
            </w:r>
          </w:p>
        </w:tc>
      </w:tr>
      <w:tr w:rsidR="00465C88" w:rsidRPr="005D16E5" w:rsidTr="00B51AD9">
        <w:trPr>
          <w:trHeight w:hRule="exact" w:val="1004"/>
        </w:trPr>
        <w:tc>
          <w:tcPr>
            <w:tcW w:w="906" w:type="pct"/>
            <w:tcBorders>
              <w:top w:val="single" w:sz="4" w:space="0" w:color="9C9D9F"/>
              <w:bottom w:val="single" w:sz="4" w:space="0" w:color="9C9D9F"/>
            </w:tcBorders>
            <w:shd w:val="clear" w:color="auto" w:fill="auto"/>
            <w:noWrap/>
            <w:vAlign w:val="center"/>
          </w:tcPr>
          <w:p w:rsidR="00465C88" w:rsidRPr="005D16E5" w:rsidRDefault="00465C88" w:rsidP="00B51AD9">
            <w:pPr>
              <w:ind w:right="144"/>
              <w:jc w:val="right"/>
              <w:rPr>
                <w:rFonts w:cs="Arial"/>
                <w:color w:val="000000"/>
                <w:sz w:val="20"/>
                <w:szCs w:val="20"/>
              </w:rPr>
            </w:pPr>
            <w:r>
              <w:rPr>
                <w:rFonts w:cs="Arial"/>
                <w:color w:val="000000"/>
                <w:sz w:val="20"/>
                <w:szCs w:val="20"/>
              </w:rPr>
              <w:t>Nabytí vlastních akcií</w:t>
            </w:r>
          </w:p>
        </w:tc>
        <w:tc>
          <w:tcPr>
            <w:tcW w:w="602" w:type="pct"/>
            <w:tcBorders>
              <w:top w:val="single" w:sz="4" w:space="0" w:color="9C9D9F"/>
              <w:bottom w:val="single" w:sz="4" w:space="0" w:color="9C9D9F"/>
            </w:tcBorders>
            <w:shd w:val="clear" w:color="auto" w:fill="auto"/>
            <w:noWrap/>
            <w:vAlign w:val="center"/>
          </w:tcPr>
          <w:p w:rsidR="00465C88" w:rsidRPr="005D16E5" w:rsidRDefault="00465C88" w:rsidP="00B51AD9">
            <w:pPr>
              <w:ind w:right="96"/>
              <w:jc w:val="right"/>
              <w:rPr>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vAlign w:val="center"/>
          </w:tcPr>
          <w:p w:rsidR="00465C88" w:rsidRPr="005D16E5" w:rsidRDefault="00465C88" w:rsidP="00B51AD9">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465C88" w:rsidRPr="005D16E5" w:rsidRDefault="00465C88" w:rsidP="00202C43">
            <w:pPr>
              <w:ind w:right="96"/>
              <w:jc w:val="right"/>
              <w:rPr>
                <w:color w:val="000000"/>
                <w:sz w:val="20"/>
                <w:szCs w:val="20"/>
              </w:rPr>
            </w:pPr>
            <w:r>
              <w:rPr>
                <w:color w:val="000000"/>
                <w:sz w:val="20"/>
                <w:szCs w:val="20"/>
              </w:rPr>
              <w:t>-120</w:t>
            </w:r>
          </w:p>
        </w:tc>
        <w:tc>
          <w:tcPr>
            <w:tcW w:w="555" w:type="pct"/>
            <w:tcBorders>
              <w:top w:val="single" w:sz="4" w:space="0" w:color="9C9D9F"/>
              <w:bottom w:val="single" w:sz="4" w:space="0" w:color="9C9D9F"/>
            </w:tcBorders>
            <w:vAlign w:val="center"/>
          </w:tcPr>
          <w:p w:rsidR="00465C88" w:rsidRPr="005D16E5" w:rsidRDefault="00465C88" w:rsidP="00B51AD9">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465C88" w:rsidRPr="005D16E5" w:rsidRDefault="00465C88" w:rsidP="00B51AD9">
            <w:pPr>
              <w:ind w:right="96"/>
              <w:jc w:val="right"/>
              <w:rPr>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465C88" w:rsidRPr="005D16E5" w:rsidRDefault="00465C88" w:rsidP="00B51AD9">
            <w:pPr>
              <w:ind w:right="96"/>
              <w:jc w:val="right"/>
              <w:rPr>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vAlign w:val="center"/>
          </w:tcPr>
          <w:p w:rsidR="00465C88" w:rsidRPr="005D16E5" w:rsidRDefault="00465C88" w:rsidP="00B51AD9">
            <w:pPr>
              <w:ind w:right="94"/>
              <w:jc w:val="right"/>
              <w:rPr>
                <w:b/>
                <w:color w:val="000000"/>
                <w:sz w:val="20"/>
                <w:szCs w:val="20"/>
              </w:rPr>
            </w:pPr>
            <w:r>
              <w:rPr>
                <w:b/>
                <w:color w:val="000000"/>
                <w:sz w:val="20"/>
                <w:szCs w:val="20"/>
              </w:rPr>
              <w:t>-120</w:t>
            </w:r>
          </w:p>
        </w:tc>
      </w:tr>
      <w:tr w:rsidR="00037DF3" w:rsidRPr="005D16E5" w:rsidTr="00037DF3">
        <w:trPr>
          <w:trHeight w:val="625"/>
        </w:trPr>
        <w:tc>
          <w:tcPr>
            <w:tcW w:w="906" w:type="pct"/>
            <w:tcBorders>
              <w:top w:val="single" w:sz="4" w:space="0" w:color="9C9D9F"/>
              <w:bottom w:val="single" w:sz="4" w:space="0" w:color="9C9D9F"/>
            </w:tcBorders>
            <w:shd w:val="clear" w:color="auto" w:fill="auto"/>
            <w:noWrap/>
            <w:vAlign w:val="center"/>
          </w:tcPr>
          <w:p w:rsidR="00037DF3" w:rsidRPr="005D16E5" w:rsidRDefault="00465C88" w:rsidP="00037DF3">
            <w:pPr>
              <w:ind w:right="144"/>
              <w:jc w:val="right"/>
              <w:rPr>
                <w:rFonts w:cs="Arial"/>
                <w:color w:val="000000"/>
                <w:sz w:val="20"/>
                <w:szCs w:val="20"/>
              </w:rPr>
            </w:pPr>
            <w:r>
              <w:rPr>
                <w:rFonts w:cs="Arial"/>
                <w:color w:val="000000"/>
                <w:sz w:val="20"/>
                <w:szCs w:val="20"/>
              </w:rPr>
              <w:t>Snížení kapitálu o vlastní akcie</w:t>
            </w:r>
          </w:p>
        </w:tc>
        <w:tc>
          <w:tcPr>
            <w:tcW w:w="602" w:type="pct"/>
            <w:tcBorders>
              <w:top w:val="single" w:sz="4" w:space="0" w:color="9C9D9F"/>
              <w:bottom w:val="single" w:sz="4" w:space="0" w:color="9C9D9F"/>
            </w:tcBorders>
            <w:shd w:val="clear" w:color="auto" w:fill="auto"/>
            <w:noWrap/>
            <w:vAlign w:val="center"/>
          </w:tcPr>
          <w:p w:rsidR="00037DF3" w:rsidRPr="005D16E5" w:rsidRDefault="001E4529" w:rsidP="00037DF3">
            <w:pPr>
              <w:ind w:right="96"/>
              <w:jc w:val="right"/>
              <w:rPr>
                <w:color w:val="000000"/>
                <w:sz w:val="20"/>
                <w:szCs w:val="20"/>
              </w:rPr>
            </w:pPr>
            <w:r>
              <w:rPr>
                <w:color w:val="000000"/>
                <w:sz w:val="20"/>
                <w:szCs w:val="20"/>
              </w:rPr>
              <w:t>-577</w:t>
            </w:r>
          </w:p>
        </w:tc>
        <w:tc>
          <w:tcPr>
            <w:tcW w:w="601" w:type="pct"/>
            <w:tcBorders>
              <w:top w:val="single" w:sz="4" w:space="0" w:color="9C9D9F"/>
              <w:bottom w:val="single" w:sz="4" w:space="0" w:color="9C9D9F"/>
            </w:tcBorders>
            <w:shd w:val="clear" w:color="auto" w:fill="auto"/>
            <w:vAlign w:val="center"/>
          </w:tcPr>
          <w:p w:rsidR="00037DF3" w:rsidRPr="005D16E5" w:rsidRDefault="00116D5B" w:rsidP="00037DF3">
            <w:pPr>
              <w:ind w:right="96"/>
              <w:jc w:val="right"/>
              <w:rPr>
                <w:color w:val="000000"/>
                <w:sz w:val="20"/>
                <w:szCs w:val="20"/>
              </w:rPr>
            </w:pPr>
            <w:r>
              <w:rPr>
                <w:color w:val="000000"/>
                <w:sz w:val="20"/>
                <w:szCs w:val="20"/>
              </w:rPr>
              <w:t>577</w:t>
            </w:r>
          </w:p>
        </w:tc>
        <w:tc>
          <w:tcPr>
            <w:tcW w:w="555" w:type="pct"/>
            <w:tcBorders>
              <w:top w:val="single" w:sz="4" w:space="0" w:color="9C9D9F"/>
              <w:bottom w:val="single" w:sz="4" w:space="0" w:color="9C9D9F"/>
            </w:tcBorders>
            <w:vAlign w:val="center"/>
          </w:tcPr>
          <w:p w:rsidR="00037DF3" w:rsidRPr="005D16E5" w:rsidRDefault="001E4529" w:rsidP="00202C43">
            <w:pPr>
              <w:ind w:right="96"/>
              <w:jc w:val="right"/>
              <w:rPr>
                <w:color w:val="000000"/>
                <w:sz w:val="20"/>
                <w:szCs w:val="20"/>
              </w:rPr>
            </w:pPr>
            <w:r>
              <w:rPr>
                <w:color w:val="000000"/>
                <w:sz w:val="20"/>
                <w:szCs w:val="20"/>
              </w:rPr>
              <w:t>13</w:t>
            </w:r>
            <w:r w:rsidR="00465C88">
              <w:rPr>
                <w:color w:val="000000"/>
                <w:sz w:val="20"/>
                <w:szCs w:val="20"/>
              </w:rPr>
              <w:t> 79</w:t>
            </w:r>
            <w:r>
              <w:rPr>
                <w:color w:val="000000"/>
                <w:sz w:val="20"/>
                <w:szCs w:val="20"/>
              </w:rPr>
              <w:t>2</w:t>
            </w:r>
          </w:p>
        </w:tc>
        <w:tc>
          <w:tcPr>
            <w:tcW w:w="555" w:type="pct"/>
            <w:tcBorders>
              <w:top w:val="single" w:sz="4" w:space="0" w:color="9C9D9F"/>
              <w:bottom w:val="single" w:sz="4" w:space="0" w:color="9C9D9F"/>
            </w:tcBorders>
            <w:vAlign w:val="center"/>
          </w:tcPr>
          <w:p w:rsidR="00037DF3" w:rsidRPr="005D16E5" w:rsidRDefault="00465C88" w:rsidP="00037DF3">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shd w:val="clear" w:color="auto" w:fill="auto"/>
            <w:vAlign w:val="center"/>
          </w:tcPr>
          <w:p w:rsidR="00037DF3" w:rsidRPr="005D16E5" w:rsidRDefault="00465C88" w:rsidP="00037DF3">
            <w:pPr>
              <w:ind w:right="96"/>
              <w:jc w:val="right"/>
              <w:rPr>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116D5B" w:rsidP="00202C43">
            <w:pPr>
              <w:ind w:right="96"/>
              <w:jc w:val="right"/>
              <w:rPr>
                <w:color w:val="000000"/>
                <w:sz w:val="20"/>
                <w:szCs w:val="20"/>
              </w:rPr>
            </w:pPr>
            <w:r>
              <w:rPr>
                <w:color w:val="000000"/>
                <w:sz w:val="20"/>
                <w:szCs w:val="20"/>
              </w:rPr>
              <w:t>-13</w:t>
            </w:r>
            <w:r w:rsidR="00465C88">
              <w:rPr>
                <w:color w:val="000000"/>
                <w:sz w:val="20"/>
                <w:szCs w:val="20"/>
              </w:rPr>
              <w:t> </w:t>
            </w:r>
            <w:r>
              <w:rPr>
                <w:color w:val="000000"/>
                <w:sz w:val="20"/>
                <w:szCs w:val="20"/>
              </w:rPr>
              <w:t>7</w:t>
            </w:r>
            <w:r w:rsidR="00465C88">
              <w:rPr>
                <w:color w:val="000000"/>
                <w:sz w:val="20"/>
                <w:szCs w:val="20"/>
              </w:rPr>
              <w:t>9</w:t>
            </w:r>
            <w:r>
              <w:rPr>
                <w:color w:val="000000"/>
                <w:sz w:val="20"/>
                <w:szCs w:val="20"/>
              </w:rPr>
              <w:t>2</w:t>
            </w:r>
          </w:p>
        </w:tc>
        <w:tc>
          <w:tcPr>
            <w:tcW w:w="609" w:type="pct"/>
            <w:tcBorders>
              <w:top w:val="single" w:sz="4" w:space="0" w:color="9C9D9F"/>
              <w:bottom w:val="single" w:sz="4" w:space="0" w:color="9C9D9F"/>
            </w:tcBorders>
            <w:shd w:val="clear" w:color="auto" w:fill="auto"/>
            <w:vAlign w:val="center"/>
          </w:tcPr>
          <w:p w:rsidR="00037DF3" w:rsidRPr="005D16E5" w:rsidRDefault="00465C88" w:rsidP="00037DF3">
            <w:pPr>
              <w:ind w:right="94"/>
              <w:jc w:val="right"/>
              <w:rPr>
                <w:b/>
                <w:color w:val="000000"/>
                <w:sz w:val="20"/>
                <w:szCs w:val="20"/>
              </w:rPr>
            </w:pPr>
            <w:r>
              <w:rPr>
                <w:b/>
                <w:color w:val="000000"/>
                <w:sz w:val="20"/>
                <w:szCs w:val="20"/>
              </w:rPr>
              <w:t>0</w:t>
            </w:r>
          </w:p>
        </w:tc>
      </w:tr>
      <w:tr w:rsidR="00037DF3" w:rsidRPr="005D16E5" w:rsidTr="00037DF3">
        <w:trPr>
          <w:trHeight w:val="118"/>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color w:val="000000"/>
                <w:sz w:val="20"/>
                <w:szCs w:val="20"/>
              </w:rPr>
            </w:pPr>
            <w:r w:rsidRPr="005D16E5">
              <w:rPr>
                <w:rFonts w:cs="Arial"/>
                <w:color w:val="000000"/>
                <w:sz w:val="20"/>
                <w:szCs w:val="20"/>
              </w:rPr>
              <w:t>Zákonný rezervní fond tvořený ze zisku</w:t>
            </w:r>
          </w:p>
        </w:tc>
        <w:tc>
          <w:tcPr>
            <w:tcW w:w="602" w:type="pct"/>
            <w:tcBorders>
              <w:top w:val="single" w:sz="4" w:space="0" w:color="9C9D9F"/>
              <w:bottom w:val="single" w:sz="4" w:space="0" w:color="9C9D9F"/>
            </w:tcBorders>
            <w:shd w:val="clear" w:color="auto" w:fill="auto"/>
            <w:noWrap/>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465C88" w:rsidP="00037DF3">
            <w:pPr>
              <w:ind w:right="96"/>
              <w:jc w:val="right"/>
              <w:rPr>
                <w:rFonts w:cs="Arial"/>
                <w:b/>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shd w:val="clear" w:color="auto" w:fill="auto"/>
            <w:vAlign w:val="center"/>
          </w:tcPr>
          <w:p w:rsidR="00037DF3" w:rsidRPr="005D16E5" w:rsidRDefault="00465C88" w:rsidP="00037DF3">
            <w:pPr>
              <w:ind w:right="96"/>
              <w:jc w:val="right"/>
              <w:rPr>
                <w:rFonts w:cs="Arial"/>
                <w:b/>
                <w:iCs/>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465C88" w:rsidP="00037DF3">
            <w:pPr>
              <w:ind w:right="96"/>
              <w:jc w:val="right"/>
              <w:rPr>
                <w:rFonts w:cs="Arial"/>
                <w:iCs/>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rsidR="00037DF3" w:rsidRPr="005D16E5" w:rsidRDefault="00465C88" w:rsidP="00037DF3">
            <w:pPr>
              <w:ind w:right="94"/>
              <w:jc w:val="right"/>
              <w:rPr>
                <w:rFonts w:cs="Arial"/>
                <w:b/>
                <w:bCs/>
                <w:color w:val="000000"/>
                <w:sz w:val="20"/>
                <w:szCs w:val="20"/>
              </w:rPr>
            </w:pPr>
            <w:r>
              <w:rPr>
                <w:rFonts w:cs="Arial"/>
                <w:b/>
                <w:bCs/>
                <w:color w:val="000000"/>
                <w:sz w:val="20"/>
                <w:szCs w:val="20"/>
              </w:rPr>
              <w:t>0</w:t>
            </w:r>
          </w:p>
        </w:tc>
      </w:tr>
      <w:tr w:rsidR="00037DF3" w:rsidRPr="005D16E5" w:rsidTr="00037DF3">
        <w:trPr>
          <w:trHeight w:val="118"/>
        </w:trPr>
        <w:tc>
          <w:tcPr>
            <w:tcW w:w="906" w:type="pct"/>
            <w:tcBorders>
              <w:top w:val="single" w:sz="4" w:space="0" w:color="9C9D9F"/>
            </w:tcBorders>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tcBorders>
              <w:top w:val="single" w:sz="4" w:space="0" w:color="9C9D9F"/>
            </w:tcBorders>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tcBorders>
              <w:top w:val="single" w:sz="4" w:space="0" w:color="9C9D9F"/>
            </w:tcBorders>
            <w:shd w:val="clear" w:color="auto" w:fill="auto"/>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shd w:val="clear" w:color="auto" w:fill="auto"/>
            <w:vAlign w:val="center"/>
          </w:tcPr>
          <w:p w:rsidR="00037DF3" w:rsidRPr="005D16E5" w:rsidRDefault="00037DF3" w:rsidP="00037DF3">
            <w:pPr>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tcBorders>
              <w:top w:val="single" w:sz="4" w:space="0" w:color="9C9D9F"/>
            </w:tcBorders>
            <w:shd w:val="clear" w:color="auto" w:fill="auto"/>
            <w:vAlign w:val="center"/>
          </w:tcPr>
          <w:p w:rsidR="00037DF3" w:rsidRPr="005D16E5" w:rsidRDefault="00037DF3" w:rsidP="00037DF3">
            <w:pPr>
              <w:ind w:right="94"/>
              <w:jc w:val="right"/>
              <w:rPr>
                <w:rFonts w:cs="Arial"/>
                <w:b/>
                <w:bCs/>
                <w:color w:val="000000"/>
                <w:sz w:val="20"/>
                <w:szCs w:val="20"/>
              </w:rPr>
            </w:pPr>
          </w:p>
        </w:tc>
      </w:tr>
      <w:tr w:rsidR="00037DF3" w:rsidRPr="005D16E5" w:rsidTr="00037DF3">
        <w:trPr>
          <w:trHeight w:val="464"/>
        </w:trPr>
        <w:tc>
          <w:tcPr>
            <w:tcW w:w="906" w:type="pct"/>
            <w:shd w:val="clear" w:color="auto" w:fill="9C9D9F"/>
            <w:noWrap/>
            <w:vAlign w:val="center"/>
          </w:tcPr>
          <w:p w:rsidR="00037DF3" w:rsidRPr="005D16E5" w:rsidRDefault="00037DF3" w:rsidP="00587600">
            <w:pPr>
              <w:ind w:right="144"/>
              <w:jc w:val="right"/>
              <w:rPr>
                <w:rFonts w:cs="Arial"/>
                <w:b/>
                <w:bCs/>
                <w:color w:val="000000"/>
                <w:sz w:val="20"/>
                <w:szCs w:val="20"/>
              </w:rPr>
            </w:pPr>
            <w:r w:rsidRPr="005D16E5">
              <w:rPr>
                <w:rFonts w:cs="Arial"/>
                <w:b/>
                <w:bCs/>
                <w:color w:val="000000"/>
                <w:sz w:val="20"/>
                <w:szCs w:val="20"/>
              </w:rPr>
              <w:t>k 3</w:t>
            </w:r>
            <w:r w:rsidR="00843428">
              <w:rPr>
                <w:rFonts w:cs="Arial"/>
                <w:b/>
                <w:bCs/>
                <w:color w:val="000000"/>
                <w:sz w:val="20"/>
                <w:szCs w:val="20"/>
              </w:rPr>
              <w:t>0</w:t>
            </w:r>
            <w:r w:rsidRPr="005D16E5">
              <w:rPr>
                <w:rFonts w:cs="Arial"/>
                <w:b/>
                <w:bCs/>
                <w:color w:val="000000"/>
                <w:sz w:val="20"/>
                <w:szCs w:val="20"/>
              </w:rPr>
              <w:t xml:space="preserve">. </w:t>
            </w:r>
            <w:r w:rsidR="00843428">
              <w:rPr>
                <w:rFonts w:cs="Arial"/>
                <w:b/>
                <w:bCs/>
                <w:color w:val="000000"/>
                <w:sz w:val="20"/>
                <w:szCs w:val="20"/>
              </w:rPr>
              <w:t xml:space="preserve">červnu </w:t>
            </w:r>
            <w:r w:rsidRPr="005D16E5">
              <w:rPr>
                <w:rFonts w:cs="Arial"/>
                <w:b/>
                <w:bCs/>
                <w:color w:val="000000"/>
                <w:sz w:val="20"/>
                <w:szCs w:val="20"/>
              </w:rPr>
              <w:t>201</w:t>
            </w:r>
            <w:r w:rsidR="00587600">
              <w:rPr>
                <w:rFonts w:cs="Arial"/>
                <w:b/>
                <w:bCs/>
                <w:color w:val="000000"/>
                <w:sz w:val="20"/>
                <w:szCs w:val="20"/>
              </w:rPr>
              <w:t>7</w:t>
            </w:r>
          </w:p>
        </w:tc>
        <w:tc>
          <w:tcPr>
            <w:tcW w:w="602" w:type="pct"/>
            <w:shd w:val="clear" w:color="auto" w:fill="9C9D9F"/>
            <w:noWrap/>
            <w:vAlign w:val="center"/>
          </w:tcPr>
          <w:p w:rsidR="00037DF3" w:rsidRPr="00673872" w:rsidRDefault="001E4529" w:rsidP="00037DF3">
            <w:pPr>
              <w:ind w:right="96"/>
              <w:jc w:val="right"/>
              <w:rPr>
                <w:rFonts w:cs="Arial"/>
                <w:b/>
                <w:iCs/>
                <w:color w:val="000000"/>
                <w:sz w:val="20"/>
                <w:szCs w:val="20"/>
              </w:rPr>
            </w:pPr>
            <w:r>
              <w:rPr>
                <w:rFonts w:cs="Arial"/>
                <w:b/>
                <w:iCs/>
                <w:color w:val="000000"/>
                <w:sz w:val="20"/>
                <w:szCs w:val="20"/>
              </w:rPr>
              <w:t>10 867</w:t>
            </w:r>
          </w:p>
        </w:tc>
        <w:tc>
          <w:tcPr>
            <w:tcW w:w="601" w:type="pct"/>
            <w:shd w:val="clear" w:color="auto" w:fill="9C9D9F"/>
            <w:vAlign w:val="center"/>
          </w:tcPr>
          <w:p w:rsidR="00037DF3" w:rsidRPr="00673872" w:rsidRDefault="001E4529" w:rsidP="00037DF3">
            <w:pPr>
              <w:ind w:right="96"/>
              <w:jc w:val="right"/>
              <w:rPr>
                <w:rFonts w:cs="Arial"/>
                <w:b/>
                <w:iCs/>
                <w:color w:val="000000"/>
                <w:sz w:val="20"/>
                <w:szCs w:val="20"/>
              </w:rPr>
            </w:pPr>
            <w:r>
              <w:rPr>
                <w:rFonts w:cs="Arial"/>
                <w:b/>
                <w:iCs/>
                <w:color w:val="000000"/>
                <w:sz w:val="20"/>
                <w:szCs w:val="20"/>
              </w:rPr>
              <w:t>3 182</w:t>
            </w:r>
          </w:p>
        </w:tc>
        <w:tc>
          <w:tcPr>
            <w:tcW w:w="555" w:type="pct"/>
            <w:shd w:val="clear" w:color="auto" w:fill="9C9D9F"/>
            <w:vAlign w:val="center"/>
          </w:tcPr>
          <w:p w:rsidR="00037DF3" w:rsidRPr="00673872" w:rsidRDefault="001E4529" w:rsidP="00037DF3">
            <w:pPr>
              <w:ind w:right="96"/>
              <w:jc w:val="right"/>
              <w:rPr>
                <w:rFonts w:cs="Arial"/>
                <w:b/>
                <w:bCs/>
                <w:color w:val="000000"/>
                <w:sz w:val="20"/>
                <w:szCs w:val="20"/>
              </w:rPr>
            </w:pPr>
            <w:r>
              <w:rPr>
                <w:rFonts w:cs="Arial"/>
                <w:b/>
                <w:bCs/>
                <w:color w:val="000000"/>
                <w:sz w:val="20"/>
                <w:szCs w:val="20"/>
              </w:rPr>
              <w:t>0</w:t>
            </w:r>
          </w:p>
        </w:tc>
        <w:tc>
          <w:tcPr>
            <w:tcW w:w="555" w:type="pct"/>
            <w:shd w:val="clear" w:color="auto" w:fill="9C9D9F"/>
            <w:vAlign w:val="center"/>
          </w:tcPr>
          <w:p w:rsidR="00037DF3" w:rsidRPr="00673872" w:rsidRDefault="001E4529" w:rsidP="0048429B">
            <w:pPr>
              <w:ind w:right="96"/>
              <w:jc w:val="right"/>
              <w:rPr>
                <w:rFonts w:cs="Arial"/>
                <w:b/>
                <w:bCs/>
                <w:color w:val="000000"/>
                <w:sz w:val="20"/>
                <w:szCs w:val="20"/>
              </w:rPr>
            </w:pPr>
            <w:r>
              <w:rPr>
                <w:rFonts w:cs="Arial"/>
                <w:b/>
                <w:bCs/>
                <w:color w:val="000000"/>
                <w:sz w:val="20"/>
                <w:szCs w:val="20"/>
              </w:rPr>
              <w:t>9</w:t>
            </w:r>
            <w:r w:rsidR="00B51AD9">
              <w:rPr>
                <w:rFonts w:cs="Arial"/>
                <w:b/>
                <w:bCs/>
                <w:color w:val="000000"/>
                <w:sz w:val="20"/>
                <w:szCs w:val="20"/>
              </w:rPr>
              <w:t> </w:t>
            </w:r>
            <w:r>
              <w:rPr>
                <w:rFonts w:cs="Arial"/>
                <w:b/>
                <w:bCs/>
                <w:color w:val="000000"/>
                <w:sz w:val="20"/>
                <w:szCs w:val="20"/>
              </w:rPr>
              <w:t>8</w:t>
            </w:r>
            <w:r w:rsidR="00B51AD9">
              <w:rPr>
                <w:rFonts w:cs="Arial"/>
                <w:b/>
                <w:bCs/>
                <w:color w:val="000000"/>
                <w:sz w:val="20"/>
                <w:szCs w:val="20"/>
              </w:rPr>
              <w:t>6</w:t>
            </w:r>
            <w:r w:rsidR="0048429B">
              <w:rPr>
                <w:rFonts w:cs="Arial"/>
                <w:b/>
                <w:bCs/>
                <w:color w:val="000000"/>
                <w:sz w:val="20"/>
                <w:szCs w:val="20"/>
              </w:rPr>
              <w:t>0</w:t>
            </w:r>
          </w:p>
        </w:tc>
        <w:tc>
          <w:tcPr>
            <w:tcW w:w="555" w:type="pct"/>
            <w:shd w:val="clear" w:color="auto" w:fill="9C9D9F"/>
            <w:vAlign w:val="center"/>
          </w:tcPr>
          <w:p w:rsidR="00037DF3" w:rsidRPr="00673872" w:rsidDel="002D1E65" w:rsidRDefault="001E4529" w:rsidP="00037DF3">
            <w:pPr>
              <w:ind w:right="96"/>
              <w:jc w:val="right"/>
              <w:rPr>
                <w:rFonts w:cs="Arial"/>
                <w:b/>
                <w:bCs/>
                <w:color w:val="000000"/>
                <w:sz w:val="20"/>
                <w:szCs w:val="20"/>
              </w:rPr>
            </w:pPr>
            <w:r>
              <w:rPr>
                <w:rFonts w:cs="Arial"/>
                <w:b/>
                <w:bCs/>
                <w:color w:val="000000"/>
                <w:sz w:val="20"/>
                <w:szCs w:val="20"/>
              </w:rPr>
              <w:t>1 333</w:t>
            </w:r>
          </w:p>
        </w:tc>
        <w:tc>
          <w:tcPr>
            <w:tcW w:w="617" w:type="pct"/>
            <w:shd w:val="clear" w:color="auto" w:fill="9C9D9F"/>
            <w:noWrap/>
            <w:vAlign w:val="center"/>
          </w:tcPr>
          <w:p w:rsidR="00037DF3" w:rsidRPr="00673872" w:rsidRDefault="00B51AD9" w:rsidP="0048429B">
            <w:pPr>
              <w:ind w:right="96"/>
              <w:jc w:val="right"/>
              <w:rPr>
                <w:rFonts w:cs="Arial"/>
                <w:b/>
                <w:bCs/>
                <w:color w:val="000000"/>
                <w:sz w:val="20"/>
                <w:szCs w:val="20"/>
              </w:rPr>
            </w:pPr>
            <w:r>
              <w:rPr>
                <w:rFonts w:cs="Arial"/>
                <w:b/>
                <w:bCs/>
                <w:color w:val="000000"/>
                <w:sz w:val="20"/>
                <w:szCs w:val="20"/>
              </w:rPr>
              <w:t xml:space="preserve">130 </w:t>
            </w:r>
            <w:r w:rsidR="0048429B">
              <w:rPr>
                <w:rFonts w:cs="Arial"/>
                <w:b/>
                <w:bCs/>
                <w:color w:val="000000"/>
                <w:sz w:val="20"/>
                <w:szCs w:val="20"/>
              </w:rPr>
              <w:t>737</w:t>
            </w:r>
          </w:p>
        </w:tc>
        <w:tc>
          <w:tcPr>
            <w:tcW w:w="609" w:type="pct"/>
            <w:shd w:val="clear" w:color="auto" w:fill="9C9D9F"/>
            <w:vAlign w:val="center"/>
          </w:tcPr>
          <w:p w:rsidR="00037DF3" w:rsidRPr="00673872" w:rsidRDefault="00B51AD9" w:rsidP="0048429B">
            <w:pPr>
              <w:ind w:right="94"/>
              <w:jc w:val="right"/>
              <w:rPr>
                <w:rFonts w:cs="Arial"/>
                <w:b/>
                <w:bCs/>
                <w:color w:val="000000"/>
                <w:sz w:val="20"/>
                <w:szCs w:val="20"/>
              </w:rPr>
            </w:pPr>
            <w:r>
              <w:rPr>
                <w:rFonts w:cs="Arial"/>
                <w:b/>
                <w:bCs/>
                <w:color w:val="000000"/>
                <w:sz w:val="20"/>
                <w:szCs w:val="20"/>
              </w:rPr>
              <w:t>15</w:t>
            </w:r>
            <w:r w:rsidR="0048429B">
              <w:rPr>
                <w:rFonts w:cs="Arial"/>
                <w:b/>
                <w:bCs/>
                <w:color w:val="000000"/>
                <w:sz w:val="20"/>
                <w:szCs w:val="20"/>
              </w:rPr>
              <w:t>5 979</w:t>
            </w:r>
          </w:p>
        </w:tc>
      </w:tr>
    </w:tbl>
    <w:p w:rsidR="008A66C6" w:rsidRDefault="008A66C6">
      <w:pPr>
        <w:spacing w:before="0" w:beforeAutospacing="0" w:after="0" w:afterAutospacing="0"/>
        <w:jc w:val="left"/>
      </w:pPr>
    </w:p>
    <w:p w:rsidR="00236FFC" w:rsidRPr="007A3749" w:rsidRDefault="006F6E73" w:rsidP="00396F0C">
      <w:pPr>
        <w:pStyle w:val="Heading2"/>
      </w:pPr>
      <w:bookmarkStart w:id="105" w:name="_Toc487810694"/>
      <w:r w:rsidRPr="006F6E73">
        <w:t>Vybrané vysvětlující poznámky k mezitímní konsolidované účetní závěrce</w:t>
      </w:r>
      <w:bookmarkEnd w:id="105"/>
      <w:r w:rsidR="00236FFC" w:rsidRPr="007A3749">
        <w:t xml:space="preserve"> </w:t>
      </w:r>
    </w:p>
    <w:p w:rsidR="00236FFC" w:rsidRPr="007A3749" w:rsidRDefault="00236FFC" w:rsidP="006F6E73">
      <w:pPr>
        <w:pStyle w:val="Heading4"/>
      </w:pPr>
      <w:r w:rsidRPr="007A3749">
        <w:t>Základní předpoklady přípravy účetních výkazů</w:t>
      </w:r>
    </w:p>
    <w:p w:rsidR="00236FFC" w:rsidRPr="007A3749" w:rsidRDefault="00236FFC" w:rsidP="007A3749">
      <w:r w:rsidRPr="007A3749">
        <w:t xml:space="preserve">Tyto účetní výkazy byly připraveny v souladu s Mezinárodními standardy účetního výkaznictví (IFRS) a Mezinárodními účetními standardy IAS 34 pro Mezitímní účetní výkaznictví ve znění přijatém Evropskou unií. Mezitímní účetní výkazy ve zkrácené podobě neobsahují veškeré informace a sdělení požadované v celoročních účetních výkazech. Tato mezitímní zpráva nebyla auditována externími auditory Společnosti. </w:t>
      </w:r>
    </w:p>
    <w:p w:rsidR="00236FFC" w:rsidRPr="006F6E73" w:rsidRDefault="00236FFC" w:rsidP="00BC1C24">
      <w:pPr>
        <w:pStyle w:val="Heading4"/>
      </w:pPr>
      <w:r w:rsidRPr="006F6E73">
        <w:t xml:space="preserve">Zásadní účetní postupy používané Společností </w:t>
      </w:r>
    </w:p>
    <w:p w:rsidR="00236FFC" w:rsidRDefault="00236FFC" w:rsidP="007A3749">
      <w:r w:rsidRPr="007A3749">
        <w:t>Základní předpoklady přípravy účetních výkazů, zásadní účetní postupy, prezentace a metody výpočtu byly v těchto finančních výkazech ve zkrácené podobě aplikovány shodně s finančními výkazy společností skupiny za účetní rok končící 31. prosincem 201</w:t>
      </w:r>
      <w:r w:rsidR="007E12D0">
        <w:t>6</w:t>
      </w:r>
      <w:r w:rsidRPr="007A3749">
        <w:t xml:space="preserve">. </w:t>
      </w:r>
    </w:p>
    <w:p w:rsidR="00DC6E44" w:rsidRPr="00DC6E44" w:rsidRDefault="00DC6E44" w:rsidP="007A3749">
      <w:pPr>
        <w:rPr>
          <w:b/>
        </w:rPr>
      </w:pPr>
      <w:r w:rsidRPr="00DC6E44">
        <w:rPr>
          <w:b/>
        </w:rPr>
        <w:t>Zavedení nových a revidovaných standardů</w:t>
      </w:r>
    </w:p>
    <w:p w:rsidR="00351319" w:rsidRDefault="00351319" w:rsidP="00351319">
      <w:r>
        <w:t>Možný dopad nových standardů, jejich změn a interpretací na budoucí konsolidované účetní závěrky Skupiny byl popsán v konsolidované účetní závěrce Společnosti za rok končící 31. prosince 2016.</w:t>
      </w:r>
    </w:p>
    <w:p w:rsidR="00DC6E44" w:rsidRPr="007A3749" w:rsidRDefault="00351319" w:rsidP="00DC6E44">
      <w:r>
        <w:t xml:space="preserve">Ve vztahu k </w:t>
      </w:r>
      <w:r w:rsidR="00DC6E44">
        <w:t>IFRS 15 – Výnosy ze smluv se zákazníky</w:t>
      </w:r>
      <w:r>
        <w:t xml:space="preserve"> - má</w:t>
      </w:r>
      <w:r w:rsidR="00B33217">
        <w:t xml:space="preserve"> Společnost v úmyslu </w:t>
      </w:r>
      <w:r>
        <w:t xml:space="preserve">tento nový </w:t>
      </w:r>
      <w:r w:rsidR="00B33217">
        <w:t xml:space="preserve">standard aplikovat s </w:t>
      </w:r>
      <w:r w:rsidR="00DC6E44">
        <w:t>účinnost</w:t>
      </w:r>
      <w:r w:rsidR="00B33217">
        <w:t>í</w:t>
      </w:r>
      <w:r w:rsidR="00DC6E44">
        <w:t xml:space="preserve"> </w:t>
      </w:r>
      <w:r w:rsidR="00B33217">
        <w:t xml:space="preserve">od </w:t>
      </w:r>
      <w:r w:rsidR="00DC6E44">
        <w:t xml:space="preserve">1. ledna 2018. </w:t>
      </w:r>
      <w:r w:rsidR="00B33217">
        <w:t xml:space="preserve">Společnost </w:t>
      </w:r>
      <w:r>
        <w:t xml:space="preserve">v současnosti </w:t>
      </w:r>
      <w:r w:rsidR="00B33217">
        <w:t>analyz</w:t>
      </w:r>
      <w:r>
        <w:t>uje</w:t>
      </w:r>
      <w:r w:rsidR="00B33217">
        <w:t xml:space="preserve"> dopady přijetí standardu IFRS 15 na výnosy</w:t>
      </w:r>
      <w:r>
        <w:t xml:space="preserve"> a očekává, že výsledky této analýzy budou k dispozici před koncem roku 2017</w:t>
      </w:r>
      <w:r w:rsidR="00B33217">
        <w:t xml:space="preserve">. Na základě </w:t>
      </w:r>
      <w:r>
        <w:t xml:space="preserve">předběžných výsledků této </w:t>
      </w:r>
      <w:r w:rsidR="00B33217">
        <w:t xml:space="preserve">analýzy </w:t>
      </w:r>
      <w:r w:rsidR="00370E7B">
        <w:t xml:space="preserve">se jako nejvýznamnější dopad pro Společnost jeví načasování vykázání výnosů ve výkazu zisků a ztrát. </w:t>
      </w:r>
      <w:r w:rsidR="00DC6E44">
        <w:t xml:space="preserve">Příslušný dopad bude záviset na konkrétních podmínkách smluv se zákazníky. </w:t>
      </w:r>
    </w:p>
    <w:p w:rsidR="00236FFC" w:rsidRPr="006F6E73" w:rsidRDefault="00236FFC" w:rsidP="00202C43">
      <w:pPr>
        <w:pStyle w:val="Heading4"/>
      </w:pPr>
      <w:r w:rsidRPr="006F6E73">
        <w:t>Sezónní a ekonomické vlivy</w:t>
      </w:r>
    </w:p>
    <w:p w:rsidR="00236FFC" w:rsidRPr="007A3749" w:rsidRDefault="00236FFC" w:rsidP="007A3749">
      <w:r w:rsidRPr="007A3749">
        <w:t xml:space="preserve">Podnikání společnosti PEGAS NONWOVENS SA není v podstatě ovlivňováno sezónními a ekonomickými faktory mimo běžného ekonomického cyklu, ačkoliv trh s hygienickými potřebami je do značné míry necyklický.  </w:t>
      </w:r>
    </w:p>
    <w:p w:rsidR="00926D63" w:rsidRPr="00C93D77" w:rsidRDefault="00926D63" w:rsidP="00926D63">
      <w:pPr>
        <w:pStyle w:val="Heading4"/>
      </w:pPr>
      <w:r>
        <w:t>Významné události a transakce</w:t>
      </w:r>
    </w:p>
    <w:p w:rsidR="00926D63" w:rsidRDefault="00926D63" w:rsidP="00926D63">
      <w:r>
        <w:t>Během prvního pololetí 201</w:t>
      </w:r>
      <w:r w:rsidR="007E12D0">
        <w:t>7</w:t>
      </w:r>
      <w:r>
        <w:t xml:space="preserve"> nedošlo k žádným významným událostem nebo transakcím, které by byly významné pro porozumění změn ve výkazu o finanční situaci a hospodaření Společnosti.</w:t>
      </w:r>
    </w:p>
    <w:p w:rsidR="00236FFC" w:rsidRPr="007A3749" w:rsidRDefault="00236FFC" w:rsidP="00BC1C24">
      <w:pPr>
        <w:pStyle w:val="Heading4"/>
      </w:pPr>
      <w:r w:rsidRPr="007A3749">
        <w:t>Použití odhadů a úsudků</w:t>
      </w:r>
    </w:p>
    <w:p w:rsidR="00236FFC" w:rsidRPr="007A3749" w:rsidRDefault="00236FFC" w:rsidP="007A3749">
      <w:r w:rsidRPr="007A3749">
        <w:t>Pro přípravu mezitímních účetních výkazů v souladu s IFRS je nutné, aby vedení Společnosti učinilo některé úsudky, odhady a předpoklady, které ovlivňují aplikaci účetních postupů a výši vykazovaných aktiv a pasiv, výnosů a nákladů. Odhady</w:t>
      </w:r>
      <w:r w:rsidR="006D37C5" w:rsidRPr="007A3749">
        <w:t xml:space="preserve"> </w:t>
      </w:r>
      <w:r w:rsidRPr="007A3749">
        <w:t xml:space="preserve">a jejich předpoklady jsou aplikovány na základě historických zkušeností a jiných relevantních faktorů. Stanovení odhadů má za cíl poskytnout věrný a poctivý obraz o finanční situaci Společnosti, zejména při určení hodnoty aktiv a pasiv, u kterých tato hodnota nemůže být spolehlivě zjištěna z jiných </w:t>
      </w:r>
      <w:r w:rsidR="006F6E73">
        <w:t>z</w:t>
      </w:r>
      <w:r w:rsidRPr="007A3749">
        <w:t xml:space="preserve">drojů. Skutečné výsledky se mohou od těchto odhadů lišit. </w:t>
      </w:r>
    </w:p>
    <w:p w:rsidR="00236FFC" w:rsidRPr="007A3749" w:rsidRDefault="00236FFC" w:rsidP="007A3749">
      <w:r w:rsidRPr="007A3749">
        <w:t xml:space="preserve">Od vydání předchozích účetních výkazů nedošlo k žádným změnám v povaze nebo výši použitých odhadů. </w:t>
      </w:r>
    </w:p>
    <w:p w:rsidR="00236FFC" w:rsidRPr="007A3749" w:rsidRDefault="00BF73F8" w:rsidP="00BC1C24">
      <w:pPr>
        <w:pStyle w:val="Heading4"/>
      </w:pPr>
      <w:r>
        <w:t>Vydání, o</w:t>
      </w:r>
      <w:r w:rsidR="00236FFC" w:rsidRPr="000F5101">
        <w:t>dkupy a splátky dluhu a majetkových cenných papírů</w:t>
      </w:r>
      <w:r w:rsidR="00236FFC" w:rsidRPr="007A3749">
        <w:t xml:space="preserve"> </w:t>
      </w:r>
    </w:p>
    <w:p w:rsidR="00BF73F8" w:rsidRDefault="00BF73F8" w:rsidP="000F5101">
      <w:r w:rsidRPr="00BF73F8">
        <w:t>Dne 20. ledna 2017 vydala společnost PEGAS NONWOVENS s.r.o. privátní emisi seniorních nezajištěných dluhopisů dle českého práva v nominálním objemu 50 milionů EUR. Emise nese pevný úrokový výnos 1,875</w:t>
      </w:r>
      <w:r>
        <w:t xml:space="preserve"> </w:t>
      </w:r>
      <w:r w:rsidRPr="00BF73F8">
        <w:t>% p.a. a je splatná 20. ledna 2024. Výnos z emise bude primárně použit na refinancování veřejné emise dluhopisů v listopadu 2018</w:t>
      </w:r>
      <w:r w:rsidR="00810C0A">
        <w:t>.</w:t>
      </w:r>
    </w:p>
    <w:p w:rsidR="000F5101" w:rsidRDefault="000F5101" w:rsidP="000F5101">
      <w:r>
        <w:t>Společnost neuzavřela v prvním pololetí roku 201</w:t>
      </w:r>
      <w:r w:rsidR="007E12D0">
        <w:t>7</w:t>
      </w:r>
      <w:r>
        <w:t xml:space="preserve"> žádné nové smlouvy na bankovní úvěry.</w:t>
      </w:r>
    </w:p>
    <w:p w:rsidR="000F5101" w:rsidRDefault="000F5101" w:rsidP="000F5101">
      <w:r>
        <w:t>V prvním pololetí roku 201</w:t>
      </w:r>
      <w:r w:rsidR="007E12D0">
        <w:t>7</w:t>
      </w:r>
      <w:r>
        <w:t xml:space="preserve"> nedošlo k žádným odkupům nebo splátkám dluhových cenných papírů.</w:t>
      </w:r>
    </w:p>
    <w:p w:rsidR="0054484D" w:rsidRDefault="000F5101" w:rsidP="000F5101">
      <w:r>
        <w:t>V prvním pololetí roku 201</w:t>
      </w:r>
      <w:r w:rsidR="007E12D0">
        <w:t>7</w:t>
      </w:r>
      <w:r>
        <w:t xml:space="preserve"> odkoupila </w:t>
      </w:r>
      <w:r w:rsidR="00544669">
        <w:t>S</w:t>
      </w:r>
      <w:r>
        <w:t>polečnost v</w:t>
      </w:r>
      <w:r w:rsidR="00757310">
        <w:t> </w:t>
      </w:r>
      <w:r>
        <w:t>rámci</w:t>
      </w:r>
      <w:r w:rsidR="00757310">
        <w:t xml:space="preserve"> záměru</w:t>
      </w:r>
      <w:r>
        <w:t xml:space="preserve"> </w:t>
      </w:r>
      <w:r w:rsidR="00544669">
        <w:t>vyřa</w:t>
      </w:r>
      <w:r w:rsidR="00757310">
        <w:t>dit</w:t>
      </w:r>
      <w:r w:rsidR="00544669">
        <w:t xml:space="preserve"> akci</w:t>
      </w:r>
      <w:r w:rsidR="00757310">
        <w:t>e</w:t>
      </w:r>
      <w:r w:rsidR="00544669">
        <w:t xml:space="preserve"> Společnosti z obchodování na Varšavské burze cenných papírů</w:t>
      </w:r>
      <w:r>
        <w:t xml:space="preserve"> </w:t>
      </w:r>
      <w:r w:rsidR="00544669">
        <w:t>4 071</w:t>
      </w:r>
      <w:r>
        <w:t xml:space="preserve"> vlastních akcií v pořizovací hodnotě </w:t>
      </w:r>
      <w:r w:rsidR="00757310">
        <w:t xml:space="preserve">120 </w:t>
      </w:r>
      <w:r>
        <w:t>tisíc EUR, které představ</w:t>
      </w:r>
      <w:r w:rsidR="00757310">
        <w:t>ovaly</w:t>
      </w:r>
      <w:r>
        <w:t xml:space="preserve"> 0,</w:t>
      </w:r>
      <w:r w:rsidR="00544669">
        <w:t>04</w:t>
      </w:r>
      <w:r>
        <w:t xml:space="preserve"> % základního kapitálu Společnosti</w:t>
      </w:r>
      <w:r w:rsidR="00544669">
        <w:t xml:space="preserve"> v době odkupu</w:t>
      </w:r>
      <w:r>
        <w:t xml:space="preserve">. </w:t>
      </w:r>
    </w:p>
    <w:p w:rsidR="00236FFC" w:rsidRPr="007A3749" w:rsidRDefault="00544669" w:rsidP="000F5101">
      <w:r>
        <w:t xml:space="preserve">K datu konání řádné valné hromady (15. června 2017) byl základní kapitál Společnosti tvořen 9 229 400 ks akcií. Řádná valná hromada </w:t>
      </w:r>
      <w:r w:rsidRPr="00544669">
        <w:t>rozhodla o snížení z</w:t>
      </w:r>
      <w:r>
        <w:t>ákladního kapitálu na částku 10 867 </w:t>
      </w:r>
      <w:r w:rsidRPr="00544669">
        <w:t xml:space="preserve">185,16 EUR prostřednictvím zrušení 465 541 kusů vlastních akciích držených společností PEGAS (jejichž celková jmenovitá hodnota činí 577 270,84 EUR). Základní kapitál po tomto snížení </w:t>
      </w:r>
      <w:r w:rsidR="00C17D44">
        <w:t xml:space="preserve">je </w:t>
      </w:r>
      <w:r w:rsidRPr="00544669">
        <w:t>tedy tvořen 8 763 859 ks akcií o jmenovité hodnotě 1,24 EUR.</w:t>
      </w:r>
    </w:p>
    <w:p w:rsidR="00236FFC" w:rsidRPr="007A3749" w:rsidRDefault="00236FFC" w:rsidP="00BC1C24">
      <w:pPr>
        <w:pStyle w:val="Heading4"/>
      </w:pPr>
      <w:r w:rsidRPr="007A3749">
        <w:t>Dividenda</w:t>
      </w:r>
    </w:p>
    <w:p w:rsidR="006D3AE4" w:rsidRPr="007A3749" w:rsidRDefault="006D3AE4" w:rsidP="007A3749">
      <w:r w:rsidRPr="007A3749">
        <w:t>Řádná valná hromada Společnosti, jež se konala dne 1</w:t>
      </w:r>
      <w:r w:rsidR="00317B41" w:rsidRPr="007A3749">
        <w:t>5</w:t>
      </w:r>
      <w:r w:rsidRPr="007A3749">
        <w:t>. června 201</w:t>
      </w:r>
      <w:r w:rsidR="0054484D">
        <w:t>7</w:t>
      </w:r>
      <w:r w:rsidRPr="007A3749">
        <w:t xml:space="preserve"> v Lucembur</w:t>
      </w:r>
      <w:r w:rsidR="00C17D44">
        <w:t>s</w:t>
      </w:r>
      <w:r w:rsidRPr="007A3749">
        <w:t xml:space="preserve">ku, rozhodla o schválení výplaty dividendy ve výši </w:t>
      </w:r>
      <w:r w:rsidR="00C34808" w:rsidRPr="00C34808">
        <w:t xml:space="preserve">11 </w:t>
      </w:r>
      <w:r w:rsidR="0054484D">
        <w:t>998 220</w:t>
      </w:r>
      <w:r w:rsidR="00317B41" w:rsidRPr="007A3749">
        <w:t xml:space="preserve"> </w:t>
      </w:r>
      <w:r w:rsidR="006B5CD9">
        <w:t>EUR, tj. 1,</w:t>
      </w:r>
      <w:r w:rsidR="0054484D">
        <w:t>30</w:t>
      </w:r>
      <w:r w:rsidRPr="007A3749">
        <w:t xml:space="preserve"> EUR na akcii.</w:t>
      </w:r>
      <w:r w:rsidR="00810C0A">
        <w:t xml:space="preserve"> </w:t>
      </w:r>
      <w:r w:rsidR="00810C0A" w:rsidRPr="00810C0A">
        <w:t>Dividenda v celkové výši 605 203,30 EUR nebude vyplacena na 465 541 ks vlastních akcií Společnosti, o které byl rozhodnutím valné hromady snížen základní kapitál Společnosti.</w:t>
      </w:r>
    </w:p>
    <w:p w:rsidR="00236FFC" w:rsidRPr="007A3749" w:rsidRDefault="006D3AE4" w:rsidP="007A3749">
      <w:r w:rsidRPr="007A3749">
        <w:t xml:space="preserve">Zdrojem výplaty dividendy </w:t>
      </w:r>
      <w:r w:rsidR="00843428">
        <w:t>je</w:t>
      </w:r>
      <w:r w:rsidRPr="007A3749">
        <w:t xml:space="preserve"> zisk roku 201</w:t>
      </w:r>
      <w:r w:rsidR="0054484D">
        <w:t>6</w:t>
      </w:r>
      <w:r w:rsidRPr="007A3749">
        <w:t>. Rozhodný den pro vznik nároku na dividendu (tj. den, na jehož konci jsou akcie s nárokem na dividendu registrovány na účtech oprávněných osob ve vypořádacích systémech Centrálního depozitáře cenných papírů, a.s., Krajowy Depozyt Papierów Wartościowych Spółka Akcyjna či jiných příslušných vypořádacích systémů) byl stanoven na 1</w:t>
      </w:r>
      <w:r w:rsidR="0054484D">
        <w:t>3</w:t>
      </w:r>
      <w:r w:rsidRPr="007A3749">
        <w:t>. října 201</w:t>
      </w:r>
      <w:r w:rsidR="0054484D">
        <w:t>7</w:t>
      </w:r>
      <w:r w:rsidRPr="007A3749">
        <w:t xml:space="preserve"> a den výplaty dividendy na 2</w:t>
      </w:r>
      <w:r w:rsidR="00C34808">
        <w:t>6</w:t>
      </w:r>
      <w:r w:rsidRPr="007A3749">
        <w:t>. října 201</w:t>
      </w:r>
      <w:r w:rsidR="0054484D">
        <w:t>7</w:t>
      </w:r>
      <w:r w:rsidRPr="007A3749">
        <w:t>.</w:t>
      </w:r>
      <w:r w:rsidR="00236FFC" w:rsidRPr="007A3749">
        <w:t xml:space="preserve"> </w:t>
      </w:r>
    </w:p>
    <w:p w:rsidR="00BE4BFE" w:rsidRDefault="00BE4BFE">
      <w:pPr>
        <w:spacing w:before="0" w:beforeAutospacing="0" w:after="0" w:afterAutospacing="0"/>
        <w:jc w:val="left"/>
        <w:rPr>
          <w:b/>
          <w:color w:val="E2001C"/>
        </w:rPr>
      </w:pPr>
      <w:r>
        <w:br w:type="page"/>
      </w:r>
    </w:p>
    <w:p w:rsidR="00236FFC" w:rsidRPr="007A3749" w:rsidRDefault="00236FFC" w:rsidP="00BC1C24">
      <w:pPr>
        <w:pStyle w:val="Heading4"/>
      </w:pPr>
      <w:r w:rsidRPr="007A3749">
        <w:t>Vykazování dle segmentů</w:t>
      </w:r>
    </w:p>
    <w:p w:rsidR="00236FFC" w:rsidRPr="007A3749" w:rsidRDefault="00236FFC" w:rsidP="007A3749">
      <w:r w:rsidRPr="007A3749">
        <w:t>Standard IFRS 8 vyžaduje identifikaci provozních segmentů na základě rozdělení interních výkazů, které jsou pravidelně vyhodnocovány subjektem s rozhodovací pravomocí za účelem alokace zdrojů a posouzení jejich výkonu.</w:t>
      </w:r>
      <w:r w:rsidRPr="007A3749" w:rsidDel="00A842D8">
        <w:t xml:space="preserve"> </w:t>
      </w:r>
      <w:r w:rsidRPr="007A3749">
        <w:t xml:space="preserve">V souladu s IFRS 8 Skupina identifikovala jediný provozní segment, a to výrobu netkaných textilií. </w:t>
      </w:r>
    </w:p>
    <w:p w:rsidR="00236FFC" w:rsidRDefault="00236FFC" w:rsidP="00BC1C24">
      <w:pPr>
        <w:pStyle w:val="Heading4"/>
      </w:pPr>
      <w:r w:rsidRPr="009E561C">
        <w:t>Významné události po skončení mezitímního období</w:t>
      </w:r>
    </w:p>
    <w:p w:rsidR="00BF73F8" w:rsidRDefault="00BF73F8" w:rsidP="00BF73F8">
      <w:r w:rsidRPr="00BF73F8">
        <w:t xml:space="preserve">Dne 15. července 2017 </w:t>
      </w:r>
      <w:r w:rsidR="00DB2E64">
        <w:t>zanikla společnost</w:t>
      </w:r>
      <w:r w:rsidR="00DB2E64" w:rsidRPr="00BF73F8">
        <w:t xml:space="preserve"> PEGAS-N</w:t>
      </w:r>
      <w:r w:rsidR="00DB2E64">
        <w:t>T</w:t>
      </w:r>
      <w:r w:rsidR="00DB2E64" w:rsidRPr="00BF73F8">
        <w:t xml:space="preserve"> a.s. </w:t>
      </w:r>
      <w:r w:rsidR="00DB2E64">
        <w:t>v důsledku fúze sloučením se společností PEGAS NONWOVENS s.r.o.</w:t>
      </w:r>
      <w:r w:rsidR="00222DA1">
        <w:t xml:space="preserve"> Na společnost PEGAS NONWOVENS s.r.o., jako na společnost nástupnickou, přeslo </w:t>
      </w:r>
      <w:r w:rsidR="00DB2E64">
        <w:t>v důsledku fúze sloučením jmění zanikající společnosti PEGAS-NT a.s. Rozhodným dnem fúze byl 1. leden 2017.</w:t>
      </w:r>
      <w:r w:rsidR="00D10ADF">
        <w:t xml:space="preserve"> P</w:t>
      </w:r>
      <w:r w:rsidR="006D39F3">
        <w:t>EGAS-NT a.s. byla vymazána z obchodního rejstříku ke dni 15. července 2017.</w:t>
      </w:r>
    </w:p>
    <w:p w:rsidR="00AA01FF" w:rsidRDefault="009E561C" w:rsidP="00866507">
      <w:pPr>
        <w:rPr>
          <w:b/>
          <w:color w:val="E2001C"/>
        </w:rPr>
      </w:pPr>
      <w:r>
        <w:t>Vedení Skupiny si není vědomo jakýchkoli dalších skutečností, které se staly po datu účetní závěrky a které by měly významný vliv na konsolidované účetní výkazy k 30. červnu 201</w:t>
      </w:r>
      <w:r w:rsidR="008A03A7">
        <w:t>7</w:t>
      </w:r>
      <w:r>
        <w:t>.</w:t>
      </w:r>
    </w:p>
    <w:p w:rsidR="00236FFC" w:rsidRPr="007A3749" w:rsidRDefault="00236FFC" w:rsidP="00BC1C24">
      <w:pPr>
        <w:pStyle w:val="Heading4"/>
      </w:pPr>
      <w:r w:rsidRPr="007A3749">
        <w:t xml:space="preserve">Změny ve složení entity a konsolidačním celku </w:t>
      </w:r>
    </w:p>
    <w:p w:rsidR="00790A4E" w:rsidRPr="007A3749" w:rsidRDefault="00236FFC" w:rsidP="007A3749">
      <w:pPr>
        <w:rPr>
          <w:i/>
          <w:color w:val="000000"/>
        </w:rPr>
      </w:pPr>
      <w:r w:rsidRPr="007A3749">
        <w:t>V průběhu vykazovaného období došlo k</w:t>
      </w:r>
      <w:r w:rsidR="0054484D">
        <w:t>e</w:t>
      </w:r>
      <w:r w:rsidRPr="007A3749">
        <w:t xml:space="preserve"> změnám v konsolidačním celku s porovnávaným obdobím.</w:t>
      </w:r>
      <w:r w:rsidR="0054484D" w:rsidRPr="0054484D">
        <w:t xml:space="preserve"> PEGAS v souladu s rozhodnutím představenstva zveřejněným dne 16. června 2016 založil v Jihoafrické republice dceřinou společnost pod názvem PEGAS NONWOVENS RSA (PTY) LTD. Dceřiná společnost byla zapsána s platností </w:t>
      </w:r>
      <w:r w:rsidR="0054484D">
        <w:t>k 11. červenci 2016 a je ve 100</w:t>
      </w:r>
      <w:r w:rsidR="0054484D" w:rsidRPr="0054484D">
        <w:t>% vlastnictví skupiny PEGAS.</w:t>
      </w:r>
    </w:p>
    <w:p w:rsidR="00236FFC" w:rsidRPr="007A3749" w:rsidRDefault="00236FFC" w:rsidP="00BC1C24">
      <w:pPr>
        <w:pStyle w:val="Heading4"/>
      </w:pPr>
      <w:r w:rsidRPr="007A3749">
        <w:t>Informace o reálné hodnotě finančních instrumentů</w:t>
      </w:r>
    </w:p>
    <w:p w:rsidR="00236FFC" w:rsidRDefault="00236FFC" w:rsidP="007A3749">
      <w:r w:rsidRPr="007A3749">
        <w:t xml:space="preserve">Za období prvních </w:t>
      </w:r>
      <w:r w:rsidR="00D9295E" w:rsidRPr="007A3749">
        <w:t>šesti</w:t>
      </w:r>
      <w:r w:rsidRPr="007A3749">
        <w:t xml:space="preserve"> měsíců tohoto roku nedošlo k žádné změně ve způsobu ocenění finančních instrumentů.</w:t>
      </w:r>
    </w:p>
    <w:p w:rsidR="00236FFC" w:rsidRPr="006F6E73" w:rsidRDefault="00236FFC" w:rsidP="007A3749">
      <w:pPr>
        <w:rPr>
          <w:b/>
        </w:rPr>
      </w:pPr>
      <w:r w:rsidRPr="006F6E73">
        <w:rPr>
          <w:b/>
        </w:rPr>
        <w:t xml:space="preserve">Úrokové swapy </w:t>
      </w:r>
    </w:p>
    <w:p w:rsidR="00C07134" w:rsidRDefault="00236FFC" w:rsidP="007A3749">
      <w:r w:rsidRPr="007A3749">
        <w:t xml:space="preserve">Společnost </w:t>
      </w:r>
      <w:r w:rsidR="00AA01FF">
        <w:t>ne</w:t>
      </w:r>
      <w:r w:rsidRPr="007A3749">
        <w:t>měla k</w:t>
      </w:r>
      <w:r w:rsidR="00135DB6" w:rsidRPr="007A3749">
        <w:t> 30</w:t>
      </w:r>
      <w:r w:rsidRPr="007A3749">
        <w:t xml:space="preserve">. </w:t>
      </w:r>
      <w:r w:rsidR="00135DB6" w:rsidRPr="007A3749">
        <w:t>červn</w:t>
      </w:r>
      <w:r w:rsidRPr="007A3749">
        <w:t>u 201</w:t>
      </w:r>
      <w:r w:rsidR="00460EA1">
        <w:t>7</w:t>
      </w:r>
      <w:r w:rsidRPr="007A3749">
        <w:t xml:space="preserve"> otevřeny </w:t>
      </w:r>
      <w:r w:rsidR="00AA01FF">
        <w:t>žádné úrokové swapy.</w:t>
      </w:r>
    </w:p>
    <w:p w:rsidR="00AA01FF" w:rsidRPr="006F6E73" w:rsidRDefault="00AA01FF" w:rsidP="00AA01FF">
      <w:pPr>
        <w:rPr>
          <w:b/>
        </w:rPr>
      </w:pPr>
      <w:r w:rsidRPr="006F6E73">
        <w:rPr>
          <w:b/>
        </w:rPr>
        <w:t>Měnové forwardy</w:t>
      </w:r>
    </w:p>
    <w:p w:rsidR="00AA01FF" w:rsidRDefault="00AA01FF" w:rsidP="00AA01FF">
      <w:r w:rsidRPr="007A3749">
        <w:t>Společnost neměla k 30. červnu 201</w:t>
      </w:r>
      <w:r w:rsidR="00460EA1">
        <w:t>7</w:t>
      </w:r>
      <w:r w:rsidRPr="007A3749">
        <w:t xml:space="preserve"> otevřeny žádné měnové forwardy.</w:t>
      </w:r>
    </w:p>
    <w:p w:rsidR="00C17D44" w:rsidRDefault="00C17D44">
      <w:pPr>
        <w:spacing w:before="0" w:beforeAutospacing="0" w:after="0" w:afterAutospacing="0"/>
        <w:jc w:val="left"/>
        <w:rPr>
          <w:b/>
        </w:rPr>
      </w:pPr>
      <w:r>
        <w:rPr>
          <w:b/>
        </w:rPr>
        <w:br w:type="page"/>
      </w:r>
    </w:p>
    <w:p w:rsidR="00C07134" w:rsidRPr="006E2A71" w:rsidRDefault="00C07134" w:rsidP="007A3749">
      <w:pPr>
        <w:rPr>
          <w:b/>
        </w:rPr>
      </w:pPr>
      <w:r w:rsidRPr="006E2A71">
        <w:rPr>
          <w:b/>
        </w:rPr>
        <w:t>Křížov</w:t>
      </w:r>
      <w:r w:rsidR="00656ADD">
        <w:rPr>
          <w:b/>
        </w:rPr>
        <w:t>é</w:t>
      </w:r>
      <w:r w:rsidRPr="006E2A71">
        <w:rPr>
          <w:b/>
        </w:rPr>
        <w:t xml:space="preserve"> měnov</w:t>
      </w:r>
      <w:r w:rsidR="00656ADD">
        <w:rPr>
          <w:b/>
        </w:rPr>
        <w:t>é</w:t>
      </w:r>
      <w:r w:rsidRPr="006E2A71">
        <w:rPr>
          <w:b/>
        </w:rPr>
        <w:t xml:space="preserve"> swap</w:t>
      </w:r>
      <w:r w:rsidR="00656ADD">
        <w:rPr>
          <w:b/>
        </w:rPr>
        <w:t>y</w:t>
      </w:r>
    </w:p>
    <w:p w:rsidR="00AA01FF" w:rsidRPr="00DD4E70" w:rsidRDefault="00AA01FF" w:rsidP="00AA01FF">
      <w:pPr>
        <w:rPr>
          <w:rFonts w:cs="Arial"/>
          <w:color w:val="000000"/>
        </w:rPr>
      </w:pPr>
      <w:r w:rsidRPr="00DD4E70">
        <w:rPr>
          <w:rFonts w:cs="Arial"/>
          <w:color w:val="000000"/>
        </w:rPr>
        <w:t>Společnost měla k 3</w:t>
      </w:r>
      <w:r>
        <w:rPr>
          <w:rFonts w:cs="Arial"/>
          <w:color w:val="000000"/>
        </w:rPr>
        <w:t>0</w:t>
      </w:r>
      <w:r w:rsidRPr="00DD4E70">
        <w:rPr>
          <w:rFonts w:cs="Arial"/>
          <w:color w:val="000000"/>
        </w:rPr>
        <w:t xml:space="preserve">. </w:t>
      </w:r>
      <w:r w:rsidR="0043760E">
        <w:rPr>
          <w:rFonts w:cs="Arial"/>
          <w:color w:val="000000"/>
        </w:rPr>
        <w:t>č</w:t>
      </w:r>
      <w:r>
        <w:rPr>
          <w:rFonts w:cs="Arial"/>
          <w:color w:val="000000"/>
        </w:rPr>
        <w:t xml:space="preserve">ervnu </w:t>
      </w:r>
      <w:r w:rsidRPr="00DD4E70">
        <w:rPr>
          <w:rFonts w:cs="Arial"/>
          <w:color w:val="000000"/>
        </w:rPr>
        <w:t>201</w:t>
      </w:r>
      <w:r w:rsidR="00460EA1">
        <w:rPr>
          <w:rFonts w:cs="Arial"/>
          <w:color w:val="000000"/>
        </w:rPr>
        <w:t>7</w:t>
      </w:r>
      <w:r w:rsidRPr="00DD4E70">
        <w:rPr>
          <w:rFonts w:cs="Arial"/>
          <w:color w:val="000000"/>
        </w:rPr>
        <w:t xml:space="preserve"> otevřeny tři křížové měnové swapy. </w:t>
      </w:r>
    </w:p>
    <w:p w:rsidR="00AA01FF" w:rsidRPr="00DD4E70" w:rsidRDefault="00AA01FF" w:rsidP="00AA01FF">
      <w:pPr>
        <w:rPr>
          <w:rFonts w:cs="Arial"/>
          <w:color w:val="000000"/>
        </w:rPr>
      </w:pPr>
      <w:r w:rsidRPr="00DD4E70">
        <w:rPr>
          <w:rFonts w:cs="Arial"/>
          <w:color w:val="000000"/>
        </w:rPr>
        <w:t>První swap</w:t>
      </w:r>
      <w:r w:rsidR="00E37C2A">
        <w:rPr>
          <w:rFonts w:cs="Arial"/>
          <w:color w:val="000000"/>
        </w:rPr>
        <w:t xml:space="preserve"> (dále jen „CCIRS 1“)</w:t>
      </w:r>
      <w:r w:rsidRPr="00DD4E70">
        <w:rPr>
          <w:rFonts w:cs="Arial"/>
          <w:color w:val="000000"/>
        </w:rPr>
        <w:t xml:space="preserve"> byl uzavřen v listopadu 2014 v celkové nominální hodnotě 2</w:t>
      </w:r>
      <w:r w:rsidR="00460EA1">
        <w:rPr>
          <w:rFonts w:cs="Arial"/>
          <w:color w:val="000000"/>
        </w:rPr>
        <w:t> </w:t>
      </w:r>
      <w:r w:rsidRPr="00DD4E70">
        <w:rPr>
          <w:rFonts w:cs="Arial"/>
          <w:color w:val="000000"/>
        </w:rPr>
        <w:t xml:space="preserve">489 575 tis. Kč (příjmová strana) proti 90 201 tis. EUR (platební strana) s cílem zajistit měnové riziko u korunové emise veřejných dluhopisů </w:t>
      </w:r>
      <w:r w:rsidR="00460EA1" w:rsidRPr="00DD4E70">
        <w:rPr>
          <w:rFonts w:cs="Arial"/>
          <w:color w:val="000000"/>
        </w:rPr>
        <w:t>P</w:t>
      </w:r>
      <w:r w:rsidR="00460EA1">
        <w:rPr>
          <w:rFonts w:cs="Arial"/>
          <w:color w:val="000000"/>
        </w:rPr>
        <w:t>EGAS</w:t>
      </w:r>
      <w:r w:rsidR="00460EA1" w:rsidRPr="00DD4E70">
        <w:rPr>
          <w:rFonts w:cs="Arial"/>
          <w:color w:val="000000"/>
        </w:rPr>
        <w:t xml:space="preserve"> </w:t>
      </w:r>
      <w:r w:rsidRPr="00DD4E70">
        <w:rPr>
          <w:rFonts w:cs="Arial"/>
          <w:color w:val="000000"/>
        </w:rPr>
        <w:t xml:space="preserve">2,85/2018. </w:t>
      </w:r>
    </w:p>
    <w:p w:rsidR="00AA01FF" w:rsidRPr="00DD4E70" w:rsidRDefault="00AA01FF" w:rsidP="00AA01FF">
      <w:pPr>
        <w:rPr>
          <w:rFonts w:cs="Arial"/>
          <w:color w:val="000000"/>
        </w:rPr>
      </w:pPr>
      <w:r w:rsidRPr="00DD4E70">
        <w:rPr>
          <w:rFonts w:cs="Arial"/>
          <w:color w:val="000000"/>
        </w:rPr>
        <w:t xml:space="preserve">Druhý swap </w:t>
      </w:r>
      <w:r w:rsidR="00E37C2A">
        <w:rPr>
          <w:rFonts w:cs="Arial"/>
          <w:color w:val="000000"/>
        </w:rPr>
        <w:t xml:space="preserve">(dále jen „CCIRS 2“) </w:t>
      </w:r>
      <w:r w:rsidRPr="00DD4E70">
        <w:rPr>
          <w:rFonts w:cs="Arial"/>
          <w:color w:val="000000"/>
        </w:rPr>
        <w:t xml:space="preserve">byl uzavřen v červenci 2015 v celkové nominální hodnotě 678 000 tis. Kč (příjmová strana) proti 25 000 tis. EUR (platební strana) s cílem zajistit </w:t>
      </w:r>
      <w:r>
        <w:rPr>
          <w:rFonts w:cs="Arial"/>
          <w:color w:val="000000"/>
        </w:rPr>
        <w:t xml:space="preserve">úrokové a </w:t>
      </w:r>
      <w:r w:rsidRPr="00DD4E70">
        <w:rPr>
          <w:rFonts w:cs="Arial"/>
          <w:color w:val="000000"/>
        </w:rPr>
        <w:t xml:space="preserve">měnové riziko u korunové emise soukromých dluhopisů splatných 14. července 2025 s variabilním úrokovým výnosem 6M PRIBOR + 2,00 % p.a. </w:t>
      </w:r>
    </w:p>
    <w:p w:rsidR="00AA01FF" w:rsidRPr="00DD4E70" w:rsidRDefault="00AA01FF" w:rsidP="00AA01FF">
      <w:pPr>
        <w:rPr>
          <w:rFonts w:cs="Arial"/>
          <w:color w:val="000000"/>
        </w:rPr>
      </w:pPr>
      <w:r w:rsidRPr="00DD4E70">
        <w:rPr>
          <w:rFonts w:cs="Arial"/>
          <w:color w:val="000000"/>
        </w:rPr>
        <w:t xml:space="preserve">Třetí swap </w:t>
      </w:r>
      <w:r w:rsidR="00E37C2A">
        <w:rPr>
          <w:rFonts w:cs="Arial"/>
          <w:color w:val="000000"/>
        </w:rPr>
        <w:t xml:space="preserve">(dále jen „CCIRS 3“) </w:t>
      </w:r>
      <w:r w:rsidRPr="00DD4E70">
        <w:rPr>
          <w:rFonts w:cs="Arial"/>
          <w:color w:val="000000"/>
        </w:rPr>
        <w:t>byl uzavřen v červenci 2015 v celkové nominální hodnotě 1</w:t>
      </w:r>
      <w:r w:rsidR="00460EA1">
        <w:rPr>
          <w:rFonts w:cs="Arial"/>
          <w:color w:val="000000"/>
        </w:rPr>
        <w:t> </w:t>
      </w:r>
      <w:r w:rsidRPr="00DD4E70">
        <w:rPr>
          <w:rFonts w:cs="Arial"/>
          <w:color w:val="000000"/>
        </w:rPr>
        <w:t xml:space="preserve">080 000 tis. Kč (příjmová strana) proti 39 852 tis. EUR (platební strana) s cílem zajistit měnové riziko u korunové emise soukromých dluhopisů splatných 14. července 2022 s pevným úrokovým výnosem 2,646 % p.a. </w:t>
      </w:r>
    </w:p>
    <w:p w:rsidR="00AA01FF" w:rsidRPr="00DD4E70" w:rsidRDefault="00AA01FF" w:rsidP="00AA01FF">
      <w:pPr>
        <w:rPr>
          <w:rFonts w:cs="Arial"/>
          <w:color w:val="000000"/>
        </w:rPr>
      </w:pPr>
      <w:r w:rsidRPr="00DD4E70">
        <w:rPr>
          <w:rFonts w:cs="Arial"/>
          <w:color w:val="000000"/>
        </w:rPr>
        <w:t>Ke křížovým měnovým swapům Společnost vede zajišťovací účetnictví. Změn</w:t>
      </w:r>
      <w:r>
        <w:rPr>
          <w:rFonts w:cs="Arial"/>
          <w:color w:val="000000"/>
        </w:rPr>
        <w:t>a</w:t>
      </w:r>
      <w:r w:rsidRPr="00DD4E70">
        <w:rPr>
          <w:rFonts w:cs="Arial"/>
          <w:color w:val="000000"/>
        </w:rPr>
        <w:t xml:space="preserve"> v reálné hodnotě těchto swapů, která je považována za efektivní z hlediska zajištění, j</w:t>
      </w:r>
      <w:r>
        <w:rPr>
          <w:rFonts w:cs="Arial"/>
          <w:color w:val="000000"/>
        </w:rPr>
        <w:t>e</w:t>
      </w:r>
      <w:r w:rsidRPr="00DD4E70">
        <w:rPr>
          <w:rFonts w:cs="Arial"/>
          <w:color w:val="000000"/>
        </w:rPr>
        <w:t xml:space="preserve"> vykazován</w:t>
      </w:r>
      <w:r>
        <w:rPr>
          <w:rFonts w:cs="Arial"/>
          <w:color w:val="000000"/>
        </w:rPr>
        <w:t>a</w:t>
      </w:r>
      <w:r w:rsidRPr="00DD4E70">
        <w:rPr>
          <w:rFonts w:cs="Arial"/>
          <w:color w:val="000000"/>
        </w:rPr>
        <w:t xml:space="preserve"> ve vlastním kapitálu. Změn</w:t>
      </w:r>
      <w:r>
        <w:rPr>
          <w:rFonts w:cs="Arial"/>
          <w:color w:val="000000"/>
        </w:rPr>
        <w:t>a</w:t>
      </w:r>
      <w:r w:rsidRPr="00DD4E70">
        <w:rPr>
          <w:rFonts w:cs="Arial"/>
          <w:color w:val="000000"/>
        </w:rPr>
        <w:t xml:space="preserve"> v reálné hodnotě těchto swapů z části, která je považována za neefektivní z hlediska zajištění, j</w:t>
      </w:r>
      <w:r>
        <w:rPr>
          <w:rFonts w:cs="Arial"/>
          <w:color w:val="000000"/>
        </w:rPr>
        <w:t>e</w:t>
      </w:r>
      <w:r w:rsidRPr="00DD4E70">
        <w:rPr>
          <w:rFonts w:cs="Arial"/>
          <w:color w:val="000000"/>
        </w:rPr>
        <w:t xml:space="preserve"> účtován</w:t>
      </w:r>
      <w:r>
        <w:rPr>
          <w:rFonts w:cs="Arial"/>
          <w:color w:val="000000"/>
        </w:rPr>
        <w:t>a</w:t>
      </w:r>
      <w:r w:rsidRPr="00DD4E70">
        <w:rPr>
          <w:rFonts w:cs="Arial"/>
          <w:color w:val="000000"/>
        </w:rPr>
        <w:t xml:space="preserve"> ve výkazu zisků a ztrát. </w:t>
      </w:r>
    </w:p>
    <w:p w:rsidR="00AA01FF" w:rsidRDefault="00AA01FF" w:rsidP="00AA01FF">
      <w:r w:rsidRPr="00DD4E70">
        <w:rPr>
          <w:rFonts w:cs="Arial"/>
          <w:color w:val="000000"/>
        </w:rPr>
        <w:t>Reálná hodnota těchto swapů k 3</w:t>
      </w:r>
      <w:r>
        <w:rPr>
          <w:rFonts w:cs="Arial"/>
          <w:color w:val="000000"/>
        </w:rPr>
        <w:t>0</w:t>
      </w:r>
      <w:r w:rsidRPr="00DD4E70">
        <w:rPr>
          <w:rFonts w:cs="Arial"/>
          <w:color w:val="000000"/>
        </w:rPr>
        <w:t xml:space="preserve">. </w:t>
      </w:r>
      <w:r w:rsidR="0043760E">
        <w:rPr>
          <w:rFonts w:cs="Arial"/>
          <w:color w:val="000000"/>
        </w:rPr>
        <w:t>č</w:t>
      </w:r>
      <w:r>
        <w:rPr>
          <w:rFonts w:cs="Arial"/>
          <w:color w:val="000000"/>
        </w:rPr>
        <w:t xml:space="preserve">ervnu </w:t>
      </w:r>
      <w:r w:rsidRPr="00DD4E70">
        <w:rPr>
          <w:rFonts w:cs="Arial"/>
          <w:color w:val="000000"/>
        </w:rPr>
        <w:t>201</w:t>
      </w:r>
      <w:r w:rsidR="00460EA1">
        <w:rPr>
          <w:rFonts w:cs="Arial"/>
          <w:color w:val="000000"/>
        </w:rPr>
        <w:t>7</w:t>
      </w:r>
      <w:r>
        <w:rPr>
          <w:rFonts w:cs="Arial"/>
          <w:color w:val="000000"/>
        </w:rPr>
        <w:t xml:space="preserve"> </w:t>
      </w:r>
      <w:r w:rsidRPr="00DD4E70">
        <w:rPr>
          <w:rFonts w:cs="Arial"/>
          <w:color w:val="000000"/>
        </w:rPr>
        <w:t xml:space="preserve">je </w:t>
      </w:r>
      <w:r>
        <w:rPr>
          <w:rFonts w:cs="Arial"/>
          <w:color w:val="000000"/>
        </w:rPr>
        <w:t xml:space="preserve">uvedena </w:t>
      </w:r>
      <w:r w:rsidRPr="00DD4E70">
        <w:rPr>
          <w:rFonts w:cs="Arial"/>
          <w:color w:val="000000"/>
        </w:rPr>
        <w:t>v následující tabulce. Kladná hodnota představuje pohledávku Společnosti, záporná hodnota závazek Společnosti.</w:t>
      </w:r>
    </w:p>
    <w:tbl>
      <w:tblPr>
        <w:tblW w:w="9142" w:type="dxa"/>
        <w:tblInd w:w="70" w:type="dxa"/>
        <w:tblCellMar>
          <w:left w:w="70" w:type="dxa"/>
          <w:right w:w="70" w:type="dxa"/>
        </w:tblCellMar>
        <w:tblLook w:val="0000" w:firstRow="0" w:lastRow="0" w:firstColumn="0" w:lastColumn="0" w:noHBand="0" w:noVBand="0"/>
      </w:tblPr>
      <w:tblGrid>
        <w:gridCol w:w="3960"/>
        <w:gridCol w:w="1707"/>
        <w:gridCol w:w="1708"/>
        <w:gridCol w:w="1767"/>
      </w:tblGrid>
      <w:tr w:rsidR="00AA01FF" w:rsidRPr="00EF7BD5" w:rsidTr="006E2A71">
        <w:trPr>
          <w:trHeight w:val="20"/>
        </w:trPr>
        <w:tc>
          <w:tcPr>
            <w:tcW w:w="3960" w:type="dxa"/>
            <w:shd w:val="clear" w:color="auto" w:fill="E2001C"/>
            <w:noWrap/>
            <w:vAlign w:val="center"/>
          </w:tcPr>
          <w:p w:rsidR="00AA01FF" w:rsidRPr="00EF7BD5" w:rsidRDefault="00AA01FF" w:rsidP="006E2A71">
            <w:pPr>
              <w:jc w:val="center"/>
              <w:rPr>
                <w:rFonts w:cs="Arial"/>
                <w:b/>
                <w:color w:val="FFFFFF" w:themeColor="background1"/>
                <w:sz w:val="20"/>
                <w:szCs w:val="20"/>
              </w:rPr>
            </w:pPr>
            <w:r w:rsidRPr="00EF7BD5">
              <w:rPr>
                <w:rFonts w:cs="Arial"/>
                <w:b/>
                <w:color w:val="FFFFFF" w:themeColor="background1"/>
                <w:sz w:val="20"/>
                <w:szCs w:val="20"/>
              </w:rPr>
              <w:t>Protistrana</w:t>
            </w:r>
          </w:p>
        </w:tc>
        <w:tc>
          <w:tcPr>
            <w:tcW w:w="1707" w:type="dxa"/>
            <w:shd w:val="clear" w:color="auto" w:fill="E2001C"/>
            <w:vAlign w:val="center"/>
          </w:tcPr>
          <w:p w:rsidR="00AA01FF" w:rsidRPr="00EF7BD5" w:rsidRDefault="00AA01FF" w:rsidP="00966CEE">
            <w:pPr>
              <w:jc w:val="center"/>
              <w:rPr>
                <w:rFonts w:cs="Arial"/>
                <w:b/>
                <w:bCs/>
                <w:color w:val="FFFFFF" w:themeColor="background1"/>
                <w:sz w:val="20"/>
                <w:szCs w:val="20"/>
              </w:rPr>
            </w:pPr>
            <w:r w:rsidRPr="00EF7BD5">
              <w:rPr>
                <w:rFonts w:cs="Arial"/>
                <w:b/>
                <w:bCs/>
                <w:color w:val="FFFFFF" w:themeColor="background1"/>
                <w:sz w:val="20"/>
                <w:szCs w:val="20"/>
              </w:rPr>
              <w:t>k 3</w:t>
            </w:r>
            <w:r>
              <w:rPr>
                <w:rFonts w:cs="Arial"/>
                <w:b/>
                <w:bCs/>
                <w:color w:val="FFFFFF" w:themeColor="background1"/>
                <w:sz w:val="20"/>
                <w:szCs w:val="20"/>
              </w:rPr>
              <w:t>0</w:t>
            </w:r>
            <w:r w:rsidRPr="00EF7BD5">
              <w:rPr>
                <w:rFonts w:cs="Arial"/>
                <w:b/>
                <w:bCs/>
                <w:color w:val="FFFFFF" w:themeColor="background1"/>
                <w:sz w:val="20"/>
                <w:szCs w:val="20"/>
              </w:rPr>
              <w:t xml:space="preserve">. </w:t>
            </w:r>
            <w:r>
              <w:rPr>
                <w:rFonts w:cs="Arial"/>
                <w:b/>
                <w:bCs/>
                <w:color w:val="FFFFFF" w:themeColor="background1"/>
                <w:sz w:val="20"/>
                <w:szCs w:val="20"/>
              </w:rPr>
              <w:t xml:space="preserve">červnu </w:t>
            </w:r>
            <w:r w:rsidRPr="00EF7BD5">
              <w:rPr>
                <w:rFonts w:cs="Arial"/>
                <w:b/>
                <w:bCs/>
                <w:color w:val="FFFFFF" w:themeColor="background1"/>
                <w:sz w:val="20"/>
                <w:szCs w:val="20"/>
              </w:rPr>
              <w:t>201</w:t>
            </w:r>
            <w:r w:rsidR="00966CEE">
              <w:rPr>
                <w:rFonts w:cs="Arial"/>
                <w:b/>
                <w:bCs/>
                <w:color w:val="FFFFFF" w:themeColor="background1"/>
                <w:sz w:val="20"/>
                <w:szCs w:val="20"/>
              </w:rPr>
              <w:t>6</w:t>
            </w:r>
          </w:p>
        </w:tc>
        <w:tc>
          <w:tcPr>
            <w:tcW w:w="1708" w:type="dxa"/>
            <w:shd w:val="clear" w:color="auto" w:fill="E2001C"/>
            <w:vAlign w:val="center"/>
          </w:tcPr>
          <w:p w:rsidR="00AA01FF" w:rsidRPr="00EF7BD5" w:rsidRDefault="00AA01FF" w:rsidP="00AA01FF">
            <w:pPr>
              <w:jc w:val="center"/>
              <w:rPr>
                <w:rFonts w:cs="Arial"/>
                <w:b/>
                <w:bCs/>
                <w:color w:val="FFFFFF" w:themeColor="background1"/>
                <w:sz w:val="20"/>
                <w:szCs w:val="20"/>
              </w:rPr>
            </w:pPr>
            <w:r w:rsidRPr="00EF7BD5">
              <w:rPr>
                <w:rFonts w:cs="Arial"/>
                <w:b/>
                <w:bCs/>
                <w:color w:val="FFFFFF" w:themeColor="background1"/>
                <w:sz w:val="20"/>
                <w:szCs w:val="20"/>
              </w:rPr>
              <w:t>k 3</w:t>
            </w:r>
            <w:r>
              <w:rPr>
                <w:rFonts w:cs="Arial"/>
                <w:b/>
                <w:bCs/>
                <w:color w:val="FFFFFF" w:themeColor="background1"/>
                <w:sz w:val="20"/>
                <w:szCs w:val="20"/>
              </w:rPr>
              <w:t>0</w:t>
            </w:r>
            <w:r w:rsidRPr="00EF7BD5">
              <w:rPr>
                <w:rFonts w:cs="Arial"/>
                <w:b/>
                <w:bCs/>
                <w:color w:val="FFFFFF" w:themeColor="background1"/>
                <w:sz w:val="20"/>
                <w:szCs w:val="20"/>
              </w:rPr>
              <w:t xml:space="preserve">. </w:t>
            </w:r>
            <w:r>
              <w:rPr>
                <w:rFonts w:cs="Arial"/>
                <w:b/>
                <w:bCs/>
                <w:color w:val="FFFFFF" w:themeColor="background1"/>
                <w:sz w:val="20"/>
                <w:szCs w:val="20"/>
              </w:rPr>
              <w:t xml:space="preserve">červnu </w:t>
            </w:r>
            <w:r w:rsidRPr="00EF7BD5">
              <w:rPr>
                <w:rFonts w:cs="Arial"/>
                <w:b/>
                <w:bCs/>
                <w:color w:val="FFFFFF" w:themeColor="background1"/>
                <w:sz w:val="20"/>
                <w:szCs w:val="20"/>
              </w:rPr>
              <w:t>201</w:t>
            </w:r>
            <w:r w:rsidR="00966CEE">
              <w:rPr>
                <w:rFonts w:cs="Arial"/>
                <w:b/>
                <w:bCs/>
                <w:color w:val="FFFFFF" w:themeColor="background1"/>
                <w:sz w:val="20"/>
                <w:szCs w:val="20"/>
              </w:rPr>
              <w:t>7</w:t>
            </w:r>
          </w:p>
        </w:tc>
        <w:tc>
          <w:tcPr>
            <w:tcW w:w="1767" w:type="dxa"/>
            <w:shd w:val="clear" w:color="auto" w:fill="E2001C"/>
            <w:vAlign w:val="center"/>
          </w:tcPr>
          <w:p w:rsidR="00AA01FF" w:rsidRPr="00EF7BD5" w:rsidRDefault="00AA01FF" w:rsidP="006E2A71">
            <w:pPr>
              <w:jc w:val="center"/>
              <w:rPr>
                <w:rFonts w:cs="Arial"/>
                <w:b/>
                <w:bCs/>
                <w:color w:val="FFFFFF" w:themeColor="background1"/>
                <w:sz w:val="20"/>
                <w:szCs w:val="20"/>
              </w:rPr>
            </w:pPr>
            <w:r w:rsidRPr="00EF7BD5">
              <w:rPr>
                <w:rFonts w:cs="Arial"/>
                <w:b/>
                <w:bCs/>
                <w:color w:val="FFFFFF" w:themeColor="background1"/>
                <w:sz w:val="20"/>
                <w:szCs w:val="20"/>
              </w:rPr>
              <w:t>% zajištění podkladového závazku</w:t>
            </w:r>
          </w:p>
        </w:tc>
      </w:tr>
      <w:tr w:rsidR="00966CEE" w:rsidRPr="00EF7BD5" w:rsidTr="006E2A71">
        <w:trPr>
          <w:trHeight w:val="20"/>
        </w:trPr>
        <w:tc>
          <w:tcPr>
            <w:tcW w:w="3960" w:type="dxa"/>
            <w:tcBorders>
              <w:bottom w:val="single" w:sz="4" w:space="0" w:color="9C9D9F"/>
            </w:tcBorders>
            <w:noWrap/>
            <w:vAlign w:val="bottom"/>
          </w:tcPr>
          <w:p w:rsidR="00966CEE" w:rsidRPr="00EF7BD5" w:rsidRDefault="00966CEE" w:rsidP="006E2A71">
            <w:pPr>
              <w:rPr>
                <w:rFonts w:cs="Arial"/>
                <w:bCs/>
                <w:sz w:val="20"/>
                <w:szCs w:val="20"/>
              </w:rPr>
            </w:pPr>
            <w:r>
              <w:rPr>
                <w:rFonts w:cs="Arial"/>
                <w:sz w:val="20"/>
                <w:szCs w:val="20"/>
              </w:rPr>
              <w:t>CCIRS 1</w:t>
            </w:r>
          </w:p>
        </w:tc>
        <w:tc>
          <w:tcPr>
            <w:tcW w:w="1707" w:type="dxa"/>
            <w:tcBorders>
              <w:bottom w:val="single" w:sz="4" w:space="0" w:color="9C9D9F"/>
            </w:tcBorders>
            <w:vAlign w:val="bottom"/>
          </w:tcPr>
          <w:p w:rsidR="00966CEE" w:rsidRPr="0043760E" w:rsidRDefault="00966CEE" w:rsidP="0043760E">
            <w:pPr>
              <w:jc w:val="right"/>
              <w:rPr>
                <w:rFonts w:cs="Arial"/>
                <w:sz w:val="20"/>
                <w:szCs w:val="20"/>
              </w:rPr>
            </w:pPr>
            <w:r>
              <w:rPr>
                <w:rFonts w:cs="Arial"/>
                <w:sz w:val="20"/>
                <w:szCs w:val="20"/>
              </w:rPr>
              <w:t xml:space="preserve">1 </w:t>
            </w:r>
            <w:r w:rsidRPr="0043760E">
              <w:rPr>
                <w:rFonts w:cs="Arial"/>
                <w:sz w:val="20"/>
                <w:szCs w:val="20"/>
              </w:rPr>
              <w:t>497</w:t>
            </w:r>
          </w:p>
        </w:tc>
        <w:tc>
          <w:tcPr>
            <w:tcW w:w="1708" w:type="dxa"/>
            <w:tcBorders>
              <w:bottom w:val="single" w:sz="4" w:space="0" w:color="9C9D9F"/>
            </w:tcBorders>
            <w:shd w:val="clear" w:color="auto" w:fill="FFFFFF"/>
            <w:vAlign w:val="bottom"/>
          </w:tcPr>
          <w:p w:rsidR="00966CEE" w:rsidRPr="0043760E" w:rsidRDefault="00966CEE" w:rsidP="006E2A71">
            <w:pPr>
              <w:jc w:val="right"/>
              <w:rPr>
                <w:rFonts w:cs="Arial"/>
                <w:sz w:val="20"/>
                <w:szCs w:val="20"/>
              </w:rPr>
            </w:pPr>
            <w:r>
              <w:rPr>
                <w:rFonts w:cs="Arial"/>
                <w:sz w:val="20"/>
                <w:szCs w:val="20"/>
              </w:rPr>
              <w:t>5 124</w:t>
            </w:r>
          </w:p>
        </w:tc>
        <w:tc>
          <w:tcPr>
            <w:tcW w:w="1767" w:type="dxa"/>
            <w:tcBorders>
              <w:bottom w:val="single" w:sz="4" w:space="0" w:color="9C9D9F"/>
            </w:tcBorders>
            <w:shd w:val="clear" w:color="auto" w:fill="FFFFFF"/>
          </w:tcPr>
          <w:p w:rsidR="00966CEE" w:rsidRPr="0043760E" w:rsidRDefault="00966CEE" w:rsidP="006E2A71">
            <w:pPr>
              <w:jc w:val="right"/>
              <w:rPr>
                <w:rFonts w:cs="Arial"/>
                <w:sz w:val="20"/>
                <w:szCs w:val="20"/>
              </w:rPr>
            </w:pPr>
            <w:r w:rsidRPr="0043760E">
              <w:rPr>
                <w:rFonts w:cs="Arial"/>
                <w:sz w:val="20"/>
                <w:szCs w:val="20"/>
              </w:rPr>
              <w:t>108</w:t>
            </w:r>
            <w:r w:rsidR="0048329F">
              <w:rPr>
                <w:rFonts w:cs="Arial"/>
                <w:sz w:val="20"/>
                <w:szCs w:val="20"/>
              </w:rPr>
              <w:t xml:space="preserve"> </w:t>
            </w:r>
            <w:r w:rsidRPr="0043760E">
              <w:rPr>
                <w:rFonts w:cs="Arial"/>
                <w:sz w:val="20"/>
                <w:szCs w:val="20"/>
              </w:rPr>
              <w:t>%</w:t>
            </w:r>
          </w:p>
        </w:tc>
      </w:tr>
      <w:tr w:rsidR="00966CEE" w:rsidRPr="00EF7BD5" w:rsidTr="006E2A71">
        <w:trPr>
          <w:trHeight w:val="20"/>
        </w:trPr>
        <w:tc>
          <w:tcPr>
            <w:tcW w:w="3960" w:type="dxa"/>
            <w:tcBorders>
              <w:top w:val="single" w:sz="4" w:space="0" w:color="9C9D9F"/>
              <w:bottom w:val="single" w:sz="4" w:space="0" w:color="9C9D9F"/>
            </w:tcBorders>
            <w:noWrap/>
            <w:vAlign w:val="bottom"/>
          </w:tcPr>
          <w:p w:rsidR="00966CEE" w:rsidRPr="00EF7BD5" w:rsidRDefault="00966CEE" w:rsidP="006E2A71">
            <w:pPr>
              <w:rPr>
                <w:rFonts w:cs="Arial"/>
                <w:sz w:val="20"/>
                <w:szCs w:val="20"/>
              </w:rPr>
            </w:pPr>
            <w:r>
              <w:rPr>
                <w:rFonts w:cs="Arial"/>
                <w:sz w:val="20"/>
                <w:szCs w:val="20"/>
              </w:rPr>
              <w:t>CCIRS 2</w:t>
            </w:r>
          </w:p>
        </w:tc>
        <w:tc>
          <w:tcPr>
            <w:tcW w:w="1707" w:type="dxa"/>
            <w:tcBorders>
              <w:top w:val="single" w:sz="4" w:space="0" w:color="9C9D9F"/>
              <w:bottom w:val="single" w:sz="4" w:space="0" w:color="9C9D9F"/>
            </w:tcBorders>
            <w:vAlign w:val="bottom"/>
          </w:tcPr>
          <w:p w:rsidR="00966CEE" w:rsidRPr="0043760E" w:rsidRDefault="00966CEE" w:rsidP="006E2A71">
            <w:pPr>
              <w:jc w:val="right"/>
              <w:rPr>
                <w:rFonts w:cs="Arial"/>
                <w:sz w:val="20"/>
                <w:szCs w:val="20"/>
              </w:rPr>
            </w:pPr>
            <w:r>
              <w:rPr>
                <w:rFonts w:cs="Arial"/>
                <w:sz w:val="20"/>
                <w:szCs w:val="20"/>
              </w:rPr>
              <w:t xml:space="preserve">-1 </w:t>
            </w:r>
            <w:r w:rsidRPr="0043760E">
              <w:rPr>
                <w:rFonts w:cs="Arial"/>
                <w:sz w:val="20"/>
                <w:szCs w:val="20"/>
              </w:rPr>
              <w:t>748</w:t>
            </w:r>
          </w:p>
        </w:tc>
        <w:tc>
          <w:tcPr>
            <w:tcW w:w="1708" w:type="dxa"/>
            <w:tcBorders>
              <w:top w:val="single" w:sz="4" w:space="0" w:color="9C9D9F"/>
              <w:bottom w:val="single" w:sz="4" w:space="0" w:color="9C9D9F"/>
            </w:tcBorders>
            <w:shd w:val="clear" w:color="auto" w:fill="FFFFFF"/>
            <w:vAlign w:val="bottom"/>
          </w:tcPr>
          <w:p w:rsidR="00966CEE" w:rsidRPr="0043760E" w:rsidRDefault="00966CEE" w:rsidP="006E2A71">
            <w:pPr>
              <w:jc w:val="right"/>
              <w:rPr>
                <w:rFonts w:cs="Arial"/>
                <w:sz w:val="20"/>
                <w:szCs w:val="20"/>
              </w:rPr>
            </w:pPr>
            <w:r>
              <w:rPr>
                <w:rFonts w:cs="Arial"/>
                <w:sz w:val="20"/>
                <w:szCs w:val="20"/>
              </w:rPr>
              <w:t>687</w:t>
            </w:r>
          </w:p>
        </w:tc>
        <w:tc>
          <w:tcPr>
            <w:tcW w:w="1767" w:type="dxa"/>
            <w:tcBorders>
              <w:top w:val="single" w:sz="4" w:space="0" w:color="9C9D9F"/>
              <w:bottom w:val="single" w:sz="4" w:space="0" w:color="9C9D9F"/>
            </w:tcBorders>
            <w:shd w:val="clear" w:color="auto" w:fill="FFFFFF"/>
          </w:tcPr>
          <w:p w:rsidR="00966CEE" w:rsidRPr="0043760E" w:rsidRDefault="00966CEE" w:rsidP="006E2A71">
            <w:pPr>
              <w:jc w:val="right"/>
              <w:rPr>
                <w:rFonts w:cs="Arial"/>
                <w:sz w:val="20"/>
                <w:szCs w:val="20"/>
              </w:rPr>
            </w:pPr>
            <w:r w:rsidRPr="0043760E">
              <w:rPr>
                <w:rFonts w:cs="Arial"/>
                <w:sz w:val="20"/>
                <w:szCs w:val="20"/>
              </w:rPr>
              <w:t>100</w:t>
            </w:r>
            <w:r w:rsidR="0048329F">
              <w:rPr>
                <w:rFonts w:cs="Arial"/>
                <w:sz w:val="20"/>
                <w:szCs w:val="20"/>
              </w:rPr>
              <w:t xml:space="preserve"> </w:t>
            </w:r>
            <w:r w:rsidRPr="0043760E">
              <w:rPr>
                <w:rFonts w:cs="Arial"/>
                <w:sz w:val="20"/>
                <w:szCs w:val="20"/>
              </w:rPr>
              <w:t>%</w:t>
            </w:r>
          </w:p>
        </w:tc>
      </w:tr>
      <w:tr w:rsidR="00966CEE" w:rsidRPr="00EF7BD5" w:rsidTr="006E2A71">
        <w:trPr>
          <w:trHeight w:val="20"/>
        </w:trPr>
        <w:tc>
          <w:tcPr>
            <w:tcW w:w="3960" w:type="dxa"/>
            <w:tcBorders>
              <w:top w:val="single" w:sz="4" w:space="0" w:color="9C9D9F"/>
              <w:bottom w:val="single" w:sz="4" w:space="0" w:color="9C9D9F"/>
            </w:tcBorders>
            <w:noWrap/>
            <w:vAlign w:val="bottom"/>
          </w:tcPr>
          <w:p w:rsidR="00966CEE" w:rsidRPr="00EF7BD5" w:rsidRDefault="00966CEE" w:rsidP="006E2A71">
            <w:pPr>
              <w:rPr>
                <w:rFonts w:cs="Arial"/>
                <w:sz w:val="20"/>
                <w:szCs w:val="20"/>
              </w:rPr>
            </w:pPr>
            <w:r>
              <w:rPr>
                <w:rFonts w:cs="Arial"/>
                <w:sz w:val="20"/>
                <w:szCs w:val="20"/>
              </w:rPr>
              <w:t>CCIRS 3</w:t>
            </w:r>
          </w:p>
        </w:tc>
        <w:tc>
          <w:tcPr>
            <w:tcW w:w="1707" w:type="dxa"/>
            <w:tcBorders>
              <w:top w:val="single" w:sz="4" w:space="0" w:color="9C9D9F"/>
              <w:bottom w:val="single" w:sz="4" w:space="0" w:color="9C9D9F"/>
            </w:tcBorders>
            <w:vAlign w:val="bottom"/>
          </w:tcPr>
          <w:p w:rsidR="00966CEE" w:rsidRPr="0043760E" w:rsidRDefault="00966CEE" w:rsidP="006E2A71">
            <w:pPr>
              <w:jc w:val="right"/>
              <w:rPr>
                <w:rFonts w:cs="Arial"/>
                <w:sz w:val="20"/>
                <w:szCs w:val="20"/>
              </w:rPr>
            </w:pPr>
            <w:r w:rsidRPr="0043760E">
              <w:rPr>
                <w:rFonts w:cs="Arial"/>
                <w:sz w:val="20"/>
                <w:szCs w:val="20"/>
              </w:rPr>
              <w:t>-812</w:t>
            </w:r>
          </w:p>
        </w:tc>
        <w:tc>
          <w:tcPr>
            <w:tcW w:w="1708" w:type="dxa"/>
            <w:tcBorders>
              <w:top w:val="single" w:sz="4" w:space="0" w:color="9C9D9F"/>
              <w:bottom w:val="single" w:sz="4" w:space="0" w:color="9C9D9F"/>
            </w:tcBorders>
            <w:shd w:val="clear" w:color="auto" w:fill="FFFFFF"/>
            <w:vAlign w:val="bottom"/>
          </w:tcPr>
          <w:p w:rsidR="00966CEE" w:rsidRPr="0043760E" w:rsidRDefault="00966CEE" w:rsidP="006E2A71">
            <w:pPr>
              <w:jc w:val="right"/>
              <w:rPr>
                <w:rFonts w:cs="Arial"/>
                <w:sz w:val="20"/>
                <w:szCs w:val="20"/>
              </w:rPr>
            </w:pPr>
            <w:r>
              <w:rPr>
                <w:rFonts w:cs="Arial"/>
                <w:sz w:val="20"/>
                <w:szCs w:val="20"/>
              </w:rPr>
              <w:t>587</w:t>
            </w:r>
          </w:p>
        </w:tc>
        <w:tc>
          <w:tcPr>
            <w:tcW w:w="1767" w:type="dxa"/>
            <w:tcBorders>
              <w:top w:val="single" w:sz="4" w:space="0" w:color="9C9D9F"/>
              <w:bottom w:val="single" w:sz="4" w:space="0" w:color="9C9D9F"/>
            </w:tcBorders>
            <w:shd w:val="clear" w:color="auto" w:fill="FFFFFF"/>
          </w:tcPr>
          <w:p w:rsidR="00966CEE" w:rsidRPr="0043760E" w:rsidRDefault="00966CEE" w:rsidP="006E2A71">
            <w:pPr>
              <w:jc w:val="right"/>
              <w:rPr>
                <w:rFonts w:cs="Arial"/>
                <w:sz w:val="20"/>
                <w:szCs w:val="20"/>
              </w:rPr>
            </w:pPr>
            <w:r w:rsidRPr="0043760E">
              <w:rPr>
                <w:rFonts w:cs="Arial"/>
                <w:sz w:val="20"/>
                <w:szCs w:val="20"/>
              </w:rPr>
              <w:t>100</w:t>
            </w:r>
            <w:r w:rsidR="0048329F">
              <w:rPr>
                <w:rFonts w:cs="Arial"/>
                <w:sz w:val="20"/>
                <w:szCs w:val="20"/>
              </w:rPr>
              <w:t xml:space="preserve"> </w:t>
            </w:r>
            <w:r w:rsidRPr="0043760E">
              <w:rPr>
                <w:rFonts w:cs="Arial"/>
                <w:sz w:val="20"/>
                <w:szCs w:val="20"/>
              </w:rPr>
              <w:t>%</w:t>
            </w:r>
          </w:p>
        </w:tc>
      </w:tr>
      <w:tr w:rsidR="00966CEE" w:rsidRPr="00EF7BD5" w:rsidTr="006E2A71">
        <w:trPr>
          <w:trHeight w:val="20"/>
        </w:trPr>
        <w:tc>
          <w:tcPr>
            <w:tcW w:w="3960" w:type="dxa"/>
            <w:tcBorders>
              <w:top w:val="single" w:sz="4" w:space="0" w:color="9C9D9F"/>
              <w:bottom w:val="single" w:sz="4" w:space="0" w:color="9C9D9F"/>
            </w:tcBorders>
            <w:noWrap/>
            <w:vAlign w:val="bottom"/>
          </w:tcPr>
          <w:p w:rsidR="00966CEE" w:rsidRPr="00EF7BD5" w:rsidRDefault="00966CEE" w:rsidP="006E2A71">
            <w:pPr>
              <w:rPr>
                <w:rFonts w:cs="Arial"/>
                <w:b/>
                <w:bCs/>
                <w:sz w:val="20"/>
                <w:szCs w:val="20"/>
              </w:rPr>
            </w:pPr>
            <w:r w:rsidRPr="00EF7BD5">
              <w:rPr>
                <w:rFonts w:cs="Arial"/>
                <w:b/>
                <w:bCs/>
                <w:sz w:val="20"/>
                <w:szCs w:val="20"/>
              </w:rPr>
              <w:t>Celkem</w:t>
            </w:r>
          </w:p>
        </w:tc>
        <w:tc>
          <w:tcPr>
            <w:tcW w:w="1707" w:type="dxa"/>
            <w:tcBorders>
              <w:top w:val="single" w:sz="4" w:space="0" w:color="9C9D9F"/>
              <w:bottom w:val="single" w:sz="4" w:space="0" w:color="9C9D9F"/>
            </w:tcBorders>
            <w:vAlign w:val="bottom"/>
          </w:tcPr>
          <w:p w:rsidR="00966CEE" w:rsidRPr="0043760E" w:rsidRDefault="00966CEE" w:rsidP="006E2A71">
            <w:pPr>
              <w:jc w:val="right"/>
              <w:rPr>
                <w:rFonts w:cs="Arial"/>
                <w:b/>
                <w:sz w:val="20"/>
                <w:szCs w:val="20"/>
              </w:rPr>
            </w:pPr>
            <w:r>
              <w:rPr>
                <w:rFonts w:cs="Arial"/>
                <w:b/>
                <w:sz w:val="20"/>
                <w:szCs w:val="20"/>
              </w:rPr>
              <w:t xml:space="preserve">-1 </w:t>
            </w:r>
            <w:r w:rsidRPr="0043760E">
              <w:rPr>
                <w:rFonts w:cs="Arial"/>
                <w:b/>
                <w:sz w:val="20"/>
                <w:szCs w:val="20"/>
              </w:rPr>
              <w:t>063</w:t>
            </w:r>
          </w:p>
        </w:tc>
        <w:tc>
          <w:tcPr>
            <w:tcW w:w="1708" w:type="dxa"/>
            <w:tcBorders>
              <w:top w:val="single" w:sz="4" w:space="0" w:color="9C9D9F"/>
              <w:bottom w:val="single" w:sz="4" w:space="0" w:color="9C9D9F"/>
            </w:tcBorders>
            <w:shd w:val="clear" w:color="auto" w:fill="FFFFFF"/>
            <w:vAlign w:val="bottom"/>
          </w:tcPr>
          <w:p w:rsidR="00966CEE" w:rsidRPr="0043760E" w:rsidRDefault="00966CEE" w:rsidP="006E2A71">
            <w:pPr>
              <w:jc w:val="right"/>
              <w:rPr>
                <w:rFonts w:cs="Arial"/>
                <w:b/>
                <w:sz w:val="20"/>
                <w:szCs w:val="20"/>
              </w:rPr>
            </w:pPr>
            <w:r>
              <w:rPr>
                <w:rFonts w:cs="Arial"/>
                <w:b/>
                <w:sz w:val="20"/>
                <w:szCs w:val="20"/>
              </w:rPr>
              <w:t>6 398</w:t>
            </w:r>
          </w:p>
        </w:tc>
        <w:tc>
          <w:tcPr>
            <w:tcW w:w="1767" w:type="dxa"/>
            <w:tcBorders>
              <w:top w:val="single" w:sz="4" w:space="0" w:color="9C9D9F"/>
              <w:bottom w:val="single" w:sz="4" w:space="0" w:color="9C9D9F"/>
            </w:tcBorders>
            <w:shd w:val="clear" w:color="auto" w:fill="FFFFFF"/>
          </w:tcPr>
          <w:p w:rsidR="00966CEE" w:rsidRPr="0043760E" w:rsidRDefault="00966CEE" w:rsidP="006E2A71">
            <w:pPr>
              <w:jc w:val="right"/>
              <w:rPr>
                <w:rFonts w:cs="Arial"/>
                <w:b/>
                <w:sz w:val="20"/>
                <w:szCs w:val="20"/>
              </w:rPr>
            </w:pPr>
            <w:r w:rsidRPr="0043760E">
              <w:rPr>
                <w:rFonts w:cs="Arial"/>
                <w:b/>
                <w:sz w:val="20"/>
                <w:szCs w:val="20"/>
              </w:rPr>
              <w:t>105</w:t>
            </w:r>
            <w:r w:rsidR="0048329F">
              <w:rPr>
                <w:rFonts w:cs="Arial"/>
                <w:b/>
                <w:sz w:val="20"/>
                <w:szCs w:val="20"/>
              </w:rPr>
              <w:t xml:space="preserve"> </w:t>
            </w:r>
            <w:r w:rsidRPr="0043760E">
              <w:rPr>
                <w:rFonts w:cs="Arial"/>
                <w:b/>
                <w:sz w:val="20"/>
                <w:szCs w:val="20"/>
              </w:rPr>
              <w:t>%</w:t>
            </w:r>
          </w:p>
        </w:tc>
      </w:tr>
    </w:tbl>
    <w:p w:rsidR="00AA01FF" w:rsidRPr="007113EB" w:rsidRDefault="00AA01FF" w:rsidP="00AA01FF">
      <w:pPr>
        <w:spacing w:before="0" w:beforeAutospacing="0" w:after="0" w:afterAutospacing="0"/>
        <w:rPr>
          <w:rFonts w:cs="Arial"/>
          <w:color w:val="000000"/>
          <w:sz w:val="20"/>
          <w:szCs w:val="20"/>
        </w:rPr>
      </w:pPr>
      <w:r w:rsidRPr="007113EB">
        <w:rPr>
          <w:rFonts w:cs="Arial"/>
          <w:color w:val="000000"/>
          <w:sz w:val="20"/>
          <w:szCs w:val="20"/>
        </w:rPr>
        <w:t>v tis. EUR</w:t>
      </w:r>
    </w:p>
    <w:p w:rsidR="00AA01FF" w:rsidRPr="00DD4E70" w:rsidRDefault="00AA01FF" w:rsidP="00AA01FF">
      <w:pPr>
        <w:rPr>
          <w:rFonts w:cs="Arial"/>
          <w:color w:val="000000"/>
        </w:rPr>
      </w:pPr>
      <w:r w:rsidRPr="0043760E">
        <w:rPr>
          <w:rFonts w:cs="Arial"/>
          <w:color w:val="000000"/>
        </w:rPr>
        <w:t>Reálná hodnota těchto swapů k 30. červnu 201</w:t>
      </w:r>
      <w:r w:rsidR="00BA524C">
        <w:rPr>
          <w:rFonts w:cs="Arial"/>
          <w:color w:val="000000"/>
        </w:rPr>
        <w:t>7</w:t>
      </w:r>
      <w:r w:rsidRPr="0043760E">
        <w:rPr>
          <w:rFonts w:cs="Arial"/>
          <w:color w:val="000000"/>
        </w:rPr>
        <w:t xml:space="preserve"> představuje </w:t>
      </w:r>
      <w:r w:rsidR="000A0D56">
        <w:rPr>
          <w:rFonts w:cs="Arial"/>
          <w:color w:val="000000"/>
        </w:rPr>
        <w:t>pohledávku</w:t>
      </w:r>
      <w:r w:rsidR="000A0D56" w:rsidRPr="0043760E">
        <w:rPr>
          <w:rFonts w:cs="Arial"/>
          <w:color w:val="000000"/>
        </w:rPr>
        <w:t xml:space="preserve"> </w:t>
      </w:r>
      <w:r w:rsidRPr="0043760E">
        <w:rPr>
          <w:rFonts w:cs="Arial"/>
          <w:color w:val="000000"/>
        </w:rPr>
        <w:t>Společnosti. Tyto swapy pokrývají k tomuto dni přibližně 105 % ostatních dlouhodobých závazků společnosti, které představují celkovou nominální hodnotu veřejné emise dluhopisů ve výši 2,5 mld. Kč (sníženou o částku zpětně odkoupených dluhopisů ve výši 198 mil. Kč) a dvou privátních emisí dluhopisů ve výši 1 080 mil. Kč, resp. 678 mil. Kč.</w:t>
      </w:r>
    </w:p>
    <w:p w:rsidR="00AA01FF" w:rsidRPr="006E2A71" w:rsidRDefault="00AA01FF" w:rsidP="00AA01FF">
      <w:pPr>
        <w:rPr>
          <w:rFonts w:cs="Arial"/>
          <w:i/>
        </w:rPr>
      </w:pPr>
      <w:r w:rsidRPr="006E2A71">
        <w:rPr>
          <w:rFonts w:cs="Arial"/>
          <w:i/>
        </w:rPr>
        <w:t>Senzitivita reálné hodnoty křížových měnových swapů</w:t>
      </w:r>
    </w:p>
    <w:p w:rsidR="00AA01FF" w:rsidRPr="00905037" w:rsidRDefault="00AA01FF" w:rsidP="00AA01FF">
      <w:pPr>
        <w:rPr>
          <w:rFonts w:cs="Arial"/>
        </w:rPr>
      </w:pPr>
      <w:r w:rsidRPr="006E2A71">
        <w:rPr>
          <w:rFonts w:cs="Arial"/>
        </w:rPr>
        <w:t>Posílení kurzu Kč vůči EUR o 1 % by zvýšilo reálnou hodnotu křížových měnových swapů k 3</w:t>
      </w:r>
      <w:r w:rsidR="006E2A71" w:rsidRPr="006E2A71">
        <w:rPr>
          <w:rFonts w:cs="Arial"/>
        </w:rPr>
        <w:t>0</w:t>
      </w:r>
      <w:r w:rsidRPr="006E2A71">
        <w:rPr>
          <w:rFonts w:cs="Arial"/>
        </w:rPr>
        <w:t>. </w:t>
      </w:r>
      <w:r w:rsidR="006E2A71" w:rsidRPr="006E2A71">
        <w:rPr>
          <w:rFonts w:cs="Arial"/>
        </w:rPr>
        <w:t xml:space="preserve">červnu </w:t>
      </w:r>
      <w:r w:rsidRPr="00905037">
        <w:rPr>
          <w:rFonts w:cs="Arial"/>
        </w:rPr>
        <w:t>201</w:t>
      </w:r>
      <w:r w:rsidR="0048329F">
        <w:rPr>
          <w:rFonts w:cs="Arial"/>
        </w:rPr>
        <w:t>7</w:t>
      </w:r>
      <w:r w:rsidRPr="00905037">
        <w:rPr>
          <w:rFonts w:cs="Arial"/>
        </w:rPr>
        <w:t xml:space="preserve"> o zhruba 1,</w:t>
      </w:r>
      <w:r w:rsidR="004B0397">
        <w:rPr>
          <w:rFonts w:cs="Arial"/>
        </w:rPr>
        <w:t>6</w:t>
      </w:r>
      <w:r w:rsidR="0048329F" w:rsidRPr="00905037">
        <w:rPr>
          <w:rFonts w:cs="Arial"/>
        </w:rPr>
        <w:t xml:space="preserve"> </w:t>
      </w:r>
      <w:r w:rsidRPr="00905037">
        <w:rPr>
          <w:rFonts w:cs="Arial"/>
        </w:rPr>
        <w:t>mil. EUR.</w:t>
      </w:r>
    </w:p>
    <w:p w:rsidR="00AA01FF" w:rsidRPr="00DD4E70" w:rsidRDefault="00AA01FF" w:rsidP="00AA01FF">
      <w:pPr>
        <w:rPr>
          <w:rFonts w:cs="Arial"/>
        </w:rPr>
      </w:pPr>
      <w:r w:rsidRPr="00905037">
        <w:rPr>
          <w:rFonts w:cs="Arial"/>
        </w:rPr>
        <w:t>Oslabení kurzu Kč vůči EUR o 1 % by snížilo reálnou hodnotu křížových měnových swapů k 3</w:t>
      </w:r>
      <w:r w:rsidR="006E2A71" w:rsidRPr="00905037">
        <w:rPr>
          <w:rFonts w:cs="Arial"/>
        </w:rPr>
        <w:t>0</w:t>
      </w:r>
      <w:r w:rsidRPr="00905037">
        <w:rPr>
          <w:rFonts w:cs="Arial"/>
        </w:rPr>
        <w:t xml:space="preserve">. </w:t>
      </w:r>
      <w:r w:rsidR="006E2A71" w:rsidRPr="00905037">
        <w:rPr>
          <w:rFonts w:cs="Arial"/>
        </w:rPr>
        <w:t xml:space="preserve">červnu </w:t>
      </w:r>
      <w:r w:rsidRPr="00905037">
        <w:rPr>
          <w:rFonts w:cs="Arial"/>
        </w:rPr>
        <w:t>201</w:t>
      </w:r>
      <w:r w:rsidR="0048329F">
        <w:rPr>
          <w:rFonts w:cs="Arial"/>
        </w:rPr>
        <w:t>7</w:t>
      </w:r>
      <w:r w:rsidRPr="00905037">
        <w:rPr>
          <w:rFonts w:cs="Arial"/>
        </w:rPr>
        <w:t xml:space="preserve"> o zhruba 1,</w:t>
      </w:r>
      <w:r w:rsidR="004B0397">
        <w:rPr>
          <w:rFonts w:cs="Arial"/>
        </w:rPr>
        <w:t>5</w:t>
      </w:r>
      <w:r w:rsidRPr="00905037">
        <w:rPr>
          <w:rFonts w:cs="Arial"/>
        </w:rPr>
        <w:t xml:space="preserve"> mil. EUR.</w:t>
      </w:r>
    </w:p>
    <w:p w:rsidR="00AA01FF" w:rsidRPr="00C85716" w:rsidRDefault="00AA01FF" w:rsidP="00AA01FF">
      <w:pPr>
        <w:rPr>
          <w:rFonts w:cs="Arial"/>
          <w:b/>
        </w:rPr>
      </w:pPr>
      <w:r w:rsidRPr="00C85716">
        <w:rPr>
          <w:rFonts w:cs="Arial"/>
          <w:b/>
        </w:rPr>
        <w:t>Cizoměnové opce</w:t>
      </w:r>
    </w:p>
    <w:p w:rsidR="00866507" w:rsidRDefault="00AA01FF" w:rsidP="00AA01FF">
      <w:pPr>
        <w:rPr>
          <w:rFonts w:cs="Arial"/>
        </w:rPr>
      </w:pPr>
      <w:r w:rsidRPr="00DD4E70">
        <w:rPr>
          <w:rFonts w:cs="Arial"/>
        </w:rPr>
        <w:t>Společnost měla k 3</w:t>
      </w:r>
      <w:r>
        <w:rPr>
          <w:rFonts w:cs="Arial"/>
        </w:rPr>
        <w:t>0</w:t>
      </w:r>
      <w:r w:rsidRPr="00DD4E70">
        <w:rPr>
          <w:rFonts w:cs="Arial"/>
        </w:rPr>
        <w:t xml:space="preserve">. </w:t>
      </w:r>
      <w:r>
        <w:rPr>
          <w:rFonts w:cs="Arial"/>
        </w:rPr>
        <w:t xml:space="preserve">červnu </w:t>
      </w:r>
      <w:r w:rsidRPr="00DD4E70">
        <w:rPr>
          <w:rFonts w:cs="Arial"/>
        </w:rPr>
        <w:t>201</w:t>
      </w:r>
      <w:r w:rsidR="004B0397">
        <w:rPr>
          <w:rFonts w:cs="Arial"/>
        </w:rPr>
        <w:t>7</w:t>
      </w:r>
      <w:r w:rsidRPr="00DD4E70">
        <w:rPr>
          <w:rFonts w:cs="Arial"/>
        </w:rPr>
        <w:t xml:space="preserve"> otevřenou pozici v cizoměnové opční struktuře, kterou Společnost uzavřela v březnu 2016</w:t>
      </w:r>
      <w:r w:rsidR="00050349">
        <w:rPr>
          <w:rFonts w:cs="Arial"/>
        </w:rPr>
        <w:t xml:space="preserve"> a která expiruje v červenci 2019</w:t>
      </w:r>
      <w:r w:rsidRPr="00DD4E70">
        <w:rPr>
          <w:rFonts w:cs="Arial"/>
        </w:rPr>
        <w:t xml:space="preserve">. Cílem této cizoměnové opční struktury je zajištění měnového rizika spojeného s tržbami v EUR a jejich konverzí do Kč v přibližném objemu, který Společnost měsíčně vynakládá na výplatu mezd. </w:t>
      </w:r>
    </w:p>
    <w:p w:rsidR="00757310" w:rsidRDefault="00866507" w:rsidP="00AA01FF">
      <w:pPr>
        <w:rPr>
          <w:rFonts w:cs="Arial"/>
        </w:rPr>
      </w:pPr>
      <w:r>
        <w:rPr>
          <w:rFonts w:cs="Arial"/>
        </w:rPr>
        <w:t xml:space="preserve">Cizoměnová opční struktura se skládá ze dvou </w:t>
      </w:r>
      <w:r w:rsidR="00563069">
        <w:rPr>
          <w:rFonts w:cs="Arial"/>
        </w:rPr>
        <w:t>samostatných transakcí</w:t>
      </w:r>
      <w:r>
        <w:rPr>
          <w:rFonts w:cs="Arial"/>
        </w:rPr>
        <w:t xml:space="preserve">, </w:t>
      </w:r>
      <w:r w:rsidR="00563069">
        <w:rPr>
          <w:rFonts w:cs="Arial"/>
        </w:rPr>
        <w:t xml:space="preserve">série měsíčních </w:t>
      </w:r>
      <w:r>
        <w:rPr>
          <w:rFonts w:cs="Arial"/>
        </w:rPr>
        <w:t>syntetick</w:t>
      </w:r>
      <w:r w:rsidR="00563069">
        <w:rPr>
          <w:rFonts w:cs="Arial"/>
        </w:rPr>
        <w:t>ých forwardů a bariérových opcí. Smyslem bariérových opcí bylo, před opuštěním kurzového závazku ČNB, vylepšit profil celé opční struktury kolem úrovně kurzu 27 Kč za EUR.</w:t>
      </w:r>
      <w:r>
        <w:rPr>
          <w:rFonts w:cs="Arial"/>
        </w:rPr>
        <w:t xml:space="preserve"> </w:t>
      </w:r>
    </w:p>
    <w:p w:rsidR="00866507" w:rsidRDefault="00563069" w:rsidP="00AA01FF">
      <w:pPr>
        <w:rPr>
          <w:rFonts w:cs="Arial"/>
        </w:rPr>
      </w:pPr>
      <w:r>
        <w:rPr>
          <w:rFonts w:cs="Arial"/>
        </w:rPr>
        <w:t>S účinností od dubna 2017 se Společnost rozhodla za</w:t>
      </w:r>
      <w:r w:rsidR="00866507" w:rsidRPr="00866507">
        <w:rPr>
          <w:rFonts w:cs="Arial"/>
        </w:rPr>
        <w:t>v</w:t>
      </w:r>
      <w:r>
        <w:rPr>
          <w:rFonts w:cs="Arial"/>
        </w:rPr>
        <w:t>ést</w:t>
      </w:r>
      <w:r w:rsidR="00866507" w:rsidRPr="00866507">
        <w:rPr>
          <w:rFonts w:cs="Arial"/>
        </w:rPr>
        <w:t xml:space="preserve"> zajišťovací účetnictví</w:t>
      </w:r>
      <w:r>
        <w:rPr>
          <w:rFonts w:cs="Arial"/>
        </w:rPr>
        <w:t xml:space="preserve"> na část cizoměnové opční struktury, sérii měsíčních syntetických forwardů</w:t>
      </w:r>
      <w:r w:rsidR="00866507" w:rsidRPr="00866507">
        <w:rPr>
          <w:rFonts w:cs="Arial"/>
        </w:rPr>
        <w:t xml:space="preserve">. Změna v reálné hodnotě </w:t>
      </w:r>
      <w:r>
        <w:rPr>
          <w:rFonts w:cs="Arial"/>
        </w:rPr>
        <w:t>této části opční struktury</w:t>
      </w:r>
      <w:r w:rsidR="00866507" w:rsidRPr="00866507">
        <w:rPr>
          <w:rFonts w:cs="Arial"/>
        </w:rPr>
        <w:t>, která je považována za efektivní z hlediska zajištění, je vykazována ve vlastním kapitálu. Změna v reálné hodnotě těchto swapů z části, která je považována za neefektivní z hlediska zajištění, je účtována ve výkazu zisků a ztrát.</w:t>
      </w:r>
      <w:r>
        <w:rPr>
          <w:rFonts w:cs="Arial"/>
        </w:rPr>
        <w:t xml:space="preserve"> Druhou část opční struktury, sérií měsíčních bariérových opcí, společnost nadále vede mimo zajišťovací účetnictví a změnu v její reálné hodnotě účtuje ve výkazu zisků a ztrát.</w:t>
      </w:r>
    </w:p>
    <w:p w:rsidR="00AA01FF" w:rsidRPr="00DD4E70" w:rsidRDefault="00AA01FF" w:rsidP="00AA01FF">
      <w:pPr>
        <w:rPr>
          <w:rFonts w:cs="Arial"/>
        </w:rPr>
      </w:pPr>
      <w:r w:rsidRPr="00DD4E70">
        <w:rPr>
          <w:rFonts w:cs="Arial"/>
        </w:rPr>
        <w:t>Reálná hodnota této cizoměnové opční struktury k 3</w:t>
      </w:r>
      <w:r w:rsidR="006D58FF">
        <w:rPr>
          <w:rFonts w:cs="Arial"/>
        </w:rPr>
        <w:t>0</w:t>
      </w:r>
      <w:r w:rsidRPr="00DD4E70">
        <w:rPr>
          <w:rFonts w:cs="Arial"/>
        </w:rPr>
        <w:t xml:space="preserve">. </w:t>
      </w:r>
      <w:r w:rsidR="006D58FF">
        <w:rPr>
          <w:rFonts w:cs="Arial"/>
        </w:rPr>
        <w:t xml:space="preserve">červnu </w:t>
      </w:r>
      <w:r w:rsidRPr="00DD4E70">
        <w:rPr>
          <w:rFonts w:cs="Arial"/>
        </w:rPr>
        <w:t>201</w:t>
      </w:r>
      <w:r w:rsidR="004B0397">
        <w:rPr>
          <w:rFonts w:cs="Arial"/>
        </w:rPr>
        <w:t>7</w:t>
      </w:r>
      <w:r>
        <w:rPr>
          <w:rFonts w:cs="Arial"/>
        </w:rPr>
        <w:t xml:space="preserve"> </w:t>
      </w:r>
      <w:r w:rsidRPr="00DD4E70">
        <w:rPr>
          <w:rFonts w:cs="Arial"/>
        </w:rPr>
        <w:t>je uvedena v následující tabulce. Kladná hodnota představuje pohledávku Společnosti, záporná hodnota závazek Společnosti.</w:t>
      </w:r>
    </w:p>
    <w:tbl>
      <w:tblPr>
        <w:tblW w:w="5000" w:type="pct"/>
        <w:tblCellMar>
          <w:left w:w="70" w:type="dxa"/>
          <w:right w:w="70" w:type="dxa"/>
        </w:tblCellMar>
        <w:tblLook w:val="0000" w:firstRow="0" w:lastRow="0" w:firstColumn="0" w:lastColumn="0" w:noHBand="0" w:noVBand="0"/>
      </w:tblPr>
      <w:tblGrid>
        <w:gridCol w:w="4947"/>
        <w:gridCol w:w="2132"/>
        <w:gridCol w:w="2133"/>
      </w:tblGrid>
      <w:tr w:rsidR="00AA01FF" w:rsidRPr="00EF7BD5" w:rsidTr="002C76B2">
        <w:trPr>
          <w:trHeight w:val="20"/>
        </w:trPr>
        <w:tc>
          <w:tcPr>
            <w:tcW w:w="2685" w:type="pct"/>
            <w:shd w:val="clear" w:color="auto" w:fill="E2001C"/>
            <w:noWrap/>
            <w:vAlign w:val="center"/>
          </w:tcPr>
          <w:p w:rsidR="00AA01FF" w:rsidRPr="00EF7BD5" w:rsidRDefault="00AA01FF" w:rsidP="006E2A71">
            <w:pPr>
              <w:jc w:val="center"/>
              <w:rPr>
                <w:rFonts w:cs="Arial"/>
                <w:b/>
                <w:color w:val="FFFFFF" w:themeColor="background1"/>
                <w:sz w:val="20"/>
                <w:szCs w:val="20"/>
              </w:rPr>
            </w:pPr>
            <w:r w:rsidRPr="00EF7BD5">
              <w:rPr>
                <w:rFonts w:cs="Arial"/>
                <w:b/>
                <w:color w:val="FFFFFF" w:themeColor="background1"/>
                <w:sz w:val="20"/>
                <w:szCs w:val="20"/>
              </w:rPr>
              <w:t>Protistrana</w:t>
            </w:r>
          </w:p>
        </w:tc>
        <w:tc>
          <w:tcPr>
            <w:tcW w:w="1157" w:type="pct"/>
            <w:shd w:val="clear" w:color="auto" w:fill="E2001C"/>
            <w:vAlign w:val="center"/>
          </w:tcPr>
          <w:p w:rsidR="00AA01FF" w:rsidRPr="00EF7BD5" w:rsidRDefault="00AA01FF" w:rsidP="004B0397">
            <w:pPr>
              <w:jc w:val="center"/>
              <w:rPr>
                <w:rFonts w:cs="Arial"/>
                <w:b/>
                <w:bCs/>
                <w:color w:val="FFFFFF" w:themeColor="background1"/>
                <w:sz w:val="20"/>
                <w:szCs w:val="20"/>
              </w:rPr>
            </w:pPr>
            <w:r w:rsidRPr="00EF7BD5">
              <w:rPr>
                <w:rFonts w:cs="Arial"/>
                <w:b/>
                <w:bCs/>
                <w:color w:val="FFFFFF" w:themeColor="background1"/>
                <w:sz w:val="20"/>
                <w:szCs w:val="20"/>
              </w:rPr>
              <w:t>k 3</w:t>
            </w:r>
            <w:r w:rsidR="006D58FF">
              <w:rPr>
                <w:rFonts w:cs="Arial"/>
                <w:b/>
                <w:bCs/>
                <w:color w:val="FFFFFF" w:themeColor="background1"/>
                <w:sz w:val="20"/>
                <w:szCs w:val="20"/>
              </w:rPr>
              <w:t>0</w:t>
            </w:r>
            <w:r w:rsidRPr="00EF7BD5">
              <w:rPr>
                <w:rFonts w:cs="Arial"/>
                <w:b/>
                <w:bCs/>
                <w:color w:val="FFFFFF" w:themeColor="background1"/>
                <w:sz w:val="20"/>
                <w:szCs w:val="20"/>
              </w:rPr>
              <w:t xml:space="preserve">. </w:t>
            </w:r>
            <w:r w:rsidR="006D58FF">
              <w:rPr>
                <w:rFonts w:cs="Arial"/>
                <w:b/>
                <w:bCs/>
                <w:color w:val="FFFFFF" w:themeColor="background1"/>
                <w:sz w:val="20"/>
                <w:szCs w:val="20"/>
              </w:rPr>
              <w:t xml:space="preserve">červnu </w:t>
            </w:r>
            <w:r w:rsidRPr="00EF7BD5">
              <w:rPr>
                <w:rFonts w:cs="Arial"/>
                <w:b/>
                <w:bCs/>
                <w:color w:val="FFFFFF" w:themeColor="background1"/>
                <w:sz w:val="20"/>
                <w:szCs w:val="20"/>
              </w:rPr>
              <w:t>201</w:t>
            </w:r>
            <w:r w:rsidR="004B0397">
              <w:rPr>
                <w:rFonts w:cs="Arial"/>
                <w:b/>
                <w:bCs/>
                <w:color w:val="FFFFFF" w:themeColor="background1"/>
                <w:sz w:val="20"/>
                <w:szCs w:val="20"/>
              </w:rPr>
              <w:t>6</w:t>
            </w:r>
          </w:p>
        </w:tc>
        <w:tc>
          <w:tcPr>
            <w:tcW w:w="1158" w:type="pct"/>
            <w:shd w:val="clear" w:color="auto" w:fill="E2001C"/>
            <w:vAlign w:val="center"/>
          </w:tcPr>
          <w:p w:rsidR="00AA01FF" w:rsidRPr="00EF7BD5" w:rsidRDefault="00AA01FF" w:rsidP="004B0397">
            <w:pPr>
              <w:jc w:val="center"/>
              <w:rPr>
                <w:rFonts w:cs="Arial"/>
                <w:b/>
                <w:bCs/>
                <w:color w:val="FFFFFF" w:themeColor="background1"/>
                <w:sz w:val="20"/>
                <w:szCs w:val="20"/>
              </w:rPr>
            </w:pPr>
            <w:r w:rsidRPr="00EF7BD5">
              <w:rPr>
                <w:rFonts w:cs="Arial"/>
                <w:b/>
                <w:bCs/>
                <w:color w:val="FFFFFF" w:themeColor="background1"/>
                <w:sz w:val="20"/>
                <w:szCs w:val="20"/>
              </w:rPr>
              <w:t>k 3</w:t>
            </w:r>
            <w:r w:rsidR="006D58FF">
              <w:rPr>
                <w:rFonts w:cs="Arial"/>
                <w:b/>
                <w:bCs/>
                <w:color w:val="FFFFFF" w:themeColor="background1"/>
                <w:sz w:val="20"/>
                <w:szCs w:val="20"/>
              </w:rPr>
              <w:t>0</w:t>
            </w:r>
            <w:r w:rsidRPr="00EF7BD5">
              <w:rPr>
                <w:rFonts w:cs="Arial"/>
                <w:b/>
                <w:bCs/>
                <w:color w:val="FFFFFF" w:themeColor="background1"/>
                <w:sz w:val="20"/>
                <w:szCs w:val="20"/>
              </w:rPr>
              <w:t xml:space="preserve">. </w:t>
            </w:r>
            <w:r w:rsidR="006D58FF">
              <w:rPr>
                <w:rFonts w:cs="Arial"/>
                <w:b/>
                <w:bCs/>
                <w:color w:val="FFFFFF" w:themeColor="background1"/>
                <w:sz w:val="20"/>
                <w:szCs w:val="20"/>
              </w:rPr>
              <w:t xml:space="preserve">červnu </w:t>
            </w:r>
            <w:r w:rsidRPr="00EF7BD5">
              <w:rPr>
                <w:rFonts w:cs="Arial"/>
                <w:b/>
                <w:bCs/>
                <w:color w:val="FFFFFF" w:themeColor="background1"/>
                <w:sz w:val="20"/>
                <w:szCs w:val="20"/>
              </w:rPr>
              <w:t>201</w:t>
            </w:r>
            <w:r w:rsidR="004B0397">
              <w:rPr>
                <w:rFonts w:cs="Arial"/>
                <w:b/>
                <w:bCs/>
                <w:color w:val="FFFFFF" w:themeColor="background1"/>
                <w:sz w:val="20"/>
                <w:szCs w:val="20"/>
              </w:rPr>
              <w:t>7</w:t>
            </w:r>
          </w:p>
        </w:tc>
      </w:tr>
      <w:tr w:rsidR="004B0397" w:rsidRPr="00EF7BD5" w:rsidTr="002C76B2">
        <w:trPr>
          <w:trHeight w:val="20"/>
        </w:trPr>
        <w:tc>
          <w:tcPr>
            <w:tcW w:w="2685" w:type="pct"/>
            <w:tcBorders>
              <w:bottom w:val="single" w:sz="4" w:space="0" w:color="9C9D9F"/>
            </w:tcBorders>
            <w:noWrap/>
            <w:vAlign w:val="bottom"/>
          </w:tcPr>
          <w:p w:rsidR="004B0397" w:rsidRPr="00EF7BD5" w:rsidRDefault="004B0397" w:rsidP="00050349">
            <w:pPr>
              <w:rPr>
                <w:rFonts w:cs="Arial"/>
                <w:sz w:val="20"/>
                <w:szCs w:val="20"/>
              </w:rPr>
            </w:pPr>
            <w:r>
              <w:rPr>
                <w:rFonts w:cs="Arial"/>
                <w:sz w:val="20"/>
                <w:szCs w:val="20"/>
              </w:rPr>
              <w:t>C</w:t>
            </w:r>
            <w:r w:rsidRPr="00EF7BD5">
              <w:rPr>
                <w:rFonts w:cs="Arial"/>
                <w:sz w:val="20"/>
                <w:szCs w:val="20"/>
              </w:rPr>
              <w:t>izoměnová opční struktura</w:t>
            </w:r>
            <w:r w:rsidR="00563069">
              <w:rPr>
                <w:rFonts w:cs="Arial"/>
                <w:sz w:val="20"/>
                <w:szCs w:val="20"/>
              </w:rPr>
              <w:t>-série syntetických forwardů</w:t>
            </w:r>
          </w:p>
        </w:tc>
        <w:tc>
          <w:tcPr>
            <w:tcW w:w="1157" w:type="pct"/>
            <w:tcBorders>
              <w:bottom w:val="single" w:sz="4" w:space="0" w:color="9C9D9F"/>
            </w:tcBorders>
            <w:vAlign w:val="bottom"/>
          </w:tcPr>
          <w:p w:rsidR="004B0397" w:rsidRPr="00EF7BD5" w:rsidRDefault="00050349" w:rsidP="006E2A71">
            <w:pPr>
              <w:jc w:val="right"/>
              <w:rPr>
                <w:rFonts w:cs="Arial"/>
                <w:sz w:val="20"/>
                <w:szCs w:val="20"/>
              </w:rPr>
            </w:pPr>
            <w:r>
              <w:rPr>
                <w:rFonts w:cs="Arial"/>
                <w:sz w:val="20"/>
                <w:szCs w:val="20"/>
              </w:rPr>
              <w:t>-574</w:t>
            </w:r>
          </w:p>
        </w:tc>
        <w:tc>
          <w:tcPr>
            <w:tcW w:w="1158" w:type="pct"/>
            <w:tcBorders>
              <w:bottom w:val="single" w:sz="4" w:space="0" w:color="9C9D9F"/>
            </w:tcBorders>
            <w:shd w:val="clear" w:color="auto" w:fill="FFFFFF"/>
            <w:vAlign w:val="bottom"/>
          </w:tcPr>
          <w:p w:rsidR="004B0397" w:rsidRPr="00EF7BD5" w:rsidRDefault="00050349" w:rsidP="00050349">
            <w:pPr>
              <w:jc w:val="right"/>
              <w:rPr>
                <w:rFonts w:cs="Arial"/>
                <w:sz w:val="20"/>
                <w:szCs w:val="20"/>
              </w:rPr>
            </w:pPr>
            <w:r>
              <w:rPr>
                <w:rFonts w:cs="Arial"/>
                <w:sz w:val="20"/>
                <w:szCs w:val="20"/>
              </w:rPr>
              <w:t>593</w:t>
            </w:r>
          </w:p>
        </w:tc>
      </w:tr>
      <w:tr w:rsidR="00563069" w:rsidRPr="00EF7BD5" w:rsidTr="00563069">
        <w:trPr>
          <w:trHeight w:val="20"/>
        </w:trPr>
        <w:tc>
          <w:tcPr>
            <w:tcW w:w="2685" w:type="pct"/>
            <w:tcBorders>
              <w:top w:val="single" w:sz="4" w:space="0" w:color="9C9D9F"/>
              <w:bottom w:val="single" w:sz="4" w:space="0" w:color="9C9D9F"/>
            </w:tcBorders>
            <w:noWrap/>
            <w:vAlign w:val="bottom"/>
          </w:tcPr>
          <w:p w:rsidR="00563069" w:rsidRPr="00EF7BD5" w:rsidRDefault="00563069" w:rsidP="00050349">
            <w:pPr>
              <w:rPr>
                <w:rFonts w:cs="Arial"/>
                <w:b/>
                <w:bCs/>
                <w:sz w:val="20"/>
                <w:szCs w:val="20"/>
              </w:rPr>
            </w:pPr>
            <w:r>
              <w:rPr>
                <w:rFonts w:cs="Arial"/>
                <w:sz w:val="20"/>
                <w:szCs w:val="20"/>
              </w:rPr>
              <w:t>C</w:t>
            </w:r>
            <w:r w:rsidRPr="00EF7BD5">
              <w:rPr>
                <w:rFonts w:cs="Arial"/>
                <w:sz w:val="20"/>
                <w:szCs w:val="20"/>
              </w:rPr>
              <w:t>izoměnová opční struktura</w:t>
            </w:r>
            <w:r>
              <w:rPr>
                <w:rFonts w:cs="Arial"/>
                <w:sz w:val="20"/>
                <w:szCs w:val="20"/>
              </w:rPr>
              <w:t>-série bariérových opcí</w:t>
            </w:r>
          </w:p>
        </w:tc>
        <w:tc>
          <w:tcPr>
            <w:tcW w:w="1157" w:type="pct"/>
            <w:tcBorders>
              <w:top w:val="single" w:sz="4" w:space="0" w:color="9C9D9F"/>
              <w:bottom w:val="single" w:sz="4" w:space="0" w:color="9C9D9F"/>
            </w:tcBorders>
            <w:vAlign w:val="bottom"/>
          </w:tcPr>
          <w:p w:rsidR="00563069" w:rsidRPr="00050349" w:rsidRDefault="00050349" w:rsidP="006E2A71">
            <w:pPr>
              <w:jc w:val="right"/>
              <w:rPr>
                <w:rFonts w:cs="Arial"/>
                <w:sz w:val="20"/>
                <w:szCs w:val="20"/>
              </w:rPr>
            </w:pPr>
            <w:r w:rsidRPr="00050349">
              <w:rPr>
                <w:rFonts w:cs="Arial"/>
                <w:sz w:val="20"/>
                <w:szCs w:val="20"/>
              </w:rPr>
              <w:t>146</w:t>
            </w:r>
          </w:p>
        </w:tc>
        <w:tc>
          <w:tcPr>
            <w:tcW w:w="1158" w:type="pct"/>
            <w:tcBorders>
              <w:top w:val="single" w:sz="4" w:space="0" w:color="9C9D9F"/>
              <w:bottom w:val="single" w:sz="4" w:space="0" w:color="9C9D9F"/>
            </w:tcBorders>
            <w:shd w:val="clear" w:color="auto" w:fill="FFFFFF"/>
            <w:vAlign w:val="bottom"/>
          </w:tcPr>
          <w:p w:rsidR="00563069" w:rsidRPr="00050349" w:rsidDel="004B0397" w:rsidRDefault="00050349" w:rsidP="006E2A71">
            <w:pPr>
              <w:jc w:val="right"/>
              <w:rPr>
                <w:rFonts w:cs="Arial"/>
                <w:sz w:val="20"/>
                <w:szCs w:val="20"/>
              </w:rPr>
            </w:pPr>
            <w:r w:rsidRPr="00050349">
              <w:rPr>
                <w:rFonts w:cs="Arial"/>
                <w:sz w:val="20"/>
                <w:szCs w:val="20"/>
              </w:rPr>
              <w:t>-16</w:t>
            </w:r>
          </w:p>
        </w:tc>
      </w:tr>
      <w:tr w:rsidR="00563069" w:rsidRPr="00EF7BD5" w:rsidTr="00050349">
        <w:trPr>
          <w:trHeight w:val="20"/>
        </w:trPr>
        <w:tc>
          <w:tcPr>
            <w:tcW w:w="2685" w:type="pct"/>
            <w:tcBorders>
              <w:top w:val="single" w:sz="4" w:space="0" w:color="9C9D9F"/>
              <w:bottom w:val="single" w:sz="4" w:space="0" w:color="9C9D9F"/>
            </w:tcBorders>
            <w:noWrap/>
            <w:vAlign w:val="bottom"/>
          </w:tcPr>
          <w:p w:rsidR="00563069" w:rsidRPr="00EF7BD5" w:rsidRDefault="00563069" w:rsidP="006E2A71">
            <w:pPr>
              <w:rPr>
                <w:rFonts w:cs="Arial"/>
                <w:b/>
                <w:bCs/>
                <w:sz w:val="20"/>
                <w:szCs w:val="20"/>
              </w:rPr>
            </w:pPr>
            <w:r w:rsidRPr="00EF7BD5">
              <w:rPr>
                <w:rFonts w:cs="Arial"/>
                <w:b/>
                <w:bCs/>
                <w:sz w:val="20"/>
                <w:szCs w:val="20"/>
              </w:rPr>
              <w:t>Celkem</w:t>
            </w:r>
          </w:p>
        </w:tc>
        <w:tc>
          <w:tcPr>
            <w:tcW w:w="1157" w:type="pct"/>
            <w:tcBorders>
              <w:top w:val="single" w:sz="4" w:space="0" w:color="9C9D9F"/>
              <w:bottom w:val="single" w:sz="4" w:space="0" w:color="9C9D9F"/>
            </w:tcBorders>
            <w:vAlign w:val="bottom"/>
          </w:tcPr>
          <w:p w:rsidR="00563069" w:rsidRPr="00EF7BD5" w:rsidRDefault="00563069" w:rsidP="006E2A71">
            <w:pPr>
              <w:jc w:val="right"/>
              <w:rPr>
                <w:rFonts w:cs="Arial"/>
                <w:b/>
                <w:sz w:val="20"/>
                <w:szCs w:val="20"/>
              </w:rPr>
            </w:pPr>
            <w:r w:rsidRPr="00EF7BD5">
              <w:rPr>
                <w:rFonts w:cs="Arial"/>
                <w:b/>
                <w:sz w:val="20"/>
                <w:szCs w:val="20"/>
              </w:rPr>
              <w:t>-</w:t>
            </w:r>
            <w:r>
              <w:rPr>
                <w:rFonts w:cs="Arial"/>
                <w:b/>
                <w:sz w:val="20"/>
                <w:szCs w:val="20"/>
              </w:rPr>
              <w:t>428</w:t>
            </w:r>
          </w:p>
        </w:tc>
        <w:tc>
          <w:tcPr>
            <w:tcW w:w="1158" w:type="pct"/>
            <w:tcBorders>
              <w:top w:val="single" w:sz="4" w:space="0" w:color="9C9D9F"/>
              <w:bottom w:val="single" w:sz="4" w:space="0" w:color="9C9D9F"/>
            </w:tcBorders>
            <w:shd w:val="clear" w:color="auto" w:fill="FFFFFF"/>
            <w:vAlign w:val="bottom"/>
          </w:tcPr>
          <w:p w:rsidR="00563069" w:rsidRPr="00EF7BD5" w:rsidRDefault="00563069" w:rsidP="00050349">
            <w:pPr>
              <w:jc w:val="right"/>
              <w:rPr>
                <w:rFonts w:cs="Arial"/>
                <w:b/>
                <w:sz w:val="20"/>
                <w:szCs w:val="20"/>
              </w:rPr>
            </w:pPr>
            <w:r>
              <w:rPr>
                <w:rFonts w:cs="Arial"/>
                <w:b/>
                <w:sz w:val="20"/>
                <w:szCs w:val="20"/>
              </w:rPr>
              <w:t>57</w:t>
            </w:r>
            <w:r w:rsidR="00050349">
              <w:rPr>
                <w:rFonts w:cs="Arial"/>
                <w:b/>
                <w:sz w:val="20"/>
                <w:szCs w:val="20"/>
              </w:rPr>
              <w:t>7</w:t>
            </w:r>
          </w:p>
        </w:tc>
      </w:tr>
    </w:tbl>
    <w:p w:rsidR="00AA01FF" w:rsidRPr="007113EB" w:rsidRDefault="00AA01FF" w:rsidP="0043760E">
      <w:pPr>
        <w:spacing w:before="0" w:beforeAutospacing="0" w:after="0" w:afterAutospacing="0"/>
        <w:rPr>
          <w:rFonts w:cs="Arial"/>
          <w:color w:val="000000"/>
          <w:sz w:val="20"/>
          <w:szCs w:val="20"/>
        </w:rPr>
      </w:pPr>
      <w:r w:rsidRPr="007113EB">
        <w:rPr>
          <w:rFonts w:cs="Arial"/>
          <w:color w:val="000000"/>
          <w:sz w:val="20"/>
          <w:szCs w:val="20"/>
        </w:rPr>
        <w:t>v tis. EUR</w:t>
      </w:r>
    </w:p>
    <w:p w:rsidR="0043760E" w:rsidRDefault="0043760E">
      <w:pPr>
        <w:spacing w:before="0" w:beforeAutospacing="0" w:after="0" w:afterAutospacing="0"/>
        <w:jc w:val="left"/>
        <w:rPr>
          <w:rFonts w:cs="Arial"/>
          <w:i/>
          <w:highlight w:val="yellow"/>
        </w:rPr>
      </w:pPr>
    </w:p>
    <w:p w:rsidR="00AA01FF" w:rsidRPr="006E2A71" w:rsidRDefault="00AA01FF" w:rsidP="00AA01FF">
      <w:pPr>
        <w:rPr>
          <w:rFonts w:cs="Arial"/>
          <w:i/>
        </w:rPr>
      </w:pPr>
      <w:r w:rsidRPr="006E2A71">
        <w:rPr>
          <w:rFonts w:cs="Arial"/>
          <w:i/>
        </w:rPr>
        <w:t>Senzitivita reálné hodnoty cizoměnové opční struktury</w:t>
      </w:r>
    </w:p>
    <w:p w:rsidR="00AA01FF" w:rsidRPr="00905037" w:rsidRDefault="00AA01FF" w:rsidP="00AA01FF">
      <w:pPr>
        <w:rPr>
          <w:rFonts w:cs="Arial"/>
        </w:rPr>
      </w:pPr>
      <w:r w:rsidRPr="006E2A71">
        <w:rPr>
          <w:rFonts w:cs="Arial"/>
        </w:rPr>
        <w:t xml:space="preserve">Posílení </w:t>
      </w:r>
      <w:r w:rsidRPr="00905037">
        <w:rPr>
          <w:rFonts w:cs="Arial"/>
        </w:rPr>
        <w:t>kurzu Kč vůči EUR o 5 % by zvýšilo reálnou hodnotu cizoměnové opční struktury k 3</w:t>
      </w:r>
      <w:r w:rsidR="006E2A71" w:rsidRPr="00905037">
        <w:rPr>
          <w:rFonts w:cs="Arial"/>
        </w:rPr>
        <w:t>0</w:t>
      </w:r>
      <w:r w:rsidRPr="00905037">
        <w:rPr>
          <w:rFonts w:cs="Arial"/>
        </w:rPr>
        <w:t xml:space="preserve">. </w:t>
      </w:r>
      <w:r w:rsidR="006E2A71" w:rsidRPr="00905037">
        <w:rPr>
          <w:rFonts w:cs="Arial"/>
        </w:rPr>
        <w:t xml:space="preserve">červnu </w:t>
      </w:r>
      <w:r w:rsidRPr="00905037">
        <w:rPr>
          <w:rFonts w:cs="Arial"/>
        </w:rPr>
        <w:t>201</w:t>
      </w:r>
      <w:r w:rsidR="004B0397">
        <w:rPr>
          <w:rFonts w:cs="Arial"/>
        </w:rPr>
        <w:t>7</w:t>
      </w:r>
      <w:r w:rsidRPr="00905037">
        <w:rPr>
          <w:rFonts w:cs="Arial"/>
        </w:rPr>
        <w:t xml:space="preserve"> o zhruba </w:t>
      </w:r>
      <w:r w:rsidR="004B0397">
        <w:rPr>
          <w:rFonts w:cs="Arial"/>
        </w:rPr>
        <w:t>1,4</w:t>
      </w:r>
      <w:r w:rsidRPr="00905037">
        <w:rPr>
          <w:rFonts w:cs="Arial"/>
        </w:rPr>
        <w:t xml:space="preserve"> mil. EUR.</w:t>
      </w:r>
    </w:p>
    <w:p w:rsidR="00AA01FF" w:rsidRPr="00DD4E70" w:rsidRDefault="00AA01FF" w:rsidP="00202C43">
      <w:pPr>
        <w:rPr>
          <w:rFonts w:cs="Arial"/>
        </w:rPr>
      </w:pPr>
      <w:r w:rsidRPr="00905037">
        <w:rPr>
          <w:rFonts w:cs="Arial"/>
        </w:rPr>
        <w:t>Oslabení kurzu Kč vůči EUR o 5 % by snížilo reálnou hodnotu cizoměnové opční struktury k 3</w:t>
      </w:r>
      <w:r w:rsidR="006E2A71" w:rsidRPr="00905037">
        <w:rPr>
          <w:rFonts w:cs="Arial"/>
        </w:rPr>
        <w:t>0</w:t>
      </w:r>
      <w:r w:rsidRPr="00905037">
        <w:rPr>
          <w:rFonts w:cs="Arial"/>
        </w:rPr>
        <w:t xml:space="preserve">. </w:t>
      </w:r>
      <w:r w:rsidR="006E2A71" w:rsidRPr="00905037">
        <w:rPr>
          <w:rFonts w:cs="Arial"/>
        </w:rPr>
        <w:t xml:space="preserve">červnu </w:t>
      </w:r>
      <w:r w:rsidRPr="00905037">
        <w:rPr>
          <w:rFonts w:cs="Arial"/>
        </w:rPr>
        <w:t>201</w:t>
      </w:r>
      <w:r w:rsidR="004B0397">
        <w:rPr>
          <w:rFonts w:cs="Arial"/>
        </w:rPr>
        <w:t>7</w:t>
      </w:r>
      <w:r w:rsidRPr="00905037">
        <w:rPr>
          <w:rFonts w:cs="Arial"/>
        </w:rPr>
        <w:t xml:space="preserve"> o zhruba 1,</w:t>
      </w:r>
      <w:r w:rsidR="004B0397">
        <w:rPr>
          <w:rFonts w:cs="Arial"/>
        </w:rPr>
        <w:t>3</w:t>
      </w:r>
      <w:r w:rsidRPr="00905037">
        <w:rPr>
          <w:rFonts w:cs="Arial"/>
        </w:rPr>
        <w:t xml:space="preserve"> mil. EUR.</w:t>
      </w:r>
    </w:p>
    <w:p w:rsidR="00236FFC" w:rsidRPr="007A3749" w:rsidRDefault="00236FFC" w:rsidP="00BC1C24">
      <w:pPr>
        <w:pStyle w:val="Heading4"/>
      </w:pPr>
      <w:r w:rsidRPr="007A3749">
        <w:t>Zisk na akcii</w:t>
      </w:r>
    </w:p>
    <w:p w:rsidR="006E2A71" w:rsidRDefault="006E2A71" w:rsidP="006E2A71">
      <w:r>
        <w:t xml:space="preserve">Základní zisk na akcii je vypočítán jako čistý zisk v daném období přiřaditelný akcionářům Společnosti dělený váženým průměrem počtu kmenových akcií existujících každý den v daném období, který zohledňuje (snížením) zpětně odkoupené akcie. </w:t>
      </w:r>
    </w:p>
    <w:p w:rsidR="006E2A71" w:rsidRDefault="006E2A71" w:rsidP="006E2A71">
      <w:r>
        <w:t xml:space="preserve">Plně zředěný zisk na akcii se vypočítá na základě váženého průměru počtu akcií v oběhu (stanoveného obdobně jako v případě základního zisku na akcii) upraveného o vliv předpokládané emise všech potenciálních ředících cenných papírů, tj. warrantů v případě Společnosti. </w:t>
      </w:r>
    </w:p>
    <w:p w:rsidR="006E2A71" w:rsidRDefault="006E2A71" w:rsidP="006E2A71">
      <w:r>
        <w:t xml:space="preserve">V prvních šesti měsících roku 2016 nedošlo k změně v počtu akcií vydaných Společností. </w:t>
      </w:r>
      <w:r w:rsidR="00C17D44">
        <w:t>V prvních šesti měsících roku 2017 došlo ke snížení základního kapitálu Společnosti z 9 229 400 akcií na 8 763 859 akcií, tj. o 465 541 kusů zpětně odkoupených vlastních akcií. Snížení kapitálu nemělo vliv na počet akcií použitých ve výpočtu ukazatele zisku na akcii, protože ten již zohledňuje (snížením) zpětně odkoupené akcie.</w:t>
      </w:r>
    </w:p>
    <w:p w:rsidR="006E2A71" w:rsidRDefault="006E2A71" w:rsidP="006E2A71">
      <w:r>
        <w:t>Vážený průměr počtu kmenových akcií použitých pro výpočet základního zisku na akcii k 30. červnu 2016 reflektuje zpětně odkoupené akcie na základě programu, který byl ukončen v únoru 2016.</w:t>
      </w:r>
    </w:p>
    <w:p w:rsidR="006E2A71" w:rsidRPr="006F6E73" w:rsidRDefault="006E2A71" w:rsidP="006E2A71">
      <w:pPr>
        <w:rPr>
          <w:b/>
        </w:rPr>
      </w:pPr>
      <w:r w:rsidRPr="006F6E73">
        <w:rPr>
          <w:b/>
        </w:rPr>
        <w:t>Základní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6E2A71" w:rsidRPr="006E2A71" w:rsidTr="006E2A71">
        <w:trPr>
          <w:trHeight w:val="288"/>
        </w:trPr>
        <w:tc>
          <w:tcPr>
            <w:tcW w:w="340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6 měsíců končících</w:t>
            </w:r>
          </w:p>
        </w:tc>
      </w:tr>
      <w:tr w:rsidR="006E2A71" w:rsidRPr="006E2A71" w:rsidTr="006E2A71">
        <w:trPr>
          <w:trHeight w:val="552"/>
        </w:trPr>
        <w:tc>
          <w:tcPr>
            <w:tcW w:w="340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1280" w:type="dxa"/>
            <w:tcBorders>
              <w:top w:val="nil"/>
              <w:left w:val="nil"/>
              <w:bottom w:val="nil"/>
              <w:right w:val="nil"/>
            </w:tcBorders>
            <w:shd w:val="clear" w:color="000000" w:fill="E2001C"/>
            <w:vAlign w:val="center"/>
            <w:hideMark/>
          </w:tcPr>
          <w:p w:rsidR="006E2A71" w:rsidRPr="006E2A71" w:rsidRDefault="006E2A71" w:rsidP="00D96ADF">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D96ADF">
              <w:rPr>
                <w:rFonts w:ascii="Calibri" w:hAnsi="Calibri" w:cs="Arial"/>
                <w:b/>
                <w:bCs/>
                <w:color w:val="FFFFFF" w:themeColor="background1"/>
                <w:sz w:val="20"/>
                <w:szCs w:val="20"/>
                <w:lang w:eastAsia="en-US"/>
              </w:rPr>
              <w:t>6</w:t>
            </w:r>
          </w:p>
        </w:tc>
        <w:tc>
          <w:tcPr>
            <w:tcW w:w="1280" w:type="dxa"/>
            <w:tcBorders>
              <w:top w:val="nil"/>
              <w:left w:val="nil"/>
              <w:bottom w:val="nil"/>
              <w:right w:val="nil"/>
            </w:tcBorders>
            <w:shd w:val="clear" w:color="000000" w:fill="E2001C"/>
            <w:vAlign w:val="center"/>
            <w:hideMark/>
          </w:tcPr>
          <w:p w:rsidR="006E2A71" w:rsidRPr="006E2A71" w:rsidRDefault="006E2A71" w:rsidP="00D7322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7</w:t>
            </w:r>
          </w:p>
        </w:tc>
        <w:tc>
          <w:tcPr>
            <w:tcW w:w="1280" w:type="dxa"/>
            <w:tcBorders>
              <w:top w:val="nil"/>
              <w:left w:val="nil"/>
              <w:bottom w:val="nil"/>
              <w:right w:val="nil"/>
            </w:tcBorders>
            <w:shd w:val="clear" w:color="000000" w:fill="E2001C"/>
            <w:vAlign w:val="center"/>
            <w:hideMark/>
          </w:tcPr>
          <w:p w:rsidR="006E2A71" w:rsidRPr="006E2A71" w:rsidRDefault="006E2A71" w:rsidP="007F0BA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6</w:t>
            </w:r>
          </w:p>
        </w:tc>
        <w:tc>
          <w:tcPr>
            <w:tcW w:w="1280" w:type="dxa"/>
            <w:tcBorders>
              <w:top w:val="nil"/>
              <w:left w:val="nil"/>
              <w:bottom w:val="nil"/>
              <w:right w:val="nil"/>
            </w:tcBorders>
            <w:shd w:val="clear" w:color="000000" w:fill="E2001C"/>
            <w:vAlign w:val="center"/>
            <w:hideMark/>
          </w:tcPr>
          <w:p w:rsidR="006E2A71" w:rsidRPr="006E2A71" w:rsidRDefault="006E2A71" w:rsidP="00D7322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7</w:t>
            </w:r>
          </w:p>
        </w:tc>
      </w:tr>
      <w:tr w:rsidR="007F0BA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7F0BA2" w:rsidRPr="006E2A71" w:rsidRDefault="007F0BA2" w:rsidP="006E2A71">
            <w:pPr>
              <w:spacing w:before="0" w:beforeAutospacing="0" w:after="0" w:afterAutospacing="0"/>
              <w:rPr>
                <w:rFonts w:ascii="Calibri" w:hAnsi="Calibri"/>
                <w:color w:val="000000"/>
                <w:sz w:val="20"/>
                <w:szCs w:val="20"/>
                <w:lang w:val="en-US" w:eastAsia="en-US"/>
              </w:rPr>
            </w:pPr>
            <w:bookmarkStart w:id="106" w:name="RANGE!B4"/>
            <w:bookmarkStart w:id="107" w:name="_Hlk277092009" w:colFirst="1" w:colLast="5"/>
            <w:r w:rsidRPr="006E2A71">
              <w:rPr>
                <w:rFonts w:ascii="Calibri" w:hAnsi="Calibri" w:cs="Arial"/>
                <w:color w:val="000000"/>
                <w:sz w:val="20"/>
                <w:szCs w:val="20"/>
                <w:lang w:eastAsia="en-US"/>
              </w:rPr>
              <w:t>Čistý zisk přiřaditelný akcionářům</w:t>
            </w:r>
            <w:bookmarkEnd w:id="106"/>
          </w:p>
        </w:tc>
        <w:tc>
          <w:tcPr>
            <w:tcW w:w="960" w:type="dxa"/>
            <w:tcBorders>
              <w:top w:val="nil"/>
              <w:left w:val="nil"/>
              <w:bottom w:val="single" w:sz="8" w:space="0" w:color="9C9D9F"/>
              <w:right w:val="nil"/>
            </w:tcBorders>
            <w:shd w:val="clear" w:color="auto" w:fill="auto"/>
            <w:vAlign w:val="center"/>
            <w:hideMark/>
          </w:tcPr>
          <w:p w:rsidR="007F0BA2" w:rsidRPr="006E2A71" w:rsidRDefault="007F0BA2"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 xml:space="preserve">tis. EUR </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7 078</w:t>
            </w:r>
          </w:p>
        </w:tc>
        <w:tc>
          <w:tcPr>
            <w:tcW w:w="1280" w:type="dxa"/>
            <w:tcBorders>
              <w:top w:val="nil"/>
              <w:left w:val="nil"/>
              <w:bottom w:val="single" w:sz="8" w:space="0" w:color="9C9D9F"/>
              <w:right w:val="nil"/>
            </w:tcBorders>
            <w:shd w:val="clear" w:color="auto" w:fill="auto"/>
            <w:vAlign w:val="center"/>
          </w:tcPr>
          <w:p w:rsidR="007F0BA2" w:rsidRPr="006E2A71" w:rsidRDefault="0048429B" w:rsidP="0048429B">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797</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7 548</w:t>
            </w:r>
          </w:p>
        </w:tc>
        <w:tc>
          <w:tcPr>
            <w:tcW w:w="1280" w:type="dxa"/>
            <w:tcBorders>
              <w:top w:val="nil"/>
              <w:left w:val="nil"/>
              <w:bottom w:val="single" w:sz="8" w:space="0" w:color="9C9D9F"/>
              <w:right w:val="nil"/>
            </w:tcBorders>
            <w:shd w:val="clear" w:color="auto" w:fill="auto"/>
            <w:vAlign w:val="center"/>
          </w:tcPr>
          <w:p w:rsidR="007F0BA2" w:rsidRPr="006E2A71" w:rsidRDefault="00F12220" w:rsidP="0048429B">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 xml:space="preserve">4 </w:t>
            </w:r>
            <w:r w:rsidR="0048429B">
              <w:rPr>
                <w:rFonts w:ascii="Calibri" w:hAnsi="Calibri"/>
                <w:color w:val="000000"/>
                <w:sz w:val="20"/>
                <w:szCs w:val="20"/>
                <w:lang w:val="en-US" w:eastAsia="en-US"/>
              </w:rPr>
              <w:t>458</w:t>
            </w:r>
          </w:p>
        </w:tc>
      </w:tr>
      <w:bookmarkEnd w:id="107"/>
      <w:tr w:rsidR="007F0BA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7F0BA2" w:rsidRPr="007D00E7" w:rsidRDefault="007F0BA2" w:rsidP="006E2A71">
            <w:pPr>
              <w:spacing w:before="0" w:beforeAutospacing="0" w:after="0" w:afterAutospacing="0"/>
              <w:rPr>
                <w:rFonts w:ascii="Calibri" w:hAnsi="Calibri"/>
                <w:color w:val="000000"/>
                <w:sz w:val="20"/>
                <w:szCs w:val="20"/>
                <w:lang w:eastAsia="en-US"/>
              </w:rPr>
            </w:pPr>
            <w:r w:rsidRPr="006E2A71">
              <w:rPr>
                <w:rFonts w:ascii="Calibri" w:hAnsi="Calibri"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rsidR="007F0BA2" w:rsidRPr="006E2A71" w:rsidRDefault="007F0BA2"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8 767 930</w:t>
            </w:r>
          </w:p>
        </w:tc>
        <w:tc>
          <w:tcPr>
            <w:tcW w:w="1280" w:type="dxa"/>
            <w:tcBorders>
              <w:top w:val="nil"/>
              <w:left w:val="nil"/>
              <w:bottom w:val="single" w:sz="8" w:space="0" w:color="9C9D9F"/>
              <w:right w:val="nil"/>
            </w:tcBorders>
            <w:shd w:val="clear" w:color="auto" w:fill="auto"/>
            <w:vAlign w:val="center"/>
          </w:tcPr>
          <w:p w:rsidR="007F0BA2" w:rsidRPr="006E2A71" w:rsidRDefault="001B2877" w:rsidP="00202C43">
            <w:pPr>
              <w:spacing w:before="0" w:beforeAutospacing="0" w:after="0" w:afterAutospacing="0"/>
              <w:jc w:val="right"/>
              <w:rPr>
                <w:rFonts w:ascii="Calibri" w:hAnsi="Calibri"/>
                <w:color w:val="000000"/>
                <w:sz w:val="20"/>
                <w:szCs w:val="20"/>
                <w:lang w:val="en-US" w:eastAsia="en-US"/>
              </w:rPr>
            </w:pPr>
            <w:r w:rsidRPr="001B2877">
              <w:rPr>
                <w:rFonts w:ascii="Calibri" w:hAnsi="Calibri"/>
                <w:color w:val="000000"/>
                <w:sz w:val="20"/>
                <w:szCs w:val="20"/>
                <w:lang w:val="en-US" w:eastAsia="en-US"/>
              </w:rPr>
              <w:t>8</w:t>
            </w:r>
            <w:r>
              <w:rPr>
                <w:rFonts w:ascii="Calibri" w:hAnsi="Calibri"/>
                <w:color w:val="000000"/>
                <w:sz w:val="20"/>
                <w:szCs w:val="20"/>
                <w:lang w:val="en-US" w:eastAsia="en-US"/>
              </w:rPr>
              <w:t> </w:t>
            </w:r>
            <w:r w:rsidRPr="001B2877">
              <w:rPr>
                <w:rFonts w:ascii="Calibri" w:hAnsi="Calibri"/>
                <w:color w:val="000000"/>
                <w:sz w:val="20"/>
                <w:szCs w:val="20"/>
                <w:lang w:val="en-US" w:eastAsia="en-US"/>
              </w:rPr>
              <w:t>763</w:t>
            </w:r>
            <w:r>
              <w:rPr>
                <w:rFonts w:ascii="Calibri" w:hAnsi="Calibri"/>
                <w:color w:val="000000"/>
                <w:sz w:val="20"/>
                <w:szCs w:val="20"/>
                <w:lang w:val="en-US" w:eastAsia="en-US"/>
              </w:rPr>
              <w:t xml:space="preserve"> </w:t>
            </w:r>
            <w:r w:rsidRPr="001B2877">
              <w:rPr>
                <w:rFonts w:ascii="Calibri" w:hAnsi="Calibri"/>
                <w:color w:val="000000"/>
                <w:sz w:val="20"/>
                <w:szCs w:val="20"/>
                <w:lang w:val="en-US" w:eastAsia="en-US"/>
              </w:rPr>
              <w:t>859</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8 769 011</w:t>
            </w:r>
          </w:p>
        </w:tc>
        <w:tc>
          <w:tcPr>
            <w:tcW w:w="1280" w:type="dxa"/>
            <w:tcBorders>
              <w:top w:val="nil"/>
              <w:left w:val="nil"/>
              <w:bottom w:val="single" w:sz="8" w:space="0" w:color="9C9D9F"/>
              <w:right w:val="nil"/>
            </w:tcBorders>
            <w:shd w:val="clear" w:color="auto" w:fill="auto"/>
            <w:vAlign w:val="center"/>
          </w:tcPr>
          <w:p w:rsidR="007F0BA2" w:rsidRPr="006E2A71" w:rsidRDefault="00EF01C3" w:rsidP="00202C43">
            <w:pPr>
              <w:spacing w:before="0" w:beforeAutospacing="0" w:after="0" w:afterAutospacing="0"/>
              <w:jc w:val="right"/>
              <w:rPr>
                <w:rFonts w:ascii="Calibri" w:hAnsi="Calibri"/>
                <w:color w:val="000000"/>
                <w:sz w:val="20"/>
                <w:szCs w:val="20"/>
                <w:lang w:val="en-US" w:eastAsia="en-US"/>
              </w:rPr>
            </w:pPr>
            <w:r w:rsidRPr="00EF01C3">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EF01C3">
              <w:rPr>
                <w:rFonts w:ascii="Calibri" w:hAnsi="Calibri"/>
                <w:color w:val="000000"/>
                <w:sz w:val="20"/>
                <w:szCs w:val="20"/>
                <w:lang w:val="en-US" w:eastAsia="en-US"/>
              </w:rPr>
              <w:t>765</w:t>
            </w:r>
            <w:r>
              <w:rPr>
                <w:rFonts w:ascii="Calibri" w:hAnsi="Calibri"/>
                <w:color w:val="000000"/>
                <w:sz w:val="20"/>
                <w:szCs w:val="20"/>
                <w:lang w:val="en-US" w:eastAsia="en-US"/>
              </w:rPr>
              <w:t xml:space="preserve"> </w:t>
            </w:r>
            <w:r w:rsidRPr="00EF01C3">
              <w:rPr>
                <w:rFonts w:ascii="Calibri" w:hAnsi="Calibri"/>
                <w:color w:val="000000"/>
                <w:sz w:val="20"/>
                <w:szCs w:val="20"/>
                <w:lang w:val="en-US" w:eastAsia="en-US"/>
              </w:rPr>
              <w:t>216</w:t>
            </w:r>
          </w:p>
        </w:tc>
      </w:tr>
      <w:tr w:rsidR="007F0BA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7F0BA2" w:rsidRPr="007D00E7" w:rsidRDefault="007F0BA2" w:rsidP="006E2A71">
            <w:pPr>
              <w:spacing w:before="0" w:beforeAutospacing="0" w:after="0" w:afterAutospacing="0"/>
              <w:rPr>
                <w:rFonts w:ascii="Calibri" w:hAnsi="Calibri"/>
                <w:b/>
                <w:bCs/>
                <w:color w:val="000000"/>
                <w:sz w:val="20"/>
                <w:szCs w:val="20"/>
                <w:lang w:val="pl-PL" w:eastAsia="en-US"/>
              </w:rPr>
            </w:pPr>
            <w:r w:rsidRPr="006E2A71">
              <w:rPr>
                <w:rFonts w:ascii="Calibri" w:hAnsi="Calibri" w:cs="Arial"/>
                <w:b/>
                <w:bCs/>
                <w:color w:val="000000"/>
                <w:sz w:val="20"/>
                <w:szCs w:val="20"/>
                <w:lang w:eastAsia="en-US"/>
              </w:rPr>
              <w:t>Základní ukazatel zisku na akcii</w:t>
            </w:r>
          </w:p>
        </w:tc>
        <w:tc>
          <w:tcPr>
            <w:tcW w:w="960" w:type="dxa"/>
            <w:tcBorders>
              <w:top w:val="nil"/>
              <w:left w:val="nil"/>
              <w:bottom w:val="single" w:sz="8" w:space="0" w:color="9C9D9F"/>
              <w:right w:val="nil"/>
            </w:tcBorders>
            <w:shd w:val="clear" w:color="auto" w:fill="auto"/>
            <w:vAlign w:val="center"/>
            <w:hideMark/>
          </w:tcPr>
          <w:p w:rsidR="007F0BA2" w:rsidRPr="006E2A71" w:rsidRDefault="007F0BA2" w:rsidP="006E2A71">
            <w:pPr>
              <w:spacing w:before="0" w:beforeAutospacing="0" w:after="0" w:afterAutospacing="0"/>
              <w:jc w:val="right"/>
              <w:rPr>
                <w:rFonts w:ascii="Calibri" w:hAnsi="Calibri"/>
                <w:b/>
                <w:bCs/>
                <w:color w:val="000000"/>
                <w:sz w:val="20"/>
                <w:szCs w:val="20"/>
                <w:lang w:val="en-US" w:eastAsia="en-US"/>
              </w:rPr>
            </w:pPr>
            <w:r w:rsidRPr="006E2A71">
              <w:rPr>
                <w:rFonts w:ascii="Calibri" w:hAnsi="Calibri" w:cs="Arial"/>
                <w:b/>
                <w:bCs/>
                <w:color w:val="000000"/>
                <w:sz w:val="20"/>
                <w:szCs w:val="20"/>
                <w:lang w:eastAsia="en-US"/>
              </w:rPr>
              <w:t>EUR</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0,81</w:t>
            </w:r>
          </w:p>
        </w:tc>
        <w:tc>
          <w:tcPr>
            <w:tcW w:w="1280" w:type="dxa"/>
            <w:tcBorders>
              <w:top w:val="nil"/>
              <w:left w:val="nil"/>
              <w:bottom w:val="single" w:sz="8" w:space="0" w:color="9C9D9F"/>
              <w:right w:val="nil"/>
            </w:tcBorders>
            <w:shd w:val="clear" w:color="auto" w:fill="auto"/>
            <w:vAlign w:val="center"/>
          </w:tcPr>
          <w:p w:rsidR="007F0BA2" w:rsidRPr="006E2A71" w:rsidRDefault="001B2877" w:rsidP="0048429B">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48429B">
              <w:rPr>
                <w:rFonts w:ascii="Calibri" w:hAnsi="Calibri"/>
                <w:b/>
                <w:bCs/>
                <w:color w:val="000000"/>
                <w:sz w:val="20"/>
                <w:szCs w:val="20"/>
                <w:lang w:val="en-US" w:eastAsia="en-US"/>
              </w:rPr>
              <w:t>09</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0,86</w:t>
            </w:r>
          </w:p>
        </w:tc>
        <w:tc>
          <w:tcPr>
            <w:tcW w:w="1280" w:type="dxa"/>
            <w:tcBorders>
              <w:top w:val="nil"/>
              <w:left w:val="nil"/>
              <w:bottom w:val="single" w:sz="8" w:space="0" w:color="9C9D9F"/>
              <w:right w:val="nil"/>
            </w:tcBorders>
            <w:shd w:val="clear" w:color="auto" w:fill="auto"/>
            <w:vAlign w:val="center"/>
          </w:tcPr>
          <w:p w:rsidR="007F0BA2" w:rsidRPr="006E2A71" w:rsidRDefault="00EF01C3" w:rsidP="0048429B">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F12220">
              <w:rPr>
                <w:rFonts w:ascii="Calibri" w:hAnsi="Calibri"/>
                <w:b/>
                <w:bCs/>
                <w:color w:val="000000"/>
                <w:sz w:val="20"/>
                <w:szCs w:val="20"/>
                <w:lang w:val="en-US" w:eastAsia="en-US"/>
              </w:rPr>
              <w:t>5</w:t>
            </w:r>
            <w:r w:rsidR="0048429B">
              <w:rPr>
                <w:rFonts w:ascii="Calibri" w:hAnsi="Calibri"/>
                <w:b/>
                <w:bCs/>
                <w:color w:val="000000"/>
                <w:sz w:val="20"/>
                <w:szCs w:val="20"/>
                <w:lang w:val="en-US" w:eastAsia="en-US"/>
              </w:rPr>
              <w:t>1</w:t>
            </w:r>
          </w:p>
        </w:tc>
      </w:tr>
    </w:tbl>
    <w:p w:rsidR="00B33599" w:rsidRDefault="00B33599" w:rsidP="007A3749">
      <w:pPr>
        <w:rPr>
          <w:b/>
        </w:rPr>
      </w:pPr>
    </w:p>
    <w:p w:rsidR="001F390A" w:rsidRPr="006F6E73" w:rsidRDefault="001F390A" w:rsidP="007A3749">
      <w:pPr>
        <w:rPr>
          <w:b/>
        </w:rPr>
      </w:pPr>
      <w:r w:rsidRPr="006F6E73">
        <w:rPr>
          <w:b/>
        </w:rPr>
        <w:t>Zředěný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6E2A71" w:rsidRPr="006E2A71" w:rsidTr="006E2A71">
        <w:trPr>
          <w:trHeight w:val="288"/>
        </w:trPr>
        <w:tc>
          <w:tcPr>
            <w:tcW w:w="3400" w:type="dxa"/>
            <w:tcBorders>
              <w:top w:val="nil"/>
              <w:left w:val="nil"/>
              <w:bottom w:val="nil"/>
              <w:right w:val="nil"/>
            </w:tcBorders>
            <w:shd w:val="clear" w:color="000000" w:fill="E2001C"/>
            <w:vAlign w:val="center"/>
            <w:hideMark/>
          </w:tcPr>
          <w:p w:rsidR="006E2A71" w:rsidRPr="007F0BA2" w:rsidRDefault="006E2A71" w:rsidP="006E2A71">
            <w:pPr>
              <w:spacing w:before="0" w:beforeAutospacing="0" w:after="0" w:afterAutospacing="0"/>
              <w:jc w:val="right"/>
              <w:rPr>
                <w:rFonts w:ascii="Calibri" w:hAnsi="Calibri"/>
                <w:color w:val="FFFFFF"/>
                <w:sz w:val="20"/>
                <w:szCs w:val="20"/>
                <w:lang w:val="pl-PL"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6E2A71" w:rsidRPr="007F0BA2" w:rsidRDefault="006E2A71" w:rsidP="006E2A71">
            <w:pPr>
              <w:spacing w:before="0" w:beforeAutospacing="0" w:after="0" w:afterAutospacing="0"/>
              <w:jc w:val="right"/>
              <w:rPr>
                <w:rFonts w:ascii="Calibri" w:hAnsi="Calibri"/>
                <w:color w:val="FFFFFF"/>
                <w:sz w:val="20"/>
                <w:szCs w:val="20"/>
                <w:lang w:val="pl-PL" w:eastAsia="en-US"/>
              </w:rPr>
            </w:pPr>
            <w:r w:rsidRPr="006E2A71">
              <w:rPr>
                <w:rFonts w:ascii="Calibri" w:hAnsi="Calibri" w:cs="Arial"/>
                <w:color w:val="FFFFFF" w:themeColor="background1"/>
                <w:sz w:val="20"/>
                <w:szCs w:val="20"/>
                <w:lang w:eastAsia="en-US"/>
              </w:rPr>
              <w:t> </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6 měsíců končících</w:t>
            </w:r>
          </w:p>
        </w:tc>
      </w:tr>
      <w:tr w:rsidR="00D73222" w:rsidRPr="006E2A71" w:rsidTr="006E2A71">
        <w:trPr>
          <w:trHeight w:val="552"/>
        </w:trPr>
        <w:tc>
          <w:tcPr>
            <w:tcW w:w="3400" w:type="dxa"/>
            <w:tcBorders>
              <w:top w:val="nil"/>
              <w:left w:val="nil"/>
              <w:bottom w:val="nil"/>
              <w:right w:val="nil"/>
            </w:tcBorders>
            <w:shd w:val="clear" w:color="000000" w:fill="E2001C"/>
            <w:vAlign w:val="center"/>
            <w:hideMark/>
          </w:tcPr>
          <w:p w:rsidR="00D73222" w:rsidRPr="006E2A71" w:rsidRDefault="00D73222"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D73222" w:rsidRPr="006E2A71" w:rsidRDefault="00D73222"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1280" w:type="dxa"/>
            <w:tcBorders>
              <w:top w:val="nil"/>
              <w:left w:val="nil"/>
              <w:bottom w:val="nil"/>
              <w:right w:val="nil"/>
            </w:tcBorders>
            <w:shd w:val="clear" w:color="000000" w:fill="E2001C"/>
            <w:vAlign w:val="center"/>
            <w:hideMark/>
          </w:tcPr>
          <w:p w:rsidR="00D73222" w:rsidRPr="006E2A71" w:rsidRDefault="00D73222" w:rsidP="00037DF3">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6</w:t>
            </w:r>
          </w:p>
        </w:tc>
        <w:tc>
          <w:tcPr>
            <w:tcW w:w="1280" w:type="dxa"/>
            <w:tcBorders>
              <w:top w:val="nil"/>
              <w:left w:val="nil"/>
              <w:bottom w:val="nil"/>
              <w:right w:val="nil"/>
            </w:tcBorders>
            <w:shd w:val="clear" w:color="000000" w:fill="E2001C"/>
            <w:vAlign w:val="center"/>
            <w:hideMark/>
          </w:tcPr>
          <w:p w:rsidR="00D73222" w:rsidRPr="006E2A71" w:rsidRDefault="00D73222" w:rsidP="007F0BA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7</w:t>
            </w:r>
          </w:p>
        </w:tc>
        <w:tc>
          <w:tcPr>
            <w:tcW w:w="1280" w:type="dxa"/>
            <w:tcBorders>
              <w:top w:val="nil"/>
              <w:left w:val="nil"/>
              <w:bottom w:val="nil"/>
              <w:right w:val="nil"/>
            </w:tcBorders>
            <w:shd w:val="clear" w:color="000000" w:fill="E2001C"/>
            <w:vAlign w:val="center"/>
            <w:hideMark/>
          </w:tcPr>
          <w:p w:rsidR="00D73222" w:rsidRPr="006E2A71" w:rsidRDefault="00D73222" w:rsidP="007F0BA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6</w:t>
            </w:r>
          </w:p>
        </w:tc>
        <w:tc>
          <w:tcPr>
            <w:tcW w:w="1280" w:type="dxa"/>
            <w:tcBorders>
              <w:top w:val="nil"/>
              <w:left w:val="nil"/>
              <w:bottom w:val="nil"/>
              <w:right w:val="nil"/>
            </w:tcBorders>
            <w:shd w:val="clear" w:color="000000" w:fill="E2001C"/>
            <w:vAlign w:val="center"/>
            <w:hideMark/>
          </w:tcPr>
          <w:p w:rsidR="00D73222" w:rsidRPr="006E2A71" w:rsidRDefault="00D73222" w:rsidP="00037DF3">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7F0BA2">
              <w:rPr>
                <w:rFonts w:ascii="Calibri" w:hAnsi="Calibri" w:cs="Arial"/>
                <w:b/>
                <w:bCs/>
                <w:color w:val="FFFFFF" w:themeColor="background1"/>
                <w:sz w:val="20"/>
                <w:szCs w:val="20"/>
                <w:lang w:eastAsia="en-US"/>
              </w:rPr>
              <w:t>7</w:t>
            </w:r>
          </w:p>
        </w:tc>
      </w:tr>
      <w:tr w:rsidR="007F0BA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7F0BA2" w:rsidRPr="006E2A71" w:rsidRDefault="007F0BA2" w:rsidP="006E2A71">
            <w:pPr>
              <w:spacing w:before="0" w:beforeAutospacing="0" w:after="0" w:afterAutospacing="0"/>
              <w:rPr>
                <w:rFonts w:ascii="Calibri" w:hAnsi="Calibri"/>
                <w:color w:val="000000"/>
                <w:sz w:val="20"/>
                <w:szCs w:val="20"/>
                <w:lang w:val="en-US" w:eastAsia="en-US"/>
              </w:rPr>
            </w:pPr>
            <w:r w:rsidRPr="006E2A71">
              <w:rPr>
                <w:rFonts w:ascii="Calibri" w:hAnsi="Calibri" w:cs="Arial"/>
                <w:color w:val="000000"/>
                <w:sz w:val="20"/>
                <w:szCs w:val="20"/>
                <w:lang w:eastAsia="en-US"/>
              </w:rPr>
              <w:t>Čistý zisk přiřaditelný akcionářům</w:t>
            </w:r>
          </w:p>
        </w:tc>
        <w:tc>
          <w:tcPr>
            <w:tcW w:w="960" w:type="dxa"/>
            <w:tcBorders>
              <w:top w:val="nil"/>
              <w:left w:val="nil"/>
              <w:bottom w:val="single" w:sz="8" w:space="0" w:color="9C9D9F"/>
              <w:right w:val="nil"/>
            </w:tcBorders>
            <w:shd w:val="clear" w:color="auto" w:fill="auto"/>
            <w:vAlign w:val="center"/>
            <w:hideMark/>
          </w:tcPr>
          <w:p w:rsidR="007F0BA2" w:rsidRPr="006E2A71" w:rsidRDefault="007F0BA2"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 xml:space="preserve">tis. EUR </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7 078</w:t>
            </w:r>
          </w:p>
        </w:tc>
        <w:tc>
          <w:tcPr>
            <w:tcW w:w="1280" w:type="dxa"/>
            <w:tcBorders>
              <w:top w:val="nil"/>
              <w:left w:val="nil"/>
              <w:bottom w:val="single" w:sz="8" w:space="0" w:color="9C9D9F"/>
              <w:right w:val="nil"/>
            </w:tcBorders>
            <w:shd w:val="clear" w:color="auto" w:fill="auto"/>
            <w:vAlign w:val="center"/>
          </w:tcPr>
          <w:p w:rsidR="007F0BA2" w:rsidRPr="006E2A71" w:rsidRDefault="0048429B" w:rsidP="0048429B">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797</w:t>
            </w:r>
          </w:p>
        </w:tc>
        <w:tc>
          <w:tcPr>
            <w:tcW w:w="1280" w:type="dxa"/>
            <w:tcBorders>
              <w:top w:val="nil"/>
              <w:left w:val="nil"/>
              <w:bottom w:val="single" w:sz="8" w:space="0" w:color="9C9D9F"/>
              <w:right w:val="nil"/>
            </w:tcBorders>
            <w:shd w:val="clear" w:color="auto" w:fill="auto"/>
            <w:vAlign w:val="center"/>
          </w:tcPr>
          <w:p w:rsidR="007F0BA2" w:rsidRPr="006E2A71" w:rsidRDefault="007F0BA2" w:rsidP="009372D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7 548</w:t>
            </w:r>
          </w:p>
        </w:tc>
        <w:tc>
          <w:tcPr>
            <w:tcW w:w="1280" w:type="dxa"/>
            <w:tcBorders>
              <w:top w:val="nil"/>
              <w:left w:val="nil"/>
              <w:bottom w:val="single" w:sz="8" w:space="0" w:color="9C9D9F"/>
              <w:right w:val="nil"/>
            </w:tcBorders>
            <w:shd w:val="clear" w:color="auto" w:fill="auto"/>
            <w:vAlign w:val="center"/>
          </w:tcPr>
          <w:p w:rsidR="007F0BA2" w:rsidRPr="006E2A71" w:rsidRDefault="00F12220" w:rsidP="0048429B">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 xml:space="preserve">4 </w:t>
            </w:r>
            <w:r w:rsidR="0048429B">
              <w:rPr>
                <w:rFonts w:ascii="Calibri" w:hAnsi="Calibri"/>
                <w:color w:val="000000"/>
                <w:sz w:val="20"/>
                <w:szCs w:val="20"/>
                <w:lang w:val="en-US" w:eastAsia="en-US"/>
              </w:rPr>
              <w:t>458</w:t>
            </w:r>
          </w:p>
        </w:tc>
      </w:tr>
      <w:tr w:rsidR="00EF01C3"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EF01C3" w:rsidRPr="007D00E7" w:rsidRDefault="00EF01C3" w:rsidP="006E2A71">
            <w:pPr>
              <w:spacing w:before="0" w:beforeAutospacing="0" w:after="0" w:afterAutospacing="0"/>
              <w:rPr>
                <w:rFonts w:ascii="Calibri" w:hAnsi="Calibri"/>
                <w:color w:val="000000"/>
                <w:sz w:val="20"/>
                <w:szCs w:val="20"/>
                <w:lang w:eastAsia="en-US"/>
              </w:rPr>
            </w:pPr>
            <w:r w:rsidRPr="006E2A71">
              <w:rPr>
                <w:rFonts w:ascii="Calibri" w:hAnsi="Calibri"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rsidR="00EF01C3" w:rsidRPr="006E2A71" w:rsidRDefault="00EF01C3"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rsidR="00EF01C3" w:rsidRPr="006E2A71" w:rsidRDefault="00EF01C3" w:rsidP="009372D3">
            <w:pPr>
              <w:spacing w:before="0" w:beforeAutospacing="0" w:after="0" w:afterAutospacing="0"/>
              <w:jc w:val="right"/>
              <w:rPr>
                <w:rFonts w:ascii="Calibri" w:hAnsi="Calibri"/>
                <w:color w:val="000000"/>
                <w:sz w:val="20"/>
                <w:szCs w:val="20"/>
                <w:lang w:val="en-US" w:eastAsia="en-US"/>
              </w:rPr>
            </w:pPr>
            <w:r w:rsidRPr="00D73222">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D73222">
              <w:rPr>
                <w:rFonts w:ascii="Calibri" w:hAnsi="Calibri"/>
                <w:color w:val="000000"/>
                <w:sz w:val="20"/>
                <w:szCs w:val="20"/>
                <w:lang w:val="en-US" w:eastAsia="en-US"/>
              </w:rPr>
              <w:t>835</w:t>
            </w:r>
            <w:r>
              <w:rPr>
                <w:rFonts w:ascii="Calibri" w:hAnsi="Calibri"/>
                <w:color w:val="000000"/>
                <w:sz w:val="20"/>
                <w:szCs w:val="20"/>
                <w:lang w:val="en-US" w:eastAsia="en-US"/>
              </w:rPr>
              <w:t> </w:t>
            </w:r>
            <w:r w:rsidRPr="00D73222">
              <w:rPr>
                <w:rFonts w:ascii="Calibri" w:hAnsi="Calibri"/>
                <w:color w:val="000000"/>
                <w:sz w:val="20"/>
                <w:szCs w:val="20"/>
                <w:lang w:val="en-US" w:eastAsia="en-US"/>
              </w:rPr>
              <w:t>14</w:t>
            </w:r>
            <w:r>
              <w:rPr>
                <w:rFonts w:ascii="Calibri" w:hAnsi="Calibri"/>
                <w:color w:val="000000"/>
                <w:sz w:val="20"/>
                <w:szCs w:val="20"/>
                <w:lang w:val="en-US" w:eastAsia="en-US"/>
              </w:rPr>
              <w:t>2</w:t>
            </w:r>
          </w:p>
        </w:tc>
        <w:tc>
          <w:tcPr>
            <w:tcW w:w="1280" w:type="dxa"/>
            <w:tcBorders>
              <w:top w:val="nil"/>
              <w:left w:val="nil"/>
              <w:bottom w:val="single" w:sz="8" w:space="0" w:color="9C9D9F"/>
              <w:right w:val="nil"/>
            </w:tcBorders>
            <w:shd w:val="clear" w:color="auto" w:fill="auto"/>
            <w:vAlign w:val="center"/>
          </w:tcPr>
          <w:p w:rsidR="00EF01C3" w:rsidRPr="006E2A71" w:rsidRDefault="00EF01C3" w:rsidP="00202C43">
            <w:pPr>
              <w:spacing w:before="0" w:beforeAutospacing="0" w:after="0" w:afterAutospacing="0"/>
              <w:jc w:val="right"/>
              <w:rPr>
                <w:rFonts w:ascii="Calibri" w:hAnsi="Calibri"/>
                <w:color w:val="000000"/>
                <w:sz w:val="20"/>
                <w:szCs w:val="20"/>
                <w:lang w:val="en-US" w:eastAsia="en-US"/>
              </w:rPr>
            </w:pPr>
            <w:r w:rsidRPr="00EF01C3">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EF01C3">
              <w:rPr>
                <w:rFonts w:ascii="Calibri" w:hAnsi="Calibri"/>
                <w:color w:val="000000"/>
                <w:sz w:val="20"/>
                <w:szCs w:val="20"/>
                <w:lang w:val="en-US" w:eastAsia="en-US"/>
              </w:rPr>
              <w:t>788</w:t>
            </w:r>
            <w:r>
              <w:rPr>
                <w:rFonts w:ascii="Calibri" w:hAnsi="Calibri"/>
                <w:color w:val="000000"/>
                <w:sz w:val="20"/>
                <w:szCs w:val="20"/>
                <w:lang w:val="en-US" w:eastAsia="en-US"/>
              </w:rPr>
              <w:t xml:space="preserve"> </w:t>
            </w:r>
            <w:r w:rsidRPr="00EF01C3">
              <w:rPr>
                <w:rFonts w:ascii="Calibri" w:hAnsi="Calibri"/>
                <w:color w:val="000000"/>
                <w:sz w:val="20"/>
                <w:szCs w:val="20"/>
                <w:lang w:val="en-US" w:eastAsia="en-US"/>
              </w:rPr>
              <w:t>66</w:t>
            </w:r>
            <w:r>
              <w:rPr>
                <w:rFonts w:ascii="Calibri" w:hAnsi="Calibri"/>
                <w:color w:val="000000"/>
                <w:sz w:val="20"/>
                <w:szCs w:val="20"/>
                <w:lang w:val="en-US" w:eastAsia="en-US"/>
              </w:rPr>
              <w:t>0</w:t>
            </w:r>
          </w:p>
        </w:tc>
        <w:tc>
          <w:tcPr>
            <w:tcW w:w="1280" w:type="dxa"/>
            <w:tcBorders>
              <w:top w:val="nil"/>
              <w:left w:val="nil"/>
              <w:bottom w:val="single" w:sz="8" w:space="0" w:color="9C9D9F"/>
              <w:right w:val="nil"/>
            </w:tcBorders>
            <w:shd w:val="clear" w:color="auto" w:fill="auto"/>
            <w:vAlign w:val="center"/>
          </w:tcPr>
          <w:p w:rsidR="00EF01C3" w:rsidRPr="006E2A71" w:rsidRDefault="00EF01C3" w:rsidP="009372D3">
            <w:pPr>
              <w:spacing w:before="0" w:beforeAutospacing="0" w:after="0" w:afterAutospacing="0"/>
              <w:jc w:val="right"/>
              <w:rPr>
                <w:rFonts w:ascii="Calibri" w:hAnsi="Calibri"/>
                <w:color w:val="000000"/>
                <w:sz w:val="20"/>
                <w:szCs w:val="20"/>
                <w:lang w:val="en-US" w:eastAsia="en-US"/>
              </w:rPr>
            </w:pPr>
            <w:r w:rsidRPr="00D73222">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D73222">
              <w:rPr>
                <w:rFonts w:ascii="Calibri" w:hAnsi="Calibri"/>
                <w:color w:val="000000"/>
                <w:sz w:val="20"/>
                <w:szCs w:val="20"/>
                <w:lang w:val="en-US" w:eastAsia="en-US"/>
              </w:rPr>
              <w:t>826</w:t>
            </w:r>
            <w:r>
              <w:rPr>
                <w:rFonts w:ascii="Calibri" w:hAnsi="Calibri"/>
                <w:color w:val="000000"/>
                <w:sz w:val="20"/>
                <w:szCs w:val="20"/>
                <w:lang w:val="en-US" w:eastAsia="en-US"/>
              </w:rPr>
              <w:t> </w:t>
            </w:r>
            <w:r w:rsidRPr="00D73222">
              <w:rPr>
                <w:rFonts w:ascii="Calibri" w:hAnsi="Calibri"/>
                <w:color w:val="000000"/>
                <w:sz w:val="20"/>
                <w:szCs w:val="20"/>
                <w:lang w:val="en-US" w:eastAsia="en-US"/>
              </w:rPr>
              <w:t>946</w:t>
            </w:r>
          </w:p>
        </w:tc>
        <w:tc>
          <w:tcPr>
            <w:tcW w:w="1280" w:type="dxa"/>
            <w:tcBorders>
              <w:top w:val="nil"/>
              <w:left w:val="nil"/>
              <w:bottom w:val="single" w:sz="8" w:space="0" w:color="9C9D9F"/>
              <w:right w:val="nil"/>
            </w:tcBorders>
            <w:shd w:val="clear" w:color="auto" w:fill="auto"/>
            <w:vAlign w:val="center"/>
          </w:tcPr>
          <w:p w:rsidR="00EF01C3" w:rsidRPr="006E2A71" w:rsidRDefault="00EF01C3" w:rsidP="00037DF3">
            <w:pPr>
              <w:spacing w:before="0" w:beforeAutospacing="0" w:after="0" w:afterAutospacing="0"/>
              <w:jc w:val="right"/>
              <w:rPr>
                <w:rFonts w:ascii="Calibri" w:hAnsi="Calibri"/>
                <w:color w:val="000000"/>
                <w:sz w:val="20"/>
                <w:szCs w:val="20"/>
                <w:lang w:val="en-US" w:eastAsia="en-US"/>
              </w:rPr>
            </w:pPr>
            <w:r w:rsidRPr="00EF01C3">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EF01C3">
              <w:rPr>
                <w:rFonts w:ascii="Calibri" w:hAnsi="Calibri"/>
                <w:color w:val="000000"/>
                <w:sz w:val="20"/>
                <w:szCs w:val="20"/>
                <w:lang w:val="en-US" w:eastAsia="en-US"/>
              </w:rPr>
              <w:t>791</w:t>
            </w:r>
            <w:r>
              <w:rPr>
                <w:rFonts w:ascii="Calibri" w:hAnsi="Calibri"/>
                <w:color w:val="000000"/>
                <w:sz w:val="20"/>
                <w:szCs w:val="20"/>
                <w:lang w:val="en-US" w:eastAsia="en-US"/>
              </w:rPr>
              <w:t> </w:t>
            </w:r>
            <w:r w:rsidRPr="00EF01C3">
              <w:rPr>
                <w:rFonts w:ascii="Calibri" w:hAnsi="Calibri"/>
                <w:color w:val="000000"/>
                <w:sz w:val="20"/>
                <w:szCs w:val="20"/>
                <w:lang w:val="en-US" w:eastAsia="en-US"/>
              </w:rPr>
              <w:t>92</w:t>
            </w:r>
            <w:r>
              <w:rPr>
                <w:rFonts w:ascii="Calibri" w:hAnsi="Calibri"/>
                <w:color w:val="000000"/>
                <w:sz w:val="20"/>
                <w:szCs w:val="20"/>
                <w:lang w:val="en-US" w:eastAsia="en-US"/>
              </w:rPr>
              <w:t>0</w:t>
            </w:r>
          </w:p>
        </w:tc>
      </w:tr>
      <w:tr w:rsidR="00EF01C3"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EF01C3" w:rsidRPr="007D00E7" w:rsidRDefault="00EF01C3" w:rsidP="006E2A71">
            <w:pPr>
              <w:spacing w:before="0" w:beforeAutospacing="0" w:after="0" w:afterAutospacing="0"/>
              <w:rPr>
                <w:rFonts w:ascii="Calibri" w:hAnsi="Calibri"/>
                <w:b/>
                <w:bCs/>
                <w:color w:val="000000"/>
                <w:sz w:val="20"/>
                <w:szCs w:val="20"/>
                <w:lang w:val="pl-PL" w:eastAsia="en-US"/>
              </w:rPr>
            </w:pPr>
            <w:r w:rsidRPr="006E2A71">
              <w:rPr>
                <w:rFonts w:ascii="Calibri" w:hAnsi="Calibri" w:cs="Arial"/>
                <w:b/>
                <w:bCs/>
                <w:color w:val="000000"/>
                <w:sz w:val="20"/>
                <w:szCs w:val="20"/>
                <w:lang w:eastAsia="en-US"/>
              </w:rPr>
              <w:t>Základní ukazatel zisku na akcii</w:t>
            </w:r>
          </w:p>
        </w:tc>
        <w:tc>
          <w:tcPr>
            <w:tcW w:w="960" w:type="dxa"/>
            <w:tcBorders>
              <w:top w:val="nil"/>
              <w:left w:val="nil"/>
              <w:bottom w:val="single" w:sz="8" w:space="0" w:color="9C9D9F"/>
              <w:right w:val="nil"/>
            </w:tcBorders>
            <w:shd w:val="clear" w:color="auto" w:fill="auto"/>
            <w:vAlign w:val="center"/>
            <w:hideMark/>
          </w:tcPr>
          <w:p w:rsidR="00EF01C3" w:rsidRPr="006E2A71" w:rsidRDefault="00EF01C3" w:rsidP="006E2A71">
            <w:pPr>
              <w:spacing w:before="0" w:beforeAutospacing="0" w:after="0" w:afterAutospacing="0"/>
              <w:jc w:val="right"/>
              <w:rPr>
                <w:rFonts w:ascii="Calibri" w:hAnsi="Calibri"/>
                <w:b/>
                <w:bCs/>
                <w:color w:val="000000"/>
                <w:sz w:val="20"/>
                <w:szCs w:val="20"/>
                <w:lang w:val="en-US" w:eastAsia="en-US"/>
              </w:rPr>
            </w:pPr>
            <w:r w:rsidRPr="006E2A71">
              <w:rPr>
                <w:rFonts w:ascii="Calibri" w:hAnsi="Calibri" w:cs="Arial"/>
                <w:b/>
                <w:bCs/>
                <w:color w:val="000000"/>
                <w:sz w:val="20"/>
                <w:szCs w:val="20"/>
                <w:lang w:eastAsia="en-US"/>
              </w:rPr>
              <w:t>EUR</w:t>
            </w:r>
          </w:p>
        </w:tc>
        <w:tc>
          <w:tcPr>
            <w:tcW w:w="1280" w:type="dxa"/>
            <w:tcBorders>
              <w:top w:val="nil"/>
              <w:left w:val="nil"/>
              <w:bottom w:val="single" w:sz="8" w:space="0" w:color="9C9D9F"/>
              <w:right w:val="nil"/>
            </w:tcBorders>
            <w:shd w:val="clear" w:color="auto" w:fill="auto"/>
            <w:vAlign w:val="center"/>
          </w:tcPr>
          <w:p w:rsidR="00EF01C3" w:rsidRPr="006E2A71" w:rsidRDefault="00EF01C3" w:rsidP="009372D3">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0,80</w:t>
            </w:r>
          </w:p>
        </w:tc>
        <w:tc>
          <w:tcPr>
            <w:tcW w:w="1280" w:type="dxa"/>
            <w:tcBorders>
              <w:top w:val="nil"/>
              <w:left w:val="nil"/>
              <w:bottom w:val="single" w:sz="8" w:space="0" w:color="9C9D9F"/>
              <w:right w:val="nil"/>
            </w:tcBorders>
            <w:shd w:val="clear" w:color="auto" w:fill="auto"/>
            <w:vAlign w:val="center"/>
          </w:tcPr>
          <w:p w:rsidR="00EF01C3" w:rsidRPr="006E2A71" w:rsidRDefault="00EF01C3" w:rsidP="0048429B">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48429B">
              <w:rPr>
                <w:rFonts w:ascii="Calibri" w:hAnsi="Calibri"/>
                <w:b/>
                <w:bCs/>
                <w:color w:val="000000"/>
                <w:sz w:val="20"/>
                <w:szCs w:val="20"/>
                <w:lang w:val="en-US" w:eastAsia="en-US"/>
              </w:rPr>
              <w:t>09</w:t>
            </w:r>
          </w:p>
        </w:tc>
        <w:tc>
          <w:tcPr>
            <w:tcW w:w="1280" w:type="dxa"/>
            <w:tcBorders>
              <w:top w:val="nil"/>
              <w:left w:val="nil"/>
              <w:bottom w:val="single" w:sz="8" w:space="0" w:color="9C9D9F"/>
              <w:right w:val="nil"/>
            </w:tcBorders>
            <w:shd w:val="clear" w:color="auto" w:fill="auto"/>
            <w:vAlign w:val="center"/>
          </w:tcPr>
          <w:p w:rsidR="00EF01C3" w:rsidRPr="006E2A71" w:rsidRDefault="00EF01C3" w:rsidP="009372D3">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0,86</w:t>
            </w:r>
          </w:p>
        </w:tc>
        <w:tc>
          <w:tcPr>
            <w:tcW w:w="1280" w:type="dxa"/>
            <w:tcBorders>
              <w:top w:val="nil"/>
              <w:left w:val="nil"/>
              <w:bottom w:val="single" w:sz="8" w:space="0" w:color="9C9D9F"/>
              <w:right w:val="nil"/>
            </w:tcBorders>
            <w:shd w:val="clear" w:color="auto" w:fill="auto"/>
            <w:vAlign w:val="center"/>
          </w:tcPr>
          <w:p w:rsidR="00EF01C3" w:rsidRPr="006E2A71" w:rsidRDefault="00EF01C3" w:rsidP="0048429B">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F12220">
              <w:rPr>
                <w:rFonts w:ascii="Calibri" w:hAnsi="Calibri"/>
                <w:b/>
                <w:bCs/>
                <w:color w:val="000000"/>
                <w:sz w:val="20"/>
                <w:szCs w:val="20"/>
                <w:lang w:val="en-US" w:eastAsia="en-US"/>
              </w:rPr>
              <w:t>5</w:t>
            </w:r>
            <w:r w:rsidR="0048429B">
              <w:rPr>
                <w:rFonts w:ascii="Calibri" w:hAnsi="Calibri"/>
                <w:b/>
                <w:bCs/>
                <w:color w:val="000000"/>
                <w:sz w:val="20"/>
                <w:szCs w:val="20"/>
                <w:lang w:val="en-US" w:eastAsia="en-US"/>
              </w:rPr>
              <w:t>1</w:t>
            </w:r>
          </w:p>
        </w:tc>
      </w:tr>
    </w:tbl>
    <w:p w:rsidR="000B3C83" w:rsidRDefault="000B3C83" w:rsidP="00BC1C24">
      <w:pPr>
        <w:pStyle w:val="Heading4"/>
      </w:pPr>
    </w:p>
    <w:p w:rsidR="00236FFC" w:rsidRPr="007A3749" w:rsidRDefault="00236FFC" w:rsidP="00BC1C24">
      <w:pPr>
        <w:pStyle w:val="Heading4"/>
      </w:pPr>
      <w:r w:rsidRPr="007A3749">
        <w:t>Zpráva o vztazích</w:t>
      </w:r>
    </w:p>
    <w:p w:rsidR="00236FFC" w:rsidRPr="007A3749" w:rsidRDefault="00236FFC" w:rsidP="007A3749">
      <w:r w:rsidRPr="007A3749">
        <w:t>Kromě výše uvedených informací neexistovaly žádné další nové transakce mezi Skupinou a exekutivním managementem či neexekutivními ř</w:t>
      </w:r>
      <w:r w:rsidR="001F390A" w:rsidRPr="007A3749">
        <w:t>editeli uzavřené v prvních šesti</w:t>
      </w:r>
      <w:r w:rsidRPr="007A3749">
        <w:t xml:space="preserve"> měsících roku 201</w:t>
      </w:r>
      <w:r w:rsidR="002C5400">
        <w:t>7</w:t>
      </w:r>
      <w:r w:rsidRPr="007A3749">
        <w:t>.</w:t>
      </w:r>
    </w:p>
    <w:p w:rsidR="00B33599" w:rsidRDefault="00B33599">
      <w:pPr>
        <w:spacing w:before="0" w:beforeAutospacing="0" w:after="0" w:afterAutospacing="0"/>
        <w:jc w:val="left"/>
        <w:rPr>
          <w:b/>
          <w:color w:val="E2001C"/>
        </w:rPr>
      </w:pPr>
      <w:r>
        <w:br w:type="page"/>
      </w:r>
    </w:p>
    <w:p w:rsidR="00236FFC" w:rsidRPr="007A3749" w:rsidRDefault="00236FFC" w:rsidP="00BC1C24">
      <w:pPr>
        <w:pStyle w:val="Heading4"/>
      </w:pPr>
      <w:r w:rsidRPr="007A3749">
        <w:t>Schválení mezitímních účetních výkazů</w:t>
      </w:r>
    </w:p>
    <w:p w:rsidR="00236FFC" w:rsidRPr="007A3749" w:rsidRDefault="00236FFC" w:rsidP="007A3749">
      <w:r w:rsidRPr="007A3749">
        <w:t xml:space="preserve">Mezitímní účetní výkazy byly schváleny představenstvem Společnosti dne </w:t>
      </w:r>
      <w:r w:rsidR="00866507">
        <w:t>23</w:t>
      </w:r>
      <w:r w:rsidRPr="00866507">
        <w:t>.</w:t>
      </w:r>
      <w:r w:rsidRPr="007A3749">
        <w:t xml:space="preserve"> </w:t>
      </w:r>
      <w:r w:rsidR="00C0551F" w:rsidRPr="007A3749">
        <w:t xml:space="preserve">srpna </w:t>
      </w:r>
      <w:r w:rsidRPr="007A3749">
        <w:t>201</w:t>
      </w:r>
      <w:r w:rsidR="002C5400">
        <w:t>7</w:t>
      </w:r>
      <w:r w:rsidRPr="007A3749">
        <w:t>.</w:t>
      </w:r>
    </w:p>
    <w:p w:rsidR="00236FFC" w:rsidRDefault="00236FFC" w:rsidP="007A3749"/>
    <w:p w:rsidR="00D73222" w:rsidRDefault="00D73222" w:rsidP="007A3749"/>
    <w:p w:rsidR="00D73222" w:rsidRDefault="00D73222" w:rsidP="007A3749"/>
    <w:p w:rsidR="00D73222" w:rsidRDefault="00D73222" w:rsidP="007A3749"/>
    <w:p w:rsidR="00D73222" w:rsidRDefault="00D73222" w:rsidP="007A3749"/>
    <w:p w:rsidR="00D73222" w:rsidRDefault="00CF23B2" w:rsidP="007A3749">
      <w:r>
        <w:rPr>
          <w:noProof/>
          <w:lang w:val="en-US" w:eastAsia="en-US"/>
        </w:rPr>
        <w:drawing>
          <wp:anchor distT="0" distB="0" distL="114300" distR="114300" simplePos="0" relativeHeight="251660288" behindDoc="1" locked="0" layoutInCell="1" allowOverlap="1" wp14:anchorId="6C39A672" wp14:editId="7AB3566D">
            <wp:simplePos x="0" y="0"/>
            <wp:positionH relativeFrom="column">
              <wp:posOffset>3418840</wp:posOffset>
            </wp:positionH>
            <wp:positionV relativeFrom="paragraph">
              <wp:posOffset>344805</wp:posOffset>
            </wp:positionV>
            <wp:extent cx="2016125" cy="15589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12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222" w:rsidRDefault="00CF23B2" w:rsidP="007A3749">
      <w:r>
        <w:rPr>
          <w:noProof/>
          <w:lang w:val="en-US" w:eastAsia="en-US"/>
        </w:rPr>
        <w:drawing>
          <wp:anchor distT="0" distB="0" distL="114300" distR="114300" simplePos="0" relativeHeight="251663360" behindDoc="1" locked="0" layoutInCell="1" allowOverlap="1" wp14:anchorId="4D078CE8" wp14:editId="35B57D1E">
            <wp:simplePos x="0" y="0"/>
            <wp:positionH relativeFrom="column">
              <wp:posOffset>35560</wp:posOffset>
            </wp:positionH>
            <wp:positionV relativeFrom="paragraph">
              <wp:posOffset>137795</wp:posOffset>
            </wp:positionV>
            <wp:extent cx="2764790" cy="981710"/>
            <wp:effectExtent l="0" t="0" r="0" b="8890"/>
            <wp:wrapNone/>
            <wp:docPr id="5" name="Picture 5" descr="Modeck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cki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79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222" w:rsidRPr="007A3749" w:rsidRDefault="00D73222" w:rsidP="007A3749"/>
    <w:p w:rsidR="00236FFC" w:rsidRPr="007A3749" w:rsidRDefault="00236FFC" w:rsidP="007A3749"/>
    <w:tbl>
      <w:tblPr>
        <w:tblW w:w="0" w:type="auto"/>
        <w:jc w:val="center"/>
        <w:tblLook w:val="01E0" w:firstRow="1" w:lastRow="1" w:firstColumn="1" w:lastColumn="1" w:noHBand="0" w:noVBand="0"/>
      </w:tblPr>
      <w:tblGrid>
        <w:gridCol w:w="4606"/>
        <w:gridCol w:w="4606"/>
      </w:tblGrid>
      <w:tr w:rsidR="00236FFC" w:rsidRPr="007A3749" w:rsidTr="006D3AE4">
        <w:trPr>
          <w:jc w:val="center"/>
        </w:trPr>
        <w:tc>
          <w:tcPr>
            <w:tcW w:w="4606" w:type="dxa"/>
          </w:tcPr>
          <w:p w:rsidR="00236FFC" w:rsidRPr="007A3749" w:rsidRDefault="00236FFC" w:rsidP="006F6E73">
            <w:pPr>
              <w:jc w:val="center"/>
            </w:pPr>
            <w:r w:rsidRPr="007A3749">
              <w:t>Marek Modecki</w:t>
            </w:r>
            <w:r w:rsidRPr="007A3749">
              <w:br/>
              <w:t xml:space="preserve">předseda představenstva </w:t>
            </w:r>
            <w:r w:rsidRPr="007A3749">
              <w:br/>
              <w:t>PEGAS NONWOVENS SA</w:t>
            </w:r>
          </w:p>
          <w:p w:rsidR="00236FFC" w:rsidRPr="007A3749" w:rsidRDefault="00236FFC" w:rsidP="007A3749"/>
        </w:tc>
        <w:tc>
          <w:tcPr>
            <w:tcW w:w="4606" w:type="dxa"/>
          </w:tcPr>
          <w:p w:rsidR="00236FFC" w:rsidRPr="007A3749" w:rsidRDefault="00236FFC" w:rsidP="006F6E73">
            <w:pPr>
              <w:jc w:val="center"/>
            </w:pPr>
            <w:r w:rsidRPr="007A3749">
              <w:t>František Řezáč</w:t>
            </w:r>
            <w:r w:rsidRPr="007A3749">
              <w:br/>
              <w:t xml:space="preserve">člen představenstva </w:t>
            </w:r>
            <w:r w:rsidRPr="007A3749">
              <w:br/>
              <w:t>PEGAS NONWOVENS SA</w:t>
            </w:r>
          </w:p>
        </w:tc>
      </w:tr>
    </w:tbl>
    <w:p w:rsidR="00236FFC" w:rsidRPr="007A3749" w:rsidRDefault="00236FFC" w:rsidP="007A3749"/>
    <w:p w:rsidR="000B06C8" w:rsidRPr="007A3749" w:rsidRDefault="00337DFB" w:rsidP="00396F0C">
      <w:pPr>
        <w:pStyle w:val="Heading1"/>
      </w:pPr>
      <w:r w:rsidRPr="007A3749">
        <w:br w:type="page"/>
      </w:r>
      <w:bookmarkStart w:id="108" w:name="_Toc269907504"/>
      <w:bookmarkStart w:id="109" w:name="_Toc487810695"/>
      <w:r w:rsidR="00156755" w:rsidRPr="007A3749">
        <w:t>Prohlášení</w:t>
      </w:r>
      <w:bookmarkEnd w:id="108"/>
      <w:bookmarkEnd w:id="109"/>
    </w:p>
    <w:p w:rsidR="008F42BE" w:rsidRPr="007A3749" w:rsidRDefault="008F42BE" w:rsidP="007A3749"/>
    <w:p w:rsidR="00336F2D" w:rsidRPr="007A3749" w:rsidRDefault="004C285E" w:rsidP="007A3749">
      <w:r w:rsidRPr="007A3749">
        <w:t>Marek Modecki</w:t>
      </w:r>
      <w:r w:rsidR="00336F2D" w:rsidRPr="007A3749">
        <w:t xml:space="preserve">, </w:t>
      </w:r>
      <w:r w:rsidR="00DB5BE3" w:rsidRPr="007A3749">
        <w:t>předseda</w:t>
      </w:r>
      <w:r w:rsidR="00156755" w:rsidRPr="007A3749">
        <w:t xml:space="preserve"> představenstva </w:t>
      </w:r>
      <w:r w:rsidR="00DB5BE3" w:rsidRPr="007A3749">
        <w:t>PEGAS NONWOVENS SA a</w:t>
      </w:r>
    </w:p>
    <w:p w:rsidR="00DB5BE3" w:rsidRPr="007A3749" w:rsidRDefault="00DB5BE3" w:rsidP="007A3749">
      <w:r w:rsidRPr="007A3749">
        <w:t>František Řezáč, člen představenstva PEGAS NONWOVENS SA,</w:t>
      </w:r>
    </w:p>
    <w:p w:rsidR="00336F2D" w:rsidRPr="007A3749" w:rsidRDefault="00BF256B" w:rsidP="007A3749">
      <w:r w:rsidRPr="007A3749">
        <w:t>prohlašují, že dle jejich nejlepšího vědomí podávají finanční výkazy připravené v</w:t>
      </w:r>
      <w:r w:rsidR="007C2508" w:rsidRPr="007A3749">
        <w:t> </w:t>
      </w:r>
      <w:r w:rsidRPr="007A3749">
        <w:t>souladu</w:t>
      </w:r>
      <w:r w:rsidR="007C2508" w:rsidRPr="007A3749">
        <w:t xml:space="preserve"> </w:t>
      </w:r>
      <w:r w:rsidRPr="007A3749">
        <w:t>s účetními standardy pravdivý obraz o aktivech, závazcích, finanční pozici a zisku a ztrátě</w:t>
      </w:r>
      <w:r w:rsidR="007C2508" w:rsidRPr="007A3749">
        <w:t xml:space="preserve"> </w:t>
      </w:r>
      <w:r w:rsidRPr="007A3749">
        <w:t>Společnosti a o údajích zahrnutých v konsolidaci jako celku</w:t>
      </w:r>
      <w:r w:rsidR="00004F0D" w:rsidRPr="007A3749">
        <w:t xml:space="preserve"> </w:t>
      </w:r>
      <w:r w:rsidRPr="007A3749">
        <w:t xml:space="preserve">a že </w:t>
      </w:r>
      <w:r w:rsidR="005F25E4" w:rsidRPr="007A3749">
        <w:t xml:space="preserve">mezitímní </w:t>
      </w:r>
      <w:r w:rsidRPr="007A3749">
        <w:t>zpráva představenstva o obchodní činnosti uvádí pravdivé informace o rozvoji, obchodní výkonnosti, pozici Společnosti a o údajích zahrnutých v konsolidaci jako celku a také popisuje hlavní rizikové faktory a nejistoty, kterým je Společnost vystavena.</w:t>
      </w:r>
      <w:r w:rsidRPr="007A3749" w:rsidDel="00BF256B">
        <w:t xml:space="preserve"> </w:t>
      </w:r>
    </w:p>
    <w:p w:rsidR="00336F2D" w:rsidRPr="007A3749" w:rsidRDefault="00336F2D" w:rsidP="007A3749"/>
    <w:p w:rsidR="00336F2D" w:rsidRPr="007A3749" w:rsidRDefault="00336F2D" w:rsidP="007A3749"/>
    <w:p w:rsidR="00E43EBA" w:rsidRPr="007A3749" w:rsidRDefault="00050349" w:rsidP="007A3749">
      <w:r w:rsidRPr="00050349">
        <w:t>23</w:t>
      </w:r>
      <w:r w:rsidR="00D73222" w:rsidRPr="00050349">
        <w:t>.</w:t>
      </w:r>
      <w:r w:rsidR="00D73222">
        <w:t xml:space="preserve"> srpna 201</w:t>
      </w:r>
      <w:r w:rsidR="002C5400">
        <w:t>7</w:t>
      </w:r>
    </w:p>
    <w:p w:rsidR="00D04E18" w:rsidRPr="007A3749" w:rsidRDefault="00D04E18" w:rsidP="007A3749"/>
    <w:p w:rsidR="00E67E65" w:rsidRPr="007A3749" w:rsidRDefault="00E67E65" w:rsidP="007A3749"/>
    <w:p w:rsidR="00D04E18" w:rsidRPr="007A3749" w:rsidRDefault="00D04E18" w:rsidP="007A3749"/>
    <w:p w:rsidR="00E43EBA" w:rsidRPr="007A3749" w:rsidRDefault="00E43EBA" w:rsidP="007A3749"/>
    <w:p w:rsidR="00E43EBA" w:rsidRPr="007A3749" w:rsidRDefault="00CF23B2" w:rsidP="007A3749">
      <w:r>
        <w:rPr>
          <w:noProof/>
          <w:lang w:val="en-US" w:eastAsia="en-US"/>
        </w:rPr>
        <w:drawing>
          <wp:anchor distT="0" distB="0" distL="114300" distR="114300" simplePos="0" relativeHeight="251661312" behindDoc="1" locked="0" layoutInCell="1" allowOverlap="1" wp14:anchorId="0E8DC3C4" wp14:editId="6F9BDDD6">
            <wp:simplePos x="0" y="0"/>
            <wp:positionH relativeFrom="column">
              <wp:posOffset>134530</wp:posOffset>
            </wp:positionH>
            <wp:positionV relativeFrom="paragraph">
              <wp:posOffset>138339</wp:posOffset>
            </wp:positionV>
            <wp:extent cx="2764971" cy="982146"/>
            <wp:effectExtent l="0" t="0" r="0" b="8890"/>
            <wp:wrapNone/>
            <wp:docPr id="4" name="Picture 4" descr="Modeck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cki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971" cy="9821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499A5E51" wp14:editId="422121C4">
            <wp:simplePos x="0" y="0"/>
            <wp:positionH relativeFrom="column">
              <wp:posOffset>3566160</wp:posOffset>
            </wp:positionH>
            <wp:positionV relativeFrom="paragraph">
              <wp:posOffset>143510</wp:posOffset>
            </wp:positionV>
            <wp:extent cx="2016125" cy="15589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12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56B" w:rsidRPr="007A3749" w:rsidRDefault="00BF256B" w:rsidP="007A3749"/>
    <w:p w:rsidR="00336F2D" w:rsidRPr="007A3749" w:rsidRDefault="00336F2D" w:rsidP="007A3749"/>
    <w:tbl>
      <w:tblPr>
        <w:tblW w:w="0" w:type="auto"/>
        <w:jc w:val="center"/>
        <w:tblLook w:val="01E0" w:firstRow="1" w:lastRow="1" w:firstColumn="1" w:lastColumn="1" w:noHBand="0" w:noVBand="0"/>
      </w:tblPr>
      <w:tblGrid>
        <w:gridCol w:w="4606"/>
        <w:gridCol w:w="4606"/>
      </w:tblGrid>
      <w:tr w:rsidR="00336F2D" w:rsidRPr="007A3749" w:rsidTr="00F86F85">
        <w:trPr>
          <w:jc w:val="center"/>
        </w:trPr>
        <w:tc>
          <w:tcPr>
            <w:tcW w:w="4606" w:type="dxa"/>
          </w:tcPr>
          <w:p w:rsidR="00336F2D" w:rsidRPr="007A3749" w:rsidRDefault="004C285E" w:rsidP="006F6E73">
            <w:pPr>
              <w:jc w:val="center"/>
            </w:pPr>
            <w:r w:rsidRPr="007A3749">
              <w:t>Marek Modecki</w:t>
            </w:r>
            <w:r w:rsidR="00336F2D" w:rsidRPr="007A3749">
              <w:br/>
            </w:r>
            <w:r w:rsidR="00DB5BE3" w:rsidRPr="007A3749">
              <w:t>Předseda</w:t>
            </w:r>
            <w:r w:rsidR="00552703" w:rsidRPr="007A3749">
              <w:t xml:space="preserve"> představenstva</w:t>
            </w:r>
            <w:r w:rsidR="00336F2D" w:rsidRPr="007A3749">
              <w:t xml:space="preserve"> </w:t>
            </w:r>
            <w:r w:rsidR="001E48CA" w:rsidRPr="007A3749">
              <w:br/>
            </w:r>
            <w:r w:rsidR="00336F2D" w:rsidRPr="007A3749">
              <w:t>PEGAS NONWOVENS SA</w:t>
            </w:r>
          </w:p>
          <w:p w:rsidR="00336F2D" w:rsidRPr="007A3749" w:rsidRDefault="00336F2D" w:rsidP="007A3749"/>
        </w:tc>
        <w:tc>
          <w:tcPr>
            <w:tcW w:w="4606" w:type="dxa"/>
          </w:tcPr>
          <w:p w:rsidR="00DB5BE3" w:rsidRPr="007A3749" w:rsidRDefault="00DB5BE3" w:rsidP="006F6E73">
            <w:pPr>
              <w:jc w:val="center"/>
            </w:pPr>
            <w:r w:rsidRPr="007A3749">
              <w:t>František Řezáč</w:t>
            </w:r>
            <w:r w:rsidRPr="007A3749">
              <w:br/>
              <w:t xml:space="preserve">Člen představenstva </w:t>
            </w:r>
            <w:r w:rsidR="001E48CA" w:rsidRPr="007A3749">
              <w:br/>
            </w:r>
            <w:r w:rsidRPr="007A3749">
              <w:t>PEGAS NONWOVENS SA</w:t>
            </w:r>
          </w:p>
          <w:p w:rsidR="00336F2D" w:rsidRPr="007A3749" w:rsidRDefault="00336F2D" w:rsidP="007A3749"/>
        </w:tc>
      </w:tr>
    </w:tbl>
    <w:p w:rsidR="008F42BE" w:rsidRPr="007A3749" w:rsidRDefault="008F42BE" w:rsidP="007A3749"/>
    <w:p w:rsidR="00136A1A" w:rsidRPr="007A3749" w:rsidRDefault="00136A1A" w:rsidP="00396F0C">
      <w:pPr>
        <w:pStyle w:val="Heading1"/>
        <w:sectPr w:rsidR="00136A1A" w:rsidRPr="007A3749" w:rsidSect="00F43D1F">
          <w:type w:val="continuous"/>
          <w:pgSz w:w="11906" w:h="16838"/>
          <w:pgMar w:top="1417" w:right="1417" w:bottom="1417" w:left="1417" w:header="708" w:footer="708" w:gutter="0"/>
          <w:cols w:space="708"/>
          <w:docGrid w:linePitch="360"/>
        </w:sectPr>
      </w:pPr>
    </w:p>
    <w:p w:rsidR="007C6DCC" w:rsidRPr="007A3749" w:rsidRDefault="00552703" w:rsidP="00396F0C">
      <w:pPr>
        <w:pStyle w:val="Heading1"/>
      </w:pPr>
      <w:bookmarkStart w:id="110" w:name="_Toc269907505"/>
      <w:bookmarkStart w:id="111" w:name="_Toc487810696"/>
      <w:r w:rsidRPr="007A3749">
        <w:t>Kontakty</w:t>
      </w:r>
      <w:bookmarkEnd w:id="110"/>
      <w:bookmarkEnd w:id="111"/>
    </w:p>
    <w:p w:rsidR="004A6A89" w:rsidRPr="007A3749" w:rsidRDefault="004A6A89" w:rsidP="007A3749"/>
    <w:p w:rsidR="00786807" w:rsidRDefault="00786807" w:rsidP="00786807">
      <w:pPr>
        <w:pStyle w:val="Heading4"/>
      </w:pPr>
      <w:r>
        <w:t>PR/IR Officer</w:t>
      </w:r>
    </w:p>
    <w:p w:rsidR="00786807" w:rsidRDefault="00786807" w:rsidP="00786807">
      <w:pPr>
        <w:spacing w:before="0" w:beforeAutospacing="0" w:after="0" w:afterAutospacing="0"/>
      </w:pPr>
      <w:r>
        <w:t>Pegas Nonwovens</w:t>
      </w:r>
    </w:p>
    <w:p w:rsidR="00786807" w:rsidRDefault="00786807" w:rsidP="00786807">
      <w:pPr>
        <w:spacing w:before="0" w:beforeAutospacing="0" w:after="0" w:afterAutospacing="0"/>
      </w:pPr>
      <w:r>
        <w:t>Tel.: +420 515 262 408</w:t>
      </w:r>
    </w:p>
    <w:p w:rsidR="00786807" w:rsidRDefault="00786807" w:rsidP="00786807">
      <w:pPr>
        <w:spacing w:before="0" w:beforeAutospacing="0" w:after="0" w:afterAutospacing="0"/>
      </w:pPr>
      <w:r>
        <w:t>GSM: +420 727 964 218</w:t>
      </w:r>
    </w:p>
    <w:p w:rsidR="004A6A89" w:rsidRPr="007A3749" w:rsidRDefault="00786807" w:rsidP="00786807">
      <w:pPr>
        <w:spacing w:before="0" w:beforeAutospacing="0" w:after="0" w:afterAutospacing="0"/>
      </w:pPr>
      <w:r>
        <w:t>iro@pegas.cz</w:t>
      </w:r>
    </w:p>
    <w:p w:rsidR="0039712B" w:rsidRPr="007A3749" w:rsidRDefault="0039712B" w:rsidP="007A3749">
      <w:pPr>
        <w:sectPr w:rsidR="0039712B" w:rsidRPr="007A3749" w:rsidSect="00136A1A">
          <w:pgSz w:w="11906" w:h="16838"/>
          <w:pgMar w:top="1417" w:right="1417" w:bottom="1417" w:left="1417" w:header="708" w:footer="708" w:gutter="0"/>
          <w:cols w:space="708"/>
          <w:docGrid w:linePitch="360"/>
        </w:sectPr>
      </w:pPr>
    </w:p>
    <w:p w:rsidR="00153CF7" w:rsidRPr="007A3749" w:rsidRDefault="00AF4A0B" w:rsidP="00396F0C">
      <w:pPr>
        <w:pStyle w:val="Heading1"/>
      </w:pPr>
      <w:bookmarkStart w:id="112" w:name="_Toc269907506"/>
      <w:bookmarkStart w:id="113" w:name="_Toc487810697"/>
      <w:r w:rsidRPr="007A3749">
        <w:t>Výklad</w:t>
      </w:r>
      <w:r w:rsidR="00552703" w:rsidRPr="007A3749">
        <w:t xml:space="preserve"> pojmů a zkratek</w:t>
      </w:r>
      <w:bookmarkEnd w:id="112"/>
      <w:bookmarkEnd w:id="113"/>
    </w:p>
    <w:p w:rsidR="0051790A" w:rsidRPr="007A3749" w:rsidRDefault="0051790A" w:rsidP="007A3749"/>
    <w:p w:rsidR="00A46311" w:rsidRPr="007A3749" w:rsidRDefault="00A46311" w:rsidP="007A3749">
      <w:r w:rsidRPr="007A3749">
        <w:rPr>
          <w:b/>
        </w:rPr>
        <w:t>6th October City</w:t>
      </w:r>
      <w:r w:rsidRPr="002C5400">
        <w:t xml:space="preserve"> </w:t>
      </w:r>
      <w:r w:rsidRPr="007A3749">
        <w:t>– je satelitní město u Káhiry v Egyptě. Město má zhruba půl milionu obyvatel a je regionálním sídlem mnoha firem.</w:t>
      </w:r>
    </w:p>
    <w:p w:rsidR="00A46311" w:rsidRPr="007A3749" w:rsidRDefault="00A46311" w:rsidP="007A3749">
      <w:r w:rsidRPr="007A3749">
        <w:rPr>
          <w:b/>
        </w:rPr>
        <w:t>BCPP (PSE)</w:t>
      </w:r>
      <w:r w:rsidRPr="002C5400">
        <w:t xml:space="preserve"> </w:t>
      </w:r>
      <w:r w:rsidRPr="007A3749">
        <w:t xml:space="preserve">– Burza cenných papírů </w:t>
      </w:r>
      <w:r w:rsidR="002C5400">
        <w:t>Praha</w:t>
      </w:r>
      <w:r w:rsidRPr="007A3749">
        <w:t>, regulovaný trh pro obchody s cennými papíry v České Republice.</w:t>
      </w:r>
    </w:p>
    <w:p w:rsidR="00A46311" w:rsidRPr="007A3749" w:rsidRDefault="00A46311" w:rsidP="007A3749">
      <w:r w:rsidRPr="007A3749">
        <w:rPr>
          <w:b/>
        </w:rPr>
        <w:t>Bikomponentní vlákno (Bi-co)</w:t>
      </w:r>
      <w:r w:rsidRPr="002C5400">
        <w:t xml:space="preserve"> </w:t>
      </w:r>
      <w:r w:rsidRPr="007A3749">
        <w:t>– textilní vlákno obsahující dvě nebo více základní komponenty (polymery). Typické průřezy vláken jsou například „strana/strana“, „jádro/plášť“, „ostrůvky v matrici“.</w:t>
      </w:r>
    </w:p>
    <w:p w:rsidR="00A46311" w:rsidRPr="007A3749" w:rsidRDefault="00A46311" w:rsidP="007A3749">
      <w:pPr>
        <w:rPr>
          <w:b/>
        </w:rPr>
      </w:pPr>
      <w:r w:rsidRPr="007A3749">
        <w:rPr>
          <w:b/>
        </w:rPr>
        <w:t>Bučovice</w:t>
      </w:r>
      <w:r w:rsidRPr="002C5400">
        <w:t xml:space="preserve"> –</w:t>
      </w:r>
      <w:r w:rsidRPr="007A3749">
        <w:rPr>
          <w:b/>
        </w:rPr>
        <w:t xml:space="preserve"> </w:t>
      </w:r>
      <w:r w:rsidRPr="007A3749">
        <w:t xml:space="preserve">město na Moravě v okrese Vyškov s přibližně 6 500 obyvateli. PEGAS zde provozuje tři výrobní linky. </w:t>
      </w:r>
    </w:p>
    <w:p w:rsidR="00A46311" w:rsidRPr="007A3749" w:rsidRDefault="00A46311" w:rsidP="007A3749">
      <w:r w:rsidRPr="007A3749">
        <w:rPr>
          <w:b/>
          <w:bCs/>
        </w:rPr>
        <w:t>Clearstream Bank</w:t>
      </w:r>
      <w:r w:rsidRPr="007A3749">
        <w:t xml:space="preserve"> - Clearstream je předním poskytovatelem služeb následujících po obchodování s cennými papíry v Evropě. Je dceřinou společností Deutsche Börse. Clearstream International vznikl v lednu 2000 spojením Cedel International a Deutsche Börse Clearing.</w:t>
      </w:r>
    </w:p>
    <w:p w:rsidR="00A46311" w:rsidRPr="007A3749" w:rsidRDefault="00A46311" w:rsidP="007A3749">
      <w:pPr>
        <w:rPr>
          <w:bCs/>
        </w:rPr>
      </w:pPr>
      <w:r w:rsidRPr="007A3749">
        <w:rPr>
          <w:b/>
        </w:rPr>
        <w:t>EDANA</w:t>
      </w:r>
      <w:r w:rsidRPr="007A3749">
        <w:t xml:space="preserve"> – European Disposables and Nonwovens Association je evropská obchodní asociace výrobců netkaných textilií a výrobců hygienických výrobků, jejímiž členy je přibližně </w:t>
      </w:r>
      <w:r w:rsidRPr="007A3749">
        <w:rPr>
          <w:bCs/>
        </w:rPr>
        <w:t xml:space="preserve">200 společností z 28 zemí. </w:t>
      </w:r>
    </w:p>
    <w:p w:rsidR="00F85969" w:rsidRDefault="00F85969" w:rsidP="007A3749">
      <w:r w:rsidRPr="007A3749">
        <w:rPr>
          <w:b/>
        </w:rPr>
        <w:t>EGAP</w:t>
      </w:r>
      <w:r w:rsidRPr="00050349">
        <w:t xml:space="preserve"> – </w:t>
      </w:r>
      <w:r w:rsidRPr="007A3749">
        <w:t>Exportní garanční a pojišťovací společnost, a.s. (EGAP) založená v červnu 1992 jako státní úvěrová pojišťovna se zaměřením na pojišťování vývozních úvěrů proti teritoriálním a tržně nepojistitelným komerčním rizikům spojeným s vývozem zboží a služeb z České republiky. Společnost EGAP se stala součástí systému státní podpory exportu a poskytuje pojišťovací služby všem vývozcům českého zboží, služeb a investic.</w:t>
      </w:r>
    </w:p>
    <w:p w:rsidR="002C5400" w:rsidRPr="002C5400" w:rsidRDefault="002C5400" w:rsidP="007A3749">
      <w:r>
        <w:rPr>
          <w:b/>
        </w:rPr>
        <w:t>EMEA</w:t>
      </w:r>
      <w:r>
        <w:t xml:space="preserve"> – Evropa, Střední východ a Afrika.</w:t>
      </w:r>
    </w:p>
    <w:p w:rsidR="00A46311" w:rsidRPr="007A3749" w:rsidRDefault="00A46311" w:rsidP="007A3749">
      <w:r w:rsidRPr="007A3749">
        <w:rPr>
          <w:b/>
          <w:bCs/>
        </w:rPr>
        <w:t>IFRS</w:t>
      </w:r>
      <w:r w:rsidRPr="007A3749">
        <w:rPr>
          <w:bCs/>
        </w:rPr>
        <w:t xml:space="preserve"> </w:t>
      </w:r>
      <w:r w:rsidRPr="007A3749">
        <w:t>– Mezinárodní standardy účetního výkaznictví.</w:t>
      </w:r>
    </w:p>
    <w:p w:rsidR="00A46311" w:rsidRPr="007A3749" w:rsidRDefault="00A46311" w:rsidP="007A3749">
      <w:r w:rsidRPr="007A3749">
        <w:rPr>
          <w:b/>
          <w:bCs/>
        </w:rPr>
        <w:t>IPO</w:t>
      </w:r>
      <w:r w:rsidRPr="007A3749">
        <w:t xml:space="preserve"> – primární emise akcií.</w:t>
      </w:r>
    </w:p>
    <w:p w:rsidR="00A46311" w:rsidRPr="007A3749" w:rsidRDefault="00A46311" w:rsidP="007A3749">
      <w:r w:rsidRPr="007A3749">
        <w:rPr>
          <w:b/>
          <w:bCs/>
        </w:rPr>
        <w:t>IRS</w:t>
      </w:r>
      <w:r w:rsidRPr="007A3749">
        <w:t xml:space="preserve"> – úrokový swap, finanční instrument sloužící k zajištění úrokového rizika.</w:t>
      </w:r>
    </w:p>
    <w:p w:rsidR="00A46311" w:rsidRPr="007A3749" w:rsidRDefault="00A46311" w:rsidP="007A3749">
      <w:r w:rsidRPr="007A3749">
        <w:rPr>
          <w:b/>
        </w:rPr>
        <w:t>Meltblownová textilie</w:t>
      </w:r>
      <w:r w:rsidRPr="007A3749">
        <w:t xml:space="preserve"> – textilie vyrobená technologií Meltblown.</w:t>
      </w:r>
    </w:p>
    <w:p w:rsidR="00A46311" w:rsidRPr="007A3749" w:rsidRDefault="00A46311" w:rsidP="007A3749">
      <w:r w:rsidRPr="007A3749">
        <w:rPr>
          <w:b/>
        </w:rPr>
        <w:t>Netkaná textilie</w:t>
      </w:r>
      <w:r w:rsidRPr="007A3749">
        <w:t xml:space="preserve"> – plošný textilní útvar vyrobený z přírodních či syntetických vláken pojený mechanicky, chemicky nebo tepelně (nejedná se při tom o výrobu papíru).</w:t>
      </w:r>
    </w:p>
    <w:p w:rsidR="00A46311" w:rsidRPr="007A3749" w:rsidRDefault="00A46311" w:rsidP="007A3749">
      <w:r w:rsidRPr="007A3749">
        <w:rPr>
          <w:b/>
        </w:rPr>
        <w:t>Polymer</w:t>
      </w:r>
      <w:r w:rsidRPr="00050349">
        <w:t xml:space="preserve"> </w:t>
      </w:r>
      <w:r w:rsidRPr="007A3749">
        <w:t>– látka složená z molekul (monomerů) pojených kovalentní vazbou do velice dlouhých řetězců.</w:t>
      </w:r>
    </w:p>
    <w:p w:rsidR="00A46311" w:rsidRPr="007A3749" w:rsidRDefault="00A46311" w:rsidP="007A3749">
      <w:r w:rsidRPr="007A3749">
        <w:rPr>
          <w:b/>
        </w:rPr>
        <w:t>Polypropylen/polyetylen</w:t>
      </w:r>
      <w:r w:rsidRPr="007A3749">
        <w:t xml:space="preserve"> – termoplastický polymer skládající se z dlouhých řetězců monomerů (propylen, etylen). Přirozenou vlastností je vodoodpudivost, odolnost vůči chemickým rozpouštědlům, alkáliím a kyselinám.</w:t>
      </w:r>
    </w:p>
    <w:p w:rsidR="00A46311" w:rsidRPr="007A3749" w:rsidRDefault="00A46311" w:rsidP="007A3749">
      <w:r w:rsidRPr="007A3749">
        <w:rPr>
          <w:b/>
          <w:bCs/>
        </w:rPr>
        <w:t>Přímětice</w:t>
      </w:r>
      <w:r w:rsidRPr="007A3749">
        <w:t xml:space="preserve"> – </w:t>
      </w:r>
      <w:r w:rsidR="004F0AE6" w:rsidRPr="007A3749">
        <w:t>d</w:t>
      </w:r>
      <w:r w:rsidRPr="007A3749">
        <w:t>říve samosprávn</w:t>
      </w:r>
      <w:r w:rsidR="00502DC2" w:rsidRPr="007A3749">
        <w:t>á</w:t>
      </w:r>
      <w:r w:rsidRPr="007A3749">
        <w:t xml:space="preserve"> jednotka, nyní součást předměstí Znojma. PEGAS zde provozuje </w:t>
      </w:r>
      <w:r w:rsidR="007E0668" w:rsidRPr="007A3749">
        <w:t xml:space="preserve">šest </w:t>
      </w:r>
      <w:r w:rsidRPr="007A3749">
        <w:t>výrobních linek.</w:t>
      </w:r>
    </w:p>
    <w:p w:rsidR="00A46311" w:rsidRPr="007A3749" w:rsidRDefault="00A46311" w:rsidP="007A3749">
      <w:r w:rsidRPr="007A3749">
        <w:rPr>
          <w:b/>
          <w:bCs/>
        </w:rPr>
        <w:t>PX</w:t>
      </w:r>
      <w:r w:rsidRPr="007A3749">
        <w:rPr>
          <w:bCs/>
        </w:rPr>
        <w:t xml:space="preserve"> – </w:t>
      </w:r>
      <w:r w:rsidRPr="007A3749">
        <w:t>oficiální index významných emisí (blue chips) k</w:t>
      </w:r>
      <w:r w:rsidR="002C5400">
        <w:t>o</w:t>
      </w:r>
      <w:r w:rsidRPr="007A3749">
        <w:t xml:space="preserve">tovaných na Burze cenných papírů </w:t>
      </w:r>
      <w:r w:rsidR="002C5400">
        <w:t>Praha</w:t>
      </w:r>
      <w:r w:rsidRPr="007A3749">
        <w:t>.</w:t>
      </w:r>
    </w:p>
    <w:p w:rsidR="00A46311" w:rsidRPr="007A3749" w:rsidRDefault="00A46311" w:rsidP="007A3749">
      <w:r w:rsidRPr="007A3749">
        <w:rPr>
          <w:b/>
        </w:rPr>
        <w:t>Reicofil</w:t>
      </w:r>
      <w:r w:rsidRPr="007A3749">
        <w:t xml:space="preserve"> – přední výrobce zařízení na výrobu netkaných textilií.</w:t>
      </w:r>
    </w:p>
    <w:p w:rsidR="00A46311" w:rsidRPr="007A3749" w:rsidRDefault="00A46311" w:rsidP="007A3749">
      <w:r w:rsidRPr="007A3749">
        <w:rPr>
          <w:b/>
        </w:rPr>
        <w:t>Regranulace</w:t>
      </w:r>
      <w:r w:rsidRPr="007A3749">
        <w:t xml:space="preserve"> – metoda recyklace zbytkových textilií do formy granulí, které mohou být vráceny do výrobního procesu.</w:t>
      </w:r>
    </w:p>
    <w:p w:rsidR="00A46311" w:rsidRPr="007A3749" w:rsidRDefault="00A46311" w:rsidP="007A3749">
      <w:r w:rsidRPr="007A3749">
        <w:rPr>
          <w:b/>
        </w:rPr>
        <w:t>Spunbondová textilie</w:t>
      </w:r>
      <w:r w:rsidRPr="007A3749">
        <w:t xml:space="preserve"> – textilie vyrobená technologií Spunbond/Spunmelt.</w:t>
      </w:r>
    </w:p>
    <w:p w:rsidR="00A46311" w:rsidRPr="007A3749" w:rsidRDefault="00A46311" w:rsidP="007A3749">
      <w:r w:rsidRPr="007A3749">
        <w:rPr>
          <w:b/>
        </w:rPr>
        <w:t>Spunmelt/technologie Spunmelt</w:t>
      </w:r>
      <w:r w:rsidRPr="007A3749">
        <w:t xml:space="preserve"> – technologie výroby netkané textilie. Tavenina polymeru je vytlačována do dloužícího kanálu, dloužena chladným vzduchem do požadovaného průměru vláken a ukládána na pás.</w:t>
      </w:r>
    </w:p>
    <w:p w:rsidR="00A46311" w:rsidRPr="007A3749" w:rsidRDefault="00A46311" w:rsidP="007A3749">
      <w:r w:rsidRPr="007A3749">
        <w:rPr>
          <w:b/>
        </w:rPr>
        <w:t>Technologie Meltblown</w:t>
      </w:r>
      <w:r w:rsidRPr="007A3749">
        <w:t xml:space="preserve"> – technologie výroby netkané textilie, kdy polymer je vytlačován z kapilár, dloužen horkým vzduchem na velmi jemná vlákna (1-10 mikrometrů) a ukládán na pás.</w:t>
      </w:r>
    </w:p>
    <w:p w:rsidR="0023384D" w:rsidRPr="007A3749" w:rsidRDefault="0023384D" w:rsidP="007A3749">
      <w:r w:rsidRPr="007A3749">
        <w:rPr>
          <w:b/>
        </w:rPr>
        <w:t xml:space="preserve">Warranty – </w:t>
      </w:r>
      <w:r w:rsidRPr="007A3749">
        <w:t>cenné papíry, které představují právo koupit nebo prodat předem dohodnuté množství podkladového aktiva za dopředu určenou realizační cenu v pevně stanoveném termínu.</w:t>
      </w:r>
    </w:p>
    <w:p w:rsidR="00E67047" w:rsidRDefault="00A46311" w:rsidP="007A3749">
      <w:r w:rsidRPr="007A3749">
        <w:rPr>
          <w:b/>
          <w:bCs/>
        </w:rPr>
        <w:t>WSE</w:t>
      </w:r>
      <w:r w:rsidRPr="007A3749">
        <w:t xml:space="preserve"> – Burza cenných papírů ve Varšavě, regulovaný trh pro obchody s cennými papíry v Polsku.</w:t>
      </w:r>
    </w:p>
    <w:p w:rsidR="00E67047" w:rsidRDefault="00E67047">
      <w:pPr>
        <w:spacing w:before="0" w:beforeAutospacing="0" w:after="0" w:afterAutospacing="0"/>
        <w:jc w:val="left"/>
      </w:pPr>
      <w:r>
        <w:br w:type="page"/>
      </w:r>
    </w:p>
    <w:p w:rsidR="00A83C96" w:rsidRPr="00E45B42" w:rsidRDefault="00A83C96" w:rsidP="00E45B42">
      <w:pPr>
        <w:pStyle w:val="Heading2"/>
      </w:pPr>
      <w:bookmarkStart w:id="114" w:name="_Toc487810698"/>
      <w:r w:rsidRPr="00E45B42">
        <w:t>Alternativní měřítka výkonnosti</w:t>
      </w:r>
      <w:bookmarkEnd w:id="114"/>
    </w:p>
    <w:p w:rsidR="00A83C96" w:rsidRDefault="00A83C96" w:rsidP="00A83C96">
      <w:r w:rsidRPr="00A83C96">
        <w:t>V souladu se směrnicí ESMA (European Securities and Markets Authority) týkající se transparentnosti a ochrany investorů v Evropské unii obsahuje tento slovník alternativní měřítka výkonnosti, která jsou používána pro vyjádření výkonnosti Společnosti, ale nejsou definována v rámci IFRS výkazů jako standardní měřítka. Definice těchto měřítek umožňuje uživatelům reportů získat dodatečnou informaci pro posouzení ekonomické situace a výkonnosti Společnosti.</w:t>
      </w:r>
    </w:p>
    <w:p w:rsidR="00A83C96" w:rsidRDefault="00A83C96" w:rsidP="00A83C96"/>
    <w:tbl>
      <w:tblPr>
        <w:tblStyle w:val="TableGrid"/>
        <w:tblW w:w="5000" w:type="pct"/>
        <w:tblBorders>
          <w:top w:val="single" w:sz="4" w:space="0" w:color="9C9D9F"/>
          <w:left w:val="single" w:sz="4" w:space="0" w:color="9C9D9F"/>
          <w:bottom w:val="single" w:sz="4" w:space="0" w:color="9C9D9F"/>
          <w:right w:val="single" w:sz="4" w:space="0" w:color="9C9D9F"/>
          <w:insideH w:val="single" w:sz="4" w:space="0" w:color="9C9D9F"/>
          <w:insideV w:val="single" w:sz="4" w:space="0" w:color="9C9D9F"/>
        </w:tblBorders>
        <w:tblLook w:val="04A0" w:firstRow="1" w:lastRow="0" w:firstColumn="1" w:lastColumn="0" w:noHBand="0" w:noVBand="1"/>
      </w:tblPr>
      <w:tblGrid>
        <w:gridCol w:w="1558"/>
        <w:gridCol w:w="3864"/>
        <w:gridCol w:w="3866"/>
      </w:tblGrid>
      <w:tr w:rsidR="00A83C96" w:rsidTr="009801C3">
        <w:tc>
          <w:tcPr>
            <w:tcW w:w="839" w:type="pct"/>
            <w:shd w:val="clear" w:color="auto" w:fill="E2001C"/>
          </w:tcPr>
          <w:p w:rsidR="00A83C96" w:rsidRPr="000A7859" w:rsidRDefault="00A83C96" w:rsidP="009372D3">
            <w:pPr>
              <w:jc w:val="left"/>
              <w:rPr>
                <w:b/>
                <w:color w:val="FFFFFF" w:themeColor="background1"/>
                <w:lang w:val="en-GB"/>
              </w:rPr>
            </w:pPr>
            <w:r>
              <w:rPr>
                <w:b/>
                <w:color w:val="FFFFFF" w:themeColor="background1"/>
                <w:lang w:val="en-GB"/>
              </w:rPr>
              <w:t>Měřítko výkonnosti</w:t>
            </w:r>
          </w:p>
        </w:tc>
        <w:tc>
          <w:tcPr>
            <w:tcW w:w="2080" w:type="pct"/>
            <w:shd w:val="clear" w:color="auto" w:fill="E2001C"/>
          </w:tcPr>
          <w:p w:rsidR="00A83C96" w:rsidRPr="000A7859" w:rsidRDefault="00A83C96" w:rsidP="009372D3">
            <w:pPr>
              <w:rPr>
                <w:b/>
                <w:color w:val="FFFFFF" w:themeColor="background1"/>
                <w:lang w:val="en-GB"/>
              </w:rPr>
            </w:pPr>
            <w:r>
              <w:rPr>
                <w:b/>
                <w:color w:val="FFFFFF" w:themeColor="background1"/>
                <w:lang w:val="en-GB"/>
              </w:rPr>
              <w:t>Definice</w:t>
            </w:r>
          </w:p>
        </w:tc>
        <w:tc>
          <w:tcPr>
            <w:tcW w:w="2081" w:type="pct"/>
            <w:shd w:val="clear" w:color="auto" w:fill="E2001C"/>
          </w:tcPr>
          <w:p w:rsidR="00A83C96" w:rsidRPr="000A7859" w:rsidRDefault="00A83C96" w:rsidP="009372D3">
            <w:pPr>
              <w:rPr>
                <w:b/>
                <w:color w:val="FFFFFF" w:themeColor="background1"/>
                <w:lang w:val="en-GB"/>
              </w:rPr>
            </w:pPr>
            <w:r>
              <w:rPr>
                <w:b/>
                <w:color w:val="FFFFFF" w:themeColor="background1"/>
                <w:lang w:val="en-GB"/>
              </w:rPr>
              <w:t>Účel</w:t>
            </w:r>
          </w:p>
        </w:tc>
      </w:tr>
      <w:tr w:rsidR="00A83C96" w:rsidTr="009801C3">
        <w:tc>
          <w:tcPr>
            <w:tcW w:w="839" w:type="pct"/>
          </w:tcPr>
          <w:p w:rsidR="00A83C96" w:rsidRPr="00BC514B" w:rsidRDefault="00A83C96" w:rsidP="009372D3">
            <w:pPr>
              <w:jc w:val="left"/>
              <w:rPr>
                <w:b/>
                <w:bCs/>
                <w:lang w:val="en-GB"/>
              </w:rPr>
            </w:pPr>
            <w:r>
              <w:rPr>
                <w:b/>
                <w:bCs/>
                <w:lang w:val="en-GB"/>
              </w:rPr>
              <w:t>CAPEX</w:t>
            </w:r>
          </w:p>
        </w:tc>
        <w:tc>
          <w:tcPr>
            <w:tcW w:w="2080" w:type="pct"/>
          </w:tcPr>
          <w:p w:rsidR="00A83C96" w:rsidRPr="00044381" w:rsidRDefault="00A83C96" w:rsidP="009372D3">
            <w:pPr>
              <w:rPr>
                <w:lang w:val="en-GB"/>
              </w:rPr>
            </w:pPr>
            <w:r w:rsidRPr="00CC127C">
              <w:rPr>
                <w:lang w:val="en-US"/>
              </w:rPr>
              <w:t>Investiční výdaje do nehmotného majetku a pozemků, budov a zařízení, včetně investiční</w:t>
            </w:r>
            <w:r>
              <w:rPr>
                <w:lang w:val="en-US"/>
              </w:rPr>
              <w:t>ch</w:t>
            </w:r>
            <w:r w:rsidRPr="00CC127C">
              <w:rPr>
                <w:lang w:val="en-US"/>
              </w:rPr>
              <w:t xml:space="preserve"> výdaj</w:t>
            </w:r>
            <w:r>
              <w:rPr>
                <w:lang w:val="en-US"/>
              </w:rPr>
              <w:t>ů</w:t>
            </w:r>
            <w:r w:rsidRPr="00CC127C">
              <w:rPr>
                <w:lang w:val="en-US"/>
              </w:rPr>
              <w:t xml:space="preserve"> financovan</w:t>
            </w:r>
            <w:r>
              <w:rPr>
                <w:lang w:val="en-US"/>
              </w:rPr>
              <w:t>ých</w:t>
            </w:r>
            <w:r w:rsidRPr="00CC127C">
              <w:rPr>
                <w:lang w:val="en-US"/>
              </w:rPr>
              <w:t xml:space="preserve"> leasingem</w:t>
            </w:r>
          </w:p>
        </w:tc>
        <w:tc>
          <w:tcPr>
            <w:tcW w:w="2081" w:type="pct"/>
          </w:tcPr>
          <w:p w:rsidR="00A83C96" w:rsidRPr="00CA2A86" w:rsidRDefault="00A83C96" w:rsidP="009372D3">
            <w:r>
              <w:t>Zobrazuje množství dostupných prostředků investovaných do operací k zajištění dlouhodobé výnosnosti.</w:t>
            </w:r>
          </w:p>
        </w:tc>
      </w:tr>
      <w:tr w:rsidR="00A83C96" w:rsidTr="009801C3">
        <w:tc>
          <w:tcPr>
            <w:tcW w:w="839" w:type="pct"/>
          </w:tcPr>
          <w:p w:rsidR="00A83C96" w:rsidRPr="00BC514B" w:rsidRDefault="00A83C96" w:rsidP="009372D3">
            <w:pPr>
              <w:jc w:val="left"/>
              <w:rPr>
                <w:b/>
                <w:bCs/>
                <w:lang w:val="en-GB"/>
              </w:rPr>
            </w:pPr>
            <w:r>
              <w:rPr>
                <w:b/>
                <w:bCs/>
                <w:lang w:val="en-GB"/>
              </w:rPr>
              <w:t>Čistý dluh</w:t>
            </w:r>
          </w:p>
        </w:tc>
        <w:tc>
          <w:tcPr>
            <w:tcW w:w="2080" w:type="pct"/>
          </w:tcPr>
          <w:p w:rsidR="00A83C96" w:rsidRDefault="00A83C96" w:rsidP="009372D3">
            <w:pPr>
              <w:rPr>
                <w:bCs/>
                <w:lang w:val="en-GB"/>
              </w:rPr>
            </w:pPr>
            <w:r>
              <w:rPr>
                <w:lang w:val="en-US"/>
              </w:rPr>
              <w:t xml:space="preserve">Finanční ukazatel počítaný jako: </w:t>
            </w:r>
            <w:r>
              <w:t>Dlouhodobé dluhy bez části splatné během 1 roku + Část dlouhodobých dluhů splatná během jednoho roku + Krátkodobé úvěry – (Peněžní prostředky a peněžní ekvivalenty + Vysoce likvidní finanční aktiva)</w:t>
            </w:r>
          </w:p>
        </w:tc>
        <w:tc>
          <w:tcPr>
            <w:tcW w:w="2081" w:type="pct"/>
          </w:tcPr>
          <w:p w:rsidR="00A83C96" w:rsidRPr="00850E87" w:rsidRDefault="00A83C96" w:rsidP="009372D3">
            <w:r w:rsidRPr="006A3A7D">
              <w:t xml:space="preserve">Ukazatel vyjadřuje reálný stav finančního dluhu </w:t>
            </w:r>
            <w:r>
              <w:t>Společnosti</w:t>
            </w:r>
            <w:r w:rsidRPr="006A3A7D">
              <w:t>, tj. nominální hodnotu dluhů sníženou o peněžní prostředky, peněžní ekvivalenty a vysoce likvidní finanční aktiva společnosti. Využití ukazatele je primárně při posuzování celkové přiměř</w:t>
            </w:r>
            <w:r>
              <w:t>enosti zadlužení S</w:t>
            </w:r>
            <w:r w:rsidRPr="006A3A7D">
              <w:t xml:space="preserve">polečnosti, tj. např. při porovnání s vybranými ziskovými či bilančními ukazateli </w:t>
            </w:r>
            <w:r>
              <w:t>Společnosti</w:t>
            </w:r>
            <w:r w:rsidRPr="006A3A7D">
              <w:t>.</w:t>
            </w:r>
          </w:p>
        </w:tc>
      </w:tr>
      <w:tr w:rsidR="00A83C96" w:rsidTr="009801C3">
        <w:tc>
          <w:tcPr>
            <w:tcW w:w="839" w:type="pct"/>
          </w:tcPr>
          <w:p w:rsidR="00A83C96" w:rsidRPr="00BC514B" w:rsidRDefault="00A83C96" w:rsidP="009372D3">
            <w:pPr>
              <w:jc w:val="left"/>
              <w:rPr>
                <w:b/>
                <w:bCs/>
                <w:lang w:val="en-GB"/>
              </w:rPr>
            </w:pPr>
            <w:r>
              <w:rPr>
                <w:b/>
                <w:bCs/>
                <w:lang w:val="en-GB"/>
              </w:rPr>
              <w:t>Čistý dluh/EBITDA</w:t>
            </w:r>
          </w:p>
        </w:tc>
        <w:tc>
          <w:tcPr>
            <w:tcW w:w="2080" w:type="pct"/>
          </w:tcPr>
          <w:p w:rsidR="00A83C96" w:rsidRDefault="00A83C96" w:rsidP="009372D3">
            <w:pPr>
              <w:rPr>
                <w:bCs/>
                <w:lang w:val="en-GB"/>
              </w:rPr>
            </w:pPr>
            <w:r>
              <w:t>Čistý dluh/EBITDA, přičemž u EBITDA se používá klouzavá hodnota za posledních 12 měsíců.</w:t>
            </w:r>
          </w:p>
        </w:tc>
        <w:tc>
          <w:tcPr>
            <w:tcW w:w="2081" w:type="pct"/>
          </w:tcPr>
          <w:p w:rsidR="00A83C96" w:rsidRPr="00850E87" w:rsidRDefault="00A83C96" w:rsidP="009372D3">
            <w:r>
              <w:t>Vyjadřuje schopnost Společnosti snižovat a splácet svůj dluh a na druhou stranu také její možnosti přijmout další dluh pro rozvoj podnikání. Ukazatel přibližně vyjadřuje, za jak dlouho je Společnost schopna splatit své dluhy ze svého primárního zdroje provozního cash flow.</w:t>
            </w:r>
          </w:p>
        </w:tc>
      </w:tr>
      <w:tr w:rsidR="00A83C96" w:rsidTr="009801C3">
        <w:tc>
          <w:tcPr>
            <w:tcW w:w="839" w:type="pct"/>
          </w:tcPr>
          <w:p w:rsidR="00A83C96" w:rsidRDefault="00A83C96" w:rsidP="009372D3">
            <w:pPr>
              <w:jc w:val="left"/>
              <w:rPr>
                <w:b/>
                <w:bCs/>
                <w:lang w:val="en-GB"/>
              </w:rPr>
            </w:pPr>
            <w:r w:rsidRPr="00BC514B">
              <w:rPr>
                <w:b/>
                <w:bCs/>
                <w:lang w:val="en-GB"/>
              </w:rPr>
              <w:t>EBIT</w:t>
            </w:r>
            <w:r>
              <w:rPr>
                <w:b/>
                <w:bCs/>
                <w:lang w:val="en-GB"/>
              </w:rPr>
              <w:t xml:space="preserve">  </w:t>
            </w:r>
          </w:p>
          <w:p w:rsidR="00A83C96" w:rsidRDefault="00A83C96" w:rsidP="009372D3">
            <w:pPr>
              <w:jc w:val="left"/>
              <w:rPr>
                <w:b/>
                <w:bCs/>
                <w:lang w:val="en-GB"/>
              </w:rPr>
            </w:pPr>
            <w:r>
              <w:rPr>
                <w:b/>
                <w:bCs/>
                <w:lang w:val="en-GB"/>
              </w:rPr>
              <w:t>(Provozní zisk)</w:t>
            </w:r>
          </w:p>
          <w:p w:rsidR="00A83C96" w:rsidRDefault="00A83C96" w:rsidP="009372D3">
            <w:pPr>
              <w:jc w:val="left"/>
              <w:rPr>
                <w:lang w:val="en-GB"/>
              </w:rPr>
            </w:pPr>
          </w:p>
        </w:tc>
        <w:tc>
          <w:tcPr>
            <w:tcW w:w="2080" w:type="pct"/>
          </w:tcPr>
          <w:p w:rsidR="00A83C96" w:rsidRPr="00CA2A86" w:rsidRDefault="00A83C96" w:rsidP="009372D3">
            <w:r>
              <w:rPr>
                <w:bCs/>
                <w:lang w:val="en-GB"/>
              </w:rPr>
              <w:t>Z</w:t>
            </w:r>
            <w:r w:rsidRPr="00CC127C">
              <w:rPr>
                <w:bCs/>
              </w:rPr>
              <w:t xml:space="preserve">isk </w:t>
            </w:r>
            <w:r w:rsidRPr="00CC127C">
              <w:t>zahrnující tržby za prodané výrobky, spotřebu materiálu a ostatní spotřebu, osobní náklady, ostatní provozní výnosy/náklady, odpisy a amortizaci (před odečtením úroků a daní)</w:t>
            </w:r>
          </w:p>
        </w:tc>
        <w:tc>
          <w:tcPr>
            <w:tcW w:w="2081" w:type="pct"/>
          </w:tcPr>
          <w:p w:rsidR="00A83C96" w:rsidRPr="00CA2A86" w:rsidRDefault="00A83C96" w:rsidP="00A83C96">
            <w:r>
              <w:t>Je p</w:t>
            </w:r>
            <w:r w:rsidRPr="00CA2A86">
              <w:t>oužíván k vyjádření provozního výsledku</w:t>
            </w:r>
            <w:r>
              <w:t xml:space="preserve"> Společnosti a současně eliminuje </w:t>
            </w:r>
            <w:r w:rsidRPr="00850E87">
              <w:t>dopad</w:t>
            </w:r>
            <w:r>
              <w:t>y rozdílů mezi místními daňovými systémy</w:t>
            </w:r>
            <w:r w:rsidRPr="00850E87">
              <w:t xml:space="preserve"> a </w:t>
            </w:r>
            <w:r>
              <w:t>různými</w:t>
            </w:r>
            <w:r w:rsidRPr="00A83C96">
              <w:t xml:space="preserve"> finanční</w:t>
            </w:r>
            <w:r>
              <w:t>mi</w:t>
            </w:r>
            <w:r w:rsidRPr="00A83C96">
              <w:t xml:space="preserve"> aktivit</w:t>
            </w:r>
            <w:r>
              <w:t>ami</w:t>
            </w:r>
            <w:r w:rsidRPr="00A83C96">
              <w:t>.</w:t>
            </w:r>
          </w:p>
        </w:tc>
      </w:tr>
      <w:tr w:rsidR="00A83C96" w:rsidTr="009801C3">
        <w:tc>
          <w:tcPr>
            <w:tcW w:w="839" w:type="pct"/>
          </w:tcPr>
          <w:p w:rsidR="00A83C96" w:rsidRDefault="00A83C96" w:rsidP="009372D3">
            <w:pPr>
              <w:jc w:val="left"/>
              <w:rPr>
                <w:lang w:val="en-GB"/>
              </w:rPr>
            </w:pPr>
            <w:r w:rsidRPr="00BC514B">
              <w:rPr>
                <w:b/>
                <w:bCs/>
                <w:lang w:val="en-GB"/>
              </w:rPr>
              <w:t>EBITDA</w:t>
            </w:r>
            <w:r w:rsidRPr="00BC514B">
              <w:rPr>
                <w:lang w:val="en-GB"/>
              </w:rPr>
              <w:t xml:space="preserve"> </w:t>
            </w:r>
          </w:p>
          <w:p w:rsidR="00A83C96" w:rsidRDefault="00A83C96" w:rsidP="009372D3">
            <w:pPr>
              <w:jc w:val="left"/>
              <w:rPr>
                <w:lang w:val="en-GB"/>
              </w:rPr>
            </w:pPr>
          </w:p>
        </w:tc>
        <w:tc>
          <w:tcPr>
            <w:tcW w:w="2080" w:type="pct"/>
          </w:tcPr>
          <w:p w:rsidR="00A83C96" w:rsidRPr="00EE419C" w:rsidRDefault="00A83C96" w:rsidP="009372D3">
            <w:pPr>
              <w:rPr>
                <w:lang w:val="en-US"/>
              </w:rPr>
            </w:pPr>
            <w:r w:rsidRPr="00850E87">
              <w:rPr>
                <w:lang w:val="en-US"/>
              </w:rPr>
              <w:t>Finanční ukazatel, který určuje provozní marž</w:t>
            </w:r>
            <w:r>
              <w:rPr>
                <w:lang w:val="en-US"/>
              </w:rPr>
              <w:t>i</w:t>
            </w:r>
            <w:r w:rsidRPr="00850E87">
              <w:rPr>
                <w:lang w:val="en-US"/>
              </w:rPr>
              <w:t xml:space="preserve"> společnosti před odečtení</w:t>
            </w:r>
            <w:r>
              <w:rPr>
                <w:lang w:val="en-US"/>
              </w:rPr>
              <w:t>m</w:t>
            </w:r>
            <w:r w:rsidRPr="00850E87">
              <w:rPr>
                <w:lang w:val="en-US"/>
              </w:rPr>
              <w:t xml:space="preserve"> úroků, daní, </w:t>
            </w:r>
            <w:r>
              <w:rPr>
                <w:lang w:val="en-US"/>
              </w:rPr>
              <w:t>odpisů a amortizace</w:t>
            </w:r>
            <w:r w:rsidRPr="00850E87">
              <w:rPr>
                <w:lang w:val="en-US"/>
              </w:rPr>
              <w:t>. Počítáno</w:t>
            </w:r>
            <w:r>
              <w:rPr>
                <w:lang w:val="en-US"/>
              </w:rPr>
              <w:t xml:space="preserve"> jako čistý zisk před zdaněním,</w:t>
            </w:r>
            <w:r w:rsidRPr="00850E87">
              <w:rPr>
                <w:lang w:val="en-US"/>
              </w:rPr>
              <w:t xml:space="preserve"> nákladov</w:t>
            </w:r>
            <w:r>
              <w:rPr>
                <w:lang w:val="en-US"/>
              </w:rPr>
              <w:t>é</w:t>
            </w:r>
            <w:r w:rsidRPr="00850E87">
              <w:rPr>
                <w:lang w:val="en-US"/>
              </w:rPr>
              <w:t xml:space="preserve"> úrok</w:t>
            </w:r>
            <w:r>
              <w:rPr>
                <w:lang w:val="en-US"/>
              </w:rPr>
              <w:t>y</w:t>
            </w:r>
            <w:r w:rsidRPr="00850E87">
              <w:rPr>
                <w:lang w:val="en-US"/>
              </w:rPr>
              <w:t>, úrokové výnosy, kurzové změny, ostatní finanční výnosy/náklady a odpisy a amortizace.</w:t>
            </w:r>
          </w:p>
        </w:tc>
        <w:tc>
          <w:tcPr>
            <w:tcW w:w="2081" w:type="pct"/>
          </w:tcPr>
          <w:p w:rsidR="00A83C96" w:rsidRDefault="00A83C96" w:rsidP="009372D3">
            <w:pPr>
              <w:rPr>
                <w:lang w:val="en-GB"/>
              </w:rPr>
            </w:pPr>
            <w:r w:rsidRPr="00850E87">
              <w:rPr>
                <w:lang w:val="en-US"/>
              </w:rPr>
              <w:t xml:space="preserve">Vzhledem k tomu, že neobsahuje finanční a daňové ukazatele nebo účetní náklady nezahrnující odliv, </w:t>
            </w:r>
            <w:r>
              <w:rPr>
                <w:lang w:val="en-US"/>
              </w:rPr>
              <w:t>je používán</w:t>
            </w:r>
            <w:r w:rsidRPr="00850E87">
              <w:rPr>
                <w:lang w:val="en-US"/>
              </w:rPr>
              <w:t xml:space="preserve"> </w:t>
            </w:r>
            <w:r>
              <w:rPr>
                <w:lang w:val="en-US"/>
              </w:rPr>
              <w:t>m</w:t>
            </w:r>
            <w:r w:rsidRPr="00850E87">
              <w:rPr>
                <w:lang w:val="en-US"/>
              </w:rPr>
              <w:t>anagement</w:t>
            </w:r>
            <w:r>
              <w:rPr>
                <w:lang w:val="en-US"/>
              </w:rPr>
              <w:t>em pro vyhodnocení výsledků S</w:t>
            </w:r>
            <w:r w:rsidRPr="00850E87">
              <w:rPr>
                <w:lang w:val="en-US"/>
              </w:rPr>
              <w:t>polečnosti v průběhu času.</w:t>
            </w:r>
          </w:p>
        </w:tc>
      </w:tr>
      <w:tr w:rsidR="00A83C96" w:rsidTr="009801C3">
        <w:trPr>
          <w:trHeight w:val="577"/>
        </w:trPr>
        <w:tc>
          <w:tcPr>
            <w:tcW w:w="839" w:type="pct"/>
          </w:tcPr>
          <w:p w:rsidR="00A83C96" w:rsidRPr="0055409D" w:rsidRDefault="00A83C96" w:rsidP="009372D3">
            <w:pPr>
              <w:jc w:val="left"/>
              <w:rPr>
                <w:rFonts w:cs="Arial"/>
                <w:b/>
                <w:bCs/>
                <w:color w:val="000000"/>
              </w:rPr>
            </w:pPr>
            <w:r w:rsidRPr="0055409D">
              <w:rPr>
                <w:rFonts w:cs="Arial"/>
                <w:b/>
                <w:color w:val="000000"/>
              </w:rPr>
              <w:t>Marže čistého zisku</w:t>
            </w:r>
          </w:p>
        </w:tc>
        <w:tc>
          <w:tcPr>
            <w:tcW w:w="2080" w:type="pct"/>
          </w:tcPr>
          <w:p w:rsidR="00A83C96" w:rsidRDefault="00A83C96" w:rsidP="009372D3">
            <w:pPr>
              <w:autoSpaceDE w:val="0"/>
              <w:autoSpaceDN w:val="0"/>
              <w:adjustRightInd w:val="0"/>
              <w:spacing w:line="240" w:lineRule="atLeast"/>
              <w:rPr>
                <w:rFonts w:cs="Arial"/>
                <w:color w:val="000000"/>
              </w:rPr>
            </w:pPr>
            <w:r>
              <w:rPr>
                <w:rFonts w:cs="Arial"/>
                <w:color w:val="000000"/>
              </w:rPr>
              <w:t>P</w:t>
            </w:r>
            <w:r w:rsidRPr="0055409D">
              <w:rPr>
                <w:rFonts w:cs="Arial"/>
                <w:color w:val="000000"/>
              </w:rPr>
              <w:t xml:space="preserve">rocentní marže </w:t>
            </w:r>
            <w:r>
              <w:rPr>
                <w:rFonts w:cs="Arial"/>
                <w:color w:val="000000"/>
              </w:rPr>
              <w:t xml:space="preserve">je </w:t>
            </w:r>
            <w:r w:rsidRPr="0055409D">
              <w:rPr>
                <w:rFonts w:cs="Arial"/>
                <w:color w:val="000000"/>
              </w:rPr>
              <w:t>počítána jako čistý zisk po zdanění a před rozdělením akcionářů/celkové tržby</w:t>
            </w:r>
            <w:r>
              <w:rPr>
                <w:rFonts w:cs="Arial"/>
                <w:color w:val="000000"/>
              </w:rPr>
              <w:t>.</w:t>
            </w:r>
          </w:p>
        </w:tc>
        <w:tc>
          <w:tcPr>
            <w:tcW w:w="2081" w:type="pct"/>
          </w:tcPr>
          <w:p w:rsidR="00A83C96" w:rsidRPr="00850E87" w:rsidRDefault="00A83C96" w:rsidP="009372D3">
            <w:r w:rsidRPr="00CA2A86">
              <w:t>Používá se k</w:t>
            </w:r>
            <w:r>
              <w:t> </w:t>
            </w:r>
            <w:r w:rsidRPr="00CA2A86">
              <w:t>v</w:t>
            </w:r>
            <w:r>
              <w:t>y</w:t>
            </w:r>
            <w:r w:rsidRPr="00CA2A86">
              <w:t>jádření</w:t>
            </w:r>
            <w:r>
              <w:t>,</w:t>
            </w:r>
            <w:r w:rsidRPr="00CA2A86">
              <w:t xml:space="preserve"> jak dobře Společnost přeměňuje tržby v zisk dostupný pro akcionáře.</w:t>
            </w:r>
          </w:p>
        </w:tc>
      </w:tr>
      <w:tr w:rsidR="00A83C96" w:rsidTr="009801C3">
        <w:trPr>
          <w:trHeight w:val="577"/>
        </w:trPr>
        <w:tc>
          <w:tcPr>
            <w:tcW w:w="839" w:type="pct"/>
          </w:tcPr>
          <w:p w:rsidR="00A83C96" w:rsidRDefault="00A83C96" w:rsidP="009372D3">
            <w:pPr>
              <w:jc w:val="left"/>
              <w:rPr>
                <w:lang w:val="en-GB"/>
              </w:rPr>
            </w:pPr>
            <w:r w:rsidRPr="0055409D">
              <w:rPr>
                <w:rFonts w:cs="Arial"/>
                <w:b/>
                <w:bCs/>
                <w:color w:val="000000"/>
              </w:rPr>
              <w:t>Marže EBIT</w:t>
            </w:r>
          </w:p>
        </w:tc>
        <w:tc>
          <w:tcPr>
            <w:tcW w:w="2080" w:type="pct"/>
          </w:tcPr>
          <w:p w:rsidR="00A83C96" w:rsidRPr="00CA2A86" w:rsidRDefault="00A83C96" w:rsidP="009372D3">
            <w:pPr>
              <w:autoSpaceDE w:val="0"/>
              <w:autoSpaceDN w:val="0"/>
              <w:adjustRightInd w:val="0"/>
              <w:spacing w:line="240" w:lineRule="atLeast"/>
              <w:rPr>
                <w:rFonts w:cs="Arial"/>
                <w:color w:val="000000"/>
              </w:rPr>
            </w:pPr>
            <w:r>
              <w:rPr>
                <w:rFonts w:cs="Arial"/>
                <w:color w:val="000000"/>
              </w:rPr>
              <w:t>P</w:t>
            </w:r>
            <w:r w:rsidRPr="0055409D">
              <w:rPr>
                <w:rFonts w:cs="Arial"/>
                <w:color w:val="000000"/>
              </w:rPr>
              <w:t xml:space="preserve">rocentní marže </w:t>
            </w:r>
            <w:r>
              <w:rPr>
                <w:rFonts w:cs="Arial"/>
                <w:color w:val="000000"/>
              </w:rPr>
              <w:t xml:space="preserve">je </w:t>
            </w:r>
            <w:r w:rsidRPr="0055409D">
              <w:rPr>
                <w:rFonts w:cs="Arial"/>
                <w:color w:val="000000"/>
              </w:rPr>
              <w:t>počítána jako EBIT/celkové tržby.</w:t>
            </w:r>
          </w:p>
        </w:tc>
        <w:tc>
          <w:tcPr>
            <w:tcW w:w="2081" w:type="pct"/>
          </w:tcPr>
          <w:p w:rsidR="00A83C96" w:rsidRPr="00CA2A86" w:rsidRDefault="00A83C96" w:rsidP="009372D3">
            <w:r w:rsidRPr="00CA2A86">
              <w:t>Používá se k</w:t>
            </w:r>
            <w:r>
              <w:t xml:space="preserve"> posouzení provozní výkonnosti S</w:t>
            </w:r>
            <w:r w:rsidRPr="00CA2A86">
              <w:t>polečnosti.</w:t>
            </w:r>
          </w:p>
        </w:tc>
      </w:tr>
      <w:tr w:rsidR="00A83C96" w:rsidTr="009801C3">
        <w:tc>
          <w:tcPr>
            <w:tcW w:w="839" w:type="pct"/>
          </w:tcPr>
          <w:p w:rsidR="00A83C96" w:rsidRDefault="00A83C96" w:rsidP="009372D3">
            <w:pPr>
              <w:jc w:val="left"/>
              <w:rPr>
                <w:lang w:val="en-GB"/>
              </w:rPr>
            </w:pPr>
            <w:r>
              <w:rPr>
                <w:b/>
                <w:bCs/>
                <w:lang w:val="en-GB"/>
              </w:rPr>
              <w:t xml:space="preserve">Marže </w:t>
            </w:r>
            <w:r w:rsidRPr="00BC514B">
              <w:rPr>
                <w:b/>
                <w:bCs/>
                <w:lang w:val="en-GB"/>
              </w:rPr>
              <w:t>EBITDA</w:t>
            </w:r>
          </w:p>
        </w:tc>
        <w:tc>
          <w:tcPr>
            <w:tcW w:w="2080" w:type="pct"/>
          </w:tcPr>
          <w:p w:rsidR="00A83C96" w:rsidRPr="00EE419C" w:rsidRDefault="00A83C96" w:rsidP="009372D3">
            <w:pPr>
              <w:rPr>
                <w:lang w:val="pl-PL"/>
              </w:rPr>
            </w:pPr>
            <w:r>
              <w:t>P</w:t>
            </w:r>
            <w:r w:rsidRPr="006A3A7D">
              <w:t xml:space="preserve">rocentní marže </w:t>
            </w:r>
            <w:r>
              <w:t xml:space="preserve">je </w:t>
            </w:r>
            <w:r w:rsidRPr="006A3A7D">
              <w:t>počítána jako EBITDA/celkové tržby</w:t>
            </w:r>
            <w:r>
              <w:t>.</w:t>
            </w:r>
          </w:p>
        </w:tc>
        <w:tc>
          <w:tcPr>
            <w:tcW w:w="2081" w:type="pct"/>
          </w:tcPr>
          <w:p w:rsidR="00A83C96" w:rsidRPr="00EE419C" w:rsidRDefault="00A83C96" w:rsidP="009372D3">
            <w:pPr>
              <w:rPr>
                <w:lang w:val="pl-PL"/>
              </w:rPr>
            </w:pPr>
            <w:r w:rsidRPr="00EE419C">
              <w:rPr>
                <w:lang w:val="pl-PL"/>
              </w:rPr>
              <w:t>Používá se k vyjádření ziskovosti Společnosti.</w:t>
            </w:r>
          </w:p>
        </w:tc>
      </w:tr>
      <w:tr w:rsidR="00A83C96" w:rsidRPr="000A7859" w:rsidTr="009801C3">
        <w:tc>
          <w:tcPr>
            <w:tcW w:w="839" w:type="pct"/>
          </w:tcPr>
          <w:p w:rsidR="00A83C96" w:rsidRDefault="00A83C96" w:rsidP="009372D3">
            <w:pPr>
              <w:jc w:val="left"/>
              <w:rPr>
                <w:lang w:val="en-GB"/>
              </w:rPr>
            </w:pPr>
            <w:r w:rsidRPr="00CC127C">
              <w:rPr>
                <w:b/>
                <w:bCs/>
                <w:lang w:val="en-GB"/>
              </w:rPr>
              <w:t>Plánovaná EBITDA</w:t>
            </w:r>
          </w:p>
        </w:tc>
        <w:tc>
          <w:tcPr>
            <w:tcW w:w="2080" w:type="pct"/>
          </w:tcPr>
          <w:p w:rsidR="00A83C96" w:rsidRPr="000A7859" w:rsidRDefault="00A83C96" w:rsidP="009372D3">
            <w:r>
              <w:rPr>
                <w:rFonts w:cs="Arial"/>
                <w:bCs/>
                <w:lang w:val="en-GB"/>
              </w:rPr>
              <w:t>F</w:t>
            </w:r>
            <w:r w:rsidRPr="0055409D">
              <w:rPr>
                <w:rFonts w:cs="Arial"/>
                <w:bCs/>
              </w:rPr>
              <w:t>inanční ukazatel definovaný jako výnosy minus náklady na prodané zboží a ostatní prodejní a administrativní náklady</w:t>
            </w:r>
          </w:p>
        </w:tc>
        <w:tc>
          <w:tcPr>
            <w:tcW w:w="2081" w:type="pct"/>
          </w:tcPr>
          <w:p w:rsidR="00A83C96" w:rsidRPr="000A7859" w:rsidRDefault="00A83C96" w:rsidP="009372D3">
            <w:pPr>
              <w:rPr>
                <w:bCs/>
              </w:rPr>
            </w:pPr>
            <w:r>
              <w:rPr>
                <w:bCs/>
              </w:rPr>
              <w:t>Je p</w:t>
            </w:r>
            <w:r w:rsidRPr="00CC127C">
              <w:rPr>
                <w:bCs/>
              </w:rPr>
              <w:t>oužitý v obchodním plánu Společnosti jako benchmarková hodnota pro ohodnocení výkonnosti v manažerském bonusovém plánu</w:t>
            </w:r>
            <w:r>
              <w:rPr>
                <w:bCs/>
              </w:rPr>
              <w:t>.</w:t>
            </w:r>
          </w:p>
        </w:tc>
      </w:tr>
    </w:tbl>
    <w:p w:rsidR="00A83C96" w:rsidRDefault="00A83C96" w:rsidP="007A3749"/>
    <w:p w:rsidR="00A83C96" w:rsidRPr="007A3749" w:rsidRDefault="00A83C96" w:rsidP="007A3749">
      <w:pPr>
        <w:sectPr w:rsidR="00A83C96" w:rsidRPr="007A3749">
          <w:pgSz w:w="11906" w:h="16838"/>
          <w:pgMar w:top="1417" w:right="1417" w:bottom="1417" w:left="1417" w:header="720" w:footer="720" w:gutter="0"/>
          <w:cols w:space="720"/>
          <w:docGrid w:linePitch="360"/>
        </w:sectPr>
      </w:pPr>
    </w:p>
    <w:p w:rsidR="009B0EE0" w:rsidRDefault="009B0EE0" w:rsidP="00396F0C">
      <w:pPr>
        <w:pStyle w:val="Heading1"/>
      </w:pPr>
      <w:bookmarkStart w:id="115" w:name="_Toc269907507"/>
      <w:bookmarkStart w:id="116" w:name="_Toc487810699"/>
      <w:bookmarkStart w:id="117" w:name="_Toc165188467"/>
      <w:r w:rsidRPr="007A3749">
        <w:t>O</w:t>
      </w:r>
      <w:r w:rsidR="00AA27DA" w:rsidRPr="007A3749">
        <w:t>statní informace</w:t>
      </w:r>
      <w:bookmarkEnd w:id="115"/>
      <w:bookmarkEnd w:id="116"/>
    </w:p>
    <w:p w:rsidR="00786807" w:rsidRPr="00786807" w:rsidRDefault="00786807" w:rsidP="00786807"/>
    <w:p w:rsidR="00786807" w:rsidRDefault="00786807" w:rsidP="006F6E73">
      <w:pPr>
        <w:pStyle w:val="Heading4"/>
        <w:sectPr w:rsidR="00786807" w:rsidSect="00E4318F">
          <w:pgSz w:w="11906" w:h="16838"/>
          <w:pgMar w:top="1417" w:right="1417" w:bottom="1417" w:left="1417" w:header="708" w:footer="708" w:gutter="0"/>
          <w:cols w:space="708"/>
          <w:docGrid w:linePitch="360"/>
        </w:sectPr>
      </w:pPr>
    </w:p>
    <w:p w:rsidR="00184203" w:rsidRDefault="00AA27DA" w:rsidP="006F6E73">
      <w:pPr>
        <w:pStyle w:val="Heading4"/>
      </w:pPr>
      <w:r w:rsidRPr="007A3749">
        <w:t xml:space="preserve">Základní údaje o </w:t>
      </w:r>
      <w:r w:rsidR="00A83C96">
        <w:t>S</w:t>
      </w:r>
      <w:r w:rsidRPr="007A3749">
        <w:t>polečnosti</w:t>
      </w:r>
      <w:bookmarkEnd w:id="117"/>
    </w:p>
    <w:p w:rsidR="00214FF1" w:rsidRPr="00214FF1" w:rsidRDefault="00214FF1" w:rsidP="00214FF1">
      <w:pPr>
        <w:spacing w:before="0" w:beforeAutospacing="0" w:after="0" w:afterAutospacing="0"/>
        <w:rPr>
          <w:b/>
        </w:rPr>
      </w:pPr>
      <w:r>
        <w:rPr>
          <w:b/>
        </w:rPr>
        <w:t>Obchodní firma</w:t>
      </w:r>
    </w:p>
    <w:p w:rsidR="00214FF1" w:rsidRDefault="00214FF1" w:rsidP="00214FF1">
      <w:pPr>
        <w:spacing w:before="0" w:beforeAutospacing="0" w:after="0" w:afterAutospacing="0"/>
      </w:pPr>
      <w:r>
        <w:t>PEGAS NONWOVENS SA</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Pr>
          <w:b/>
        </w:rPr>
        <w:t>Sídlo</w:t>
      </w:r>
    </w:p>
    <w:p w:rsidR="00214FF1" w:rsidRDefault="00214FF1" w:rsidP="00214FF1">
      <w:pPr>
        <w:spacing w:before="0" w:beforeAutospacing="0" w:after="0" w:afterAutospacing="0"/>
      </w:pPr>
      <w:r>
        <w:t>68−70, boulevard de la Pétrusse</w:t>
      </w:r>
    </w:p>
    <w:p w:rsidR="00214FF1" w:rsidRDefault="00214FF1" w:rsidP="00214FF1">
      <w:pPr>
        <w:spacing w:before="0" w:beforeAutospacing="0" w:after="0" w:afterAutospacing="0"/>
      </w:pPr>
      <w:r>
        <w:t>L-2320 Luxemburg</w:t>
      </w:r>
    </w:p>
    <w:p w:rsidR="00214FF1" w:rsidRDefault="00214FF1" w:rsidP="00214FF1">
      <w:pPr>
        <w:spacing w:before="0" w:beforeAutospacing="0" w:after="0" w:afterAutospacing="0"/>
      </w:pPr>
      <w:r>
        <w:t>Lucembursko</w:t>
      </w:r>
    </w:p>
    <w:p w:rsidR="00214FF1" w:rsidRDefault="00214FF1" w:rsidP="00214FF1">
      <w:pPr>
        <w:spacing w:before="0" w:beforeAutospacing="0" w:after="0" w:afterAutospacing="0"/>
      </w:pPr>
      <w:r>
        <w:t xml:space="preserve">Tel: (+352) 26 </w:t>
      </w:r>
      <w:r w:rsidR="00A83C96">
        <w:t>12 31 44</w:t>
      </w:r>
    </w:p>
    <w:p w:rsidR="00214FF1" w:rsidRDefault="00214FF1" w:rsidP="00214FF1">
      <w:pPr>
        <w:spacing w:before="0" w:beforeAutospacing="0" w:after="0" w:afterAutospacing="0"/>
      </w:pPr>
      <w:r>
        <w:t>Fax: (+352) 26 49 65 64</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sidRPr="00214FF1">
        <w:rPr>
          <w:b/>
        </w:rPr>
        <w:t>Rejstřík a r</w:t>
      </w:r>
      <w:r>
        <w:rPr>
          <w:b/>
        </w:rPr>
        <w:t>egistrační číslo</w:t>
      </w:r>
    </w:p>
    <w:p w:rsidR="00214FF1" w:rsidRDefault="00214FF1" w:rsidP="00214FF1">
      <w:pPr>
        <w:spacing w:before="0" w:beforeAutospacing="0" w:after="0" w:afterAutospacing="0"/>
      </w:pPr>
      <w:r>
        <w:t xml:space="preserve">Společnost je zapsána v </w:t>
      </w:r>
      <w:r w:rsidR="00A83C96">
        <w:t>R</w:t>
      </w:r>
      <w:r>
        <w:t>ejstříku obchodu a společností v Lucembursku pod číslem B</w:t>
      </w:r>
      <w:r w:rsidR="00A83C96">
        <w:t> </w:t>
      </w:r>
      <w:r>
        <w:t>112.044</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Pr>
          <w:b/>
        </w:rPr>
        <w:t>Vznik</w:t>
      </w:r>
    </w:p>
    <w:p w:rsidR="00214FF1" w:rsidRDefault="00214FF1" w:rsidP="00214FF1">
      <w:pPr>
        <w:spacing w:before="0" w:beforeAutospacing="0" w:after="0" w:afterAutospacing="0"/>
      </w:pPr>
      <w:r>
        <w:t>18. listopadu 2005, pod původním jménem Pamplona PE Holdco 2 SA</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Pr>
          <w:b/>
        </w:rPr>
        <w:t>Jurisdikce</w:t>
      </w:r>
    </w:p>
    <w:p w:rsidR="00214FF1" w:rsidRPr="00214FF1" w:rsidRDefault="00214FF1" w:rsidP="00214FF1">
      <w:pPr>
        <w:spacing w:before="0" w:beforeAutospacing="0" w:after="0" w:afterAutospacing="0"/>
      </w:pPr>
      <w:r>
        <w:t>Lucembursko</w:t>
      </w:r>
    </w:p>
    <w:p w:rsidR="001B2469" w:rsidRPr="007A3749" w:rsidRDefault="001A4DE1" w:rsidP="007A3749">
      <w:pPr>
        <w:pStyle w:val="NormalWeb"/>
      </w:pPr>
      <w:r w:rsidRPr="007A3749">
        <w:t>Holdingová společnost Skupiny PEGAS</w:t>
      </w:r>
      <w:r w:rsidR="00B81CE7" w:rsidRPr="007A3749">
        <w:t xml:space="preserve"> </w:t>
      </w:r>
      <w:r w:rsidRPr="007A3749">
        <w:t xml:space="preserve">NONWOVENS SA byla založena v Lucembursku jako společnost </w:t>
      </w:r>
      <w:r w:rsidR="00A83C96">
        <w:t xml:space="preserve">s ručením omezeným </w:t>
      </w:r>
      <w:r w:rsidR="001B2469" w:rsidRPr="007A3749">
        <w:t xml:space="preserve">(société anonyme) </w:t>
      </w:r>
      <w:r w:rsidRPr="007A3749">
        <w:t xml:space="preserve">na dobu neurčitou 18. listopadu 2005 jako </w:t>
      </w:r>
      <w:r w:rsidR="00B81CE7" w:rsidRPr="007A3749">
        <w:t xml:space="preserve">Pamplona PE Holdco </w:t>
      </w:r>
      <w:r w:rsidR="001B2469" w:rsidRPr="007A3749">
        <w:t xml:space="preserve">2 SA </w:t>
      </w:r>
      <w:r w:rsidRPr="007A3749">
        <w:t>a je zapsána v </w:t>
      </w:r>
      <w:r w:rsidR="00A83C96">
        <w:t>R</w:t>
      </w:r>
      <w:r w:rsidRPr="007A3749">
        <w:t xml:space="preserve">ejstříku obchodu a společností v Lucembursku pod číslem </w:t>
      </w:r>
      <w:r w:rsidR="001B2469" w:rsidRPr="007A3749">
        <w:t xml:space="preserve">B 112.044. </w:t>
      </w:r>
      <w:r w:rsidRPr="007A3749">
        <w:t xml:space="preserve">Stanovy Společnosti byly uveřejněny v </w:t>
      </w:r>
      <w:r w:rsidR="001B2469" w:rsidRPr="007A3749">
        <w:t xml:space="preserve">Mémorial, Recueil des Sociétés et Associations </w:t>
      </w:r>
      <w:r w:rsidRPr="007A3749">
        <w:t>pod číslem</w:t>
      </w:r>
      <w:r w:rsidR="001B2469" w:rsidRPr="007A3749">
        <w:t xml:space="preserve"> C 440 </w:t>
      </w:r>
      <w:r w:rsidRPr="007A3749">
        <w:t xml:space="preserve">1. března 2006. Sídlo Společnosti je 68-70, </w:t>
      </w:r>
      <w:r w:rsidR="001B2469" w:rsidRPr="007A3749">
        <w:t>boulevard de la Pétrusse</w:t>
      </w:r>
      <w:r w:rsidRPr="007A3749">
        <w:t xml:space="preserve">, L-2320 </w:t>
      </w:r>
      <w:r w:rsidR="008529CC" w:rsidRPr="007A3749">
        <w:t>Lu</w:t>
      </w:r>
      <w:r w:rsidR="008529CC">
        <w:t>xemburg</w:t>
      </w:r>
      <w:r w:rsidRPr="007A3749">
        <w:t>, Luc</w:t>
      </w:r>
      <w:r w:rsidR="001B2469" w:rsidRPr="007A3749">
        <w:t>embur</w:t>
      </w:r>
      <w:r w:rsidRPr="007A3749">
        <w:t>sko</w:t>
      </w:r>
      <w:r w:rsidR="001B2469" w:rsidRPr="007A3749">
        <w:t>.</w:t>
      </w:r>
      <w:r w:rsidRPr="007A3749">
        <w:t xml:space="preserve"> Sídlo a místo podnikání hlavní provozní entity </w:t>
      </w:r>
      <w:r w:rsidR="00353029" w:rsidRPr="007A3749">
        <w:t>PEGAS NON</w:t>
      </w:r>
      <w:r w:rsidRPr="007A3749">
        <w:t>WOVEN</w:t>
      </w:r>
      <w:r w:rsidR="001B2469" w:rsidRPr="007A3749">
        <w:t xml:space="preserve">S s.r.o. </w:t>
      </w:r>
      <w:r w:rsidRPr="007A3749">
        <w:t>je</w:t>
      </w:r>
      <w:r w:rsidR="001B2469" w:rsidRPr="007A3749">
        <w:t xml:space="preserve"> Přímětická</w:t>
      </w:r>
      <w:r w:rsidR="00531A02" w:rsidRPr="007A3749">
        <w:t xml:space="preserve"> </w:t>
      </w:r>
      <w:r w:rsidRPr="007A3749">
        <w:t>3623/</w:t>
      </w:r>
      <w:r w:rsidR="00531A02" w:rsidRPr="007A3749">
        <w:t xml:space="preserve">86, </w:t>
      </w:r>
      <w:r w:rsidR="001B2469" w:rsidRPr="007A3749">
        <w:t>669 0</w:t>
      </w:r>
      <w:r w:rsidR="008529CC">
        <w:t>2</w:t>
      </w:r>
      <w:r w:rsidR="001B2469" w:rsidRPr="007A3749">
        <w:t xml:space="preserve"> Znojmo, </w:t>
      </w:r>
      <w:r w:rsidRPr="007A3749">
        <w:t>Česká republika</w:t>
      </w:r>
      <w:r w:rsidR="001B2469" w:rsidRPr="007A3749">
        <w:t>.</w:t>
      </w:r>
    </w:p>
    <w:p w:rsidR="001B2469" w:rsidRPr="007A3749" w:rsidRDefault="00786807" w:rsidP="006F6E73">
      <w:pPr>
        <w:pStyle w:val="Heading4"/>
      </w:pPr>
      <w:r>
        <w:br w:type="column"/>
      </w:r>
      <w:r w:rsidR="001A4DE1" w:rsidRPr="007A3749">
        <w:t xml:space="preserve">Předmět podnikání </w:t>
      </w:r>
      <w:r w:rsidR="00000C9A">
        <w:t xml:space="preserve">Společnosti </w:t>
      </w:r>
      <w:r w:rsidR="001A4DE1" w:rsidRPr="007A3749">
        <w:t>(článek 3 Stanov</w:t>
      </w:r>
      <w:r w:rsidR="00000C9A">
        <w:t xml:space="preserve"> společnosti</w:t>
      </w:r>
      <w:r w:rsidR="001A4DE1" w:rsidRPr="007A3749">
        <w:t>)</w:t>
      </w:r>
      <w:r w:rsidR="001B2469" w:rsidRPr="007A3749">
        <w:t>:</w:t>
      </w:r>
    </w:p>
    <w:p w:rsidR="00386745" w:rsidRPr="00786807" w:rsidRDefault="00386745" w:rsidP="007A3749">
      <w:pPr>
        <w:rPr>
          <w:b/>
        </w:rPr>
      </w:pPr>
      <w:r w:rsidRPr="00786807">
        <w:rPr>
          <w:b/>
        </w:rPr>
        <w:t>Předmětem Společnosti je:</w:t>
      </w:r>
    </w:p>
    <w:p w:rsidR="00386745" w:rsidRPr="007A3749" w:rsidRDefault="00386745" w:rsidP="00786807">
      <w:pPr>
        <w:spacing w:before="0" w:beforeAutospacing="0" w:after="120" w:afterAutospacing="0"/>
      </w:pPr>
      <w:r w:rsidRPr="007A3749">
        <w:t>a) nabýv</w:t>
      </w:r>
      <w:r w:rsidR="008529CC">
        <w:t>at</w:t>
      </w:r>
      <w:r w:rsidRPr="007A3749">
        <w:t xml:space="preserve"> podíl</w:t>
      </w:r>
      <w:r w:rsidR="008529CC">
        <w:t>y</w:t>
      </w:r>
      <w:r w:rsidRPr="007A3749">
        <w:t xml:space="preserve"> a majetkov</w:t>
      </w:r>
      <w:r w:rsidR="008529CC">
        <w:t>é</w:t>
      </w:r>
      <w:r w:rsidRPr="007A3749">
        <w:t xml:space="preserve"> účastí v jakékoliv formě v obchodních, průmyslových,</w:t>
      </w:r>
      <w:r w:rsidR="000C1BD0" w:rsidRPr="007A3749">
        <w:t xml:space="preserve"> </w:t>
      </w:r>
      <w:r w:rsidRPr="007A3749">
        <w:t>finančních a jiných entitách se sídlem v Lucembursku nebo v zahraničí;</w:t>
      </w:r>
    </w:p>
    <w:p w:rsidR="00386745" w:rsidRPr="007A3749" w:rsidRDefault="00386745" w:rsidP="00786807">
      <w:pPr>
        <w:spacing w:before="0" w:beforeAutospacing="0" w:after="120" w:afterAutospacing="0"/>
      </w:pPr>
      <w:r w:rsidRPr="007A3749">
        <w:t>b) nabýv</w:t>
      </w:r>
      <w:r w:rsidR="008529CC">
        <w:t>at</w:t>
      </w:r>
      <w:r w:rsidRPr="007A3749">
        <w:t xml:space="preserve"> cenn</w:t>
      </w:r>
      <w:r w:rsidR="008529CC">
        <w:t>é</w:t>
      </w:r>
      <w:r w:rsidRPr="007A3749">
        <w:t xml:space="preserve"> papír</w:t>
      </w:r>
      <w:r w:rsidR="008529CC">
        <w:t>y</w:t>
      </w:r>
      <w:r w:rsidRPr="007A3749">
        <w:t xml:space="preserve"> a práv</w:t>
      </w:r>
      <w:r w:rsidR="008529CC">
        <w:t>a</w:t>
      </w:r>
      <w:r w:rsidRPr="007A3749">
        <w:t xml:space="preserve"> prostřednictvím podílů a účastí, upisování nákupu</w:t>
      </w:r>
      <w:r w:rsidR="000C1BD0" w:rsidRPr="007A3749">
        <w:t xml:space="preserve"> </w:t>
      </w:r>
      <w:r w:rsidRPr="007A3749">
        <w:t>opcí, vyjednávání a zejména získávání patentů, licencí a ostatních majetků, práv a</w:t>
      </w:r>
      <w:r w:rsidR="000C1BD0" w:rsidRPr="007A3749">
        <w:t xml:space="preserve"> </w:t>
      </w:r>
      <w:r w:rsidRPr="007A3749">
        <w:t>majetku dle vlastní úvahy, vlastnictví, řízení, rozvoj, prodej či dispozice výše uvedeného</w:t>
      </w:r>
      <w:r w:rsidR="000C1BD0" w:rsidRPr="007A3749">
        <w:t xml:space="preserve"> </w:t>
      </w:r>
      <w:r w:rsidRPr="007A3749">
        <w:t>v celku či po částech za úplatu dle úvahy Společnosti, zejména za cenné papíry nebo</w:t>
      </w:r>
      <w:r w:rsidR="00F06832" w:rsidRPr="007A3749">
        <w:t xml:space="preserve"> podíly;</w:t>
      </w:r>
    </w:p>
    <w:p w:rsidR="00386745" w:rsidRPr="007A3749" w:rsidRDefault="00386745" w:rsidP="00786807">
      <w:pPr>
        <w:spacing w:before="0" w:beforeAutospacing="0" w:after="120" w:afterAutospacing="0"/>
      </w:pPr>
      <w:r w:rsidRPr="007A3749">
        <w:t>c) uzavření, podpora nebo účast na finančních, obchodních a jiných transakcích a podpora</w:t>
      </w:r>
      <w:r w:rsidR="000C1BD0" w:rsidRPr="007A3749">
        <w:t xml:space="preserve"> </w:t>
      </w:r>
      <w:r w:rsidRPr="007A3749">
        <w:t>holdingové společnosti, dceřiné společnosti, spřízněné osob</w:t>
      </w:r>
      <w:r w:rsidR="00832D93" w:rsidRPr="007A3749">
        <w:t>y</w:t>
      </w:r>
      <w:r w:rsidRPr="007A3749">
        <w:t xml:space="preserve"> nebo jakékoliv jiné</w:t>
      </w:r>
      <w:r w:rsidR="000C1BD0" w:rsidRPr="007A3749">
        <w:t xml:space="preserve"> </w:t>
      </w:r>
      <w:r w:rsidR="008529CC">
        <w:t xml:space="preserve">společnosti </w:t>
      </w:r>
      <w:r w:rsidRPr="007A3749">
        <w:t>spojené se Společností nebo se zmíněnou holdingovou společností, dceřinou společností</w:t>
      </w:r>
      <w:r w:rsidR="000C1BD0" w:rsidRPr="007A3749">
        <w:t xml:space="preserve"> </w:t>
      </w:r>
      <w:r w:rsidRPr="007A3749">
        <w:t>nebo spřízněnou osobou, ve které má Společnost přímý nebo nepřímý finanční podíl,</w:t>
      </w:r>
      <w:r w:rsidR="000C1BD0" w:rsidRPr="007A3749">
        <w:t xml:space="preserve"> </w:t>
      </w:r>
      <w:r w:rsidR="00F06832" w:rsidRPr="007A3749">
        <w:t xml:space="preserve">při </w:t>
      </w:r>
      <w:r w:rsidRPr="007A3749">
        <w:t>zřizování zástav, půjček a záruk;</w:t>
      </w:r>
    </w:p>
    <w:p w:rsidR="00386745" w:rsidRPr="007A3749" w:rsidRDefault="00386745" w:rsidP="00786807">
      <w:pPr>
        <w:spacing w:before="0" w:beforeAutospacing="0" w:after="120" w:afterAutospacing="0"/>
      </w:pPr>
      <w:r w:rsidRPr="007A3749">
        <w:t>d) půjčování či získávání peněžních prostředků jakýmkoliv způsobem a zajištění splácení</w:t>
      </w:r>
      <w:r w:rsidR="000C1BD0" w:rsidRPr="007A3749">
        <w:t xml:space="preserve"> </w:t>
      </w:r>
      <w:r w:rsidRPr="007A3749">
        <w:t>jakýchkoliv půjčených prostředků;</w:t>
      </w:r>
    </w:p>
    <w:p w:rsidR="00F06832" w:rsidRPr="007A3749" w:rsidRDefault="00386745" w:rsidP="00786807">
      <w:pPr>
        <w:spacing w:before="0" w:beforeAutospacing="0" w:after="120" w:afterAutospacing="0"/>
      </w:pPr>
      <w:r w:rsidRPr="007A3749">
        <w:t>e) získávání půjček a emise dluhopisů a jiných cenných papírů</w:t>
      </w:r>
      <w:r w:rsidR="00832D93" w:rsidRPr="007A3749">
        <w:t>;</w:t>
      </w:r>
    </w:p>
    <w:p w:rsidR="00386745" w:rsidRPr="007A3749" w:rsidRDefault="00F06832" w:rsidP="00786807">
      <w:pPr>
        <w:spacing w:before="0" w:beforeAutospacing="0" w:after="120" w:afterAutospacing="0"/>
      </w:pPr>
      <w:r w:rsidRPr="007A3749">
        <w:t>f)</w:t>
      </w:r>
      <w:r w:rsidR="000C1BD0" w:rsidRPr="007A3749">
        <w:t xml:space="preserve"> </w:t>
      </w:r>
      <w:r w:rsidR="00386745" w:rsidRPr="007A3749">
        <w:t xml:space="preserve">všechny operace vztahující se k výše uvedenému přímo </w:t>
      </w:r>
      <w:r w:rsidRPr="007A3749">
        <w:t>či</w:t>
      </w:r>
      <w:r w:rsidR="00386745" w:rsidRPr="007A3749">
        <w:t xml:space="preserve"> nepřímo.</w:t>
      </w:r>
    </w:p>
    <w:p w:rsidR="00386745" w:rsidRPr="007D00E7" w:rsidRDefault="00386745" w:rsidP="007A3749">
      <w:pPr>
        <w:pStyle w:val="AODocTxt"/>
        <w:rPr>
          <w:lang w:val="cs-CZ"/>
        </w:rPr>
      </w:pPr>
    </w:p>
    <w:sectPr w:rsidR="00386745" w:rsidRPr="007D00E7" w:rsidSect="0078680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35" w:rsidRDefault="00FA1E35" w:rsidP="007A3749">
      <w:r>
        <w:separator/>
      </w:r>
    </w:p>
  </w:endnote>
  <w:endnote w:type="continuationSeparator" w:id="0">
    <w:p w:rsidR="00FA1E35" w:rsidRDefault="00FA1E35" w:rsidP="007A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EurostileTEEBla">
    <w:altName w:val="EurostileTEEBl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35" w:rsidRDefault="00FA1E35" w:rsidP="007A374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A1E35" w:rsidRDefault="00FA1E35" w:rsidP="007A3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35" w:rsidRDefault="00FA1E35" w:rsidP="007A3749">
    <w:pPr>
      <w:pStyle w:val="Footer"/>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682DF3">
      <w:rPr>
        <w:rStyle w:val="PageNumber"/>
        <w:noProof/>
      </w:rPr>
      <w:t>2</w:t>
    </w:r>
    <w:r>
      <w:rPr>
        <w:rStyle w:val="PageNumber"/>
      </w:rPr>
      <w:fldChar w:fldCharType="end"/>
    </w:r>
  </w:p>
  <w:p w:rsidR="00FA1E35" w:rsidRDefault="00FA1E35" w:rsidP="007A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35" w:rsidRDefault="00FA1E35" w:rsidP="007A3749">
      <w:r>
        <w:separator/>
      </w:r>
    </w:p>
  </w:footnote>
  <w:footnote w:type="continuationSeparator" w:id="0">
    <w:p w:rsidR="00FA1E35" w:rsidRDefault="00FA1E35" w:rsidP="007A3749">
      <w:r>
        <w:continuationSeparator/>
      </w:r>
    </w:p>
  </w:footnote>
  <w:footnote w:id="1">
    <w:p w:rsidR="00FA1E35" w:rsidRPr="009361D0" w:rsidRDefault="00FA1E35" w:rsidP="007A3749">
      <w:pPr>
        <w:pStyle w:val="FootnoteText"/>
      </w:pPr>
      <w:r w:rsidRPr="009361D0">
        <w:rPr>
          <w:rStyle w:val="FootnoteReference"/>
        </w:rPr>
        <w:footnoteRef/>
      </w:r>
      <w:r w:rsidRPr="009361D0">
        <w:t xml:space="preserve"> Rozdělení dle geografie urč</w:t>
      </w:r>
      <w:r>
        <w:t>eno</w:t>
      </w:r>
      <w:r w:rsidRPr="009361D0">
        <w:t xml:space="preserve"> místem dodání zboží.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1BBE6"/>
    <w:multiLevelType w:val="hybridMultilevel"/>
    <w:tmpl w:val="D87C55E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20BCB"/>
    <w:multiLevelType w:val="multilevel"/>
    <w:tmpl w:val="04050025"/>
    <w:lvl w:ilvl="0">
      <w:start w:val="1"/>
      <w:numFmt w:val="decimal"/>
      <w:lvlText w:val="%1"/>
      <w:lvlJc w:val="left"/>
      <w:pPr>
        <w:tabs>
          <w:tab w:val="num" w:pos="2276"/>
        </w:tabs>
        <w:ind w:left="2276"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nsid w:val="14773F3D"/>
    <w:multiLevelType w:val="hybridMultilevel"/>
    <w:tmpl w:val="8B0E2CB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19BA177E"/>
    <w:multiLevelType w:val="hybridMultilevel"/>
    <w:tmpl w:val="BE6A806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2490861"/>
    <w:multiLevelType w:val="hybridMultilevel"/>
    <w:tmpl w:val="28F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06D9"/>
    <w:multiLevelType w:val="hybridMultilevel"/>
    <w:tmpl w:val="ADC844D2"/>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8E5059"/>
    <w:multiLevelType w:val="hybridMultilevel"/>
    <w:tmpl w:val="6A441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nsid w:val="36CD219B"/>
    <w:multiLevelType w:val="hybridMultilevel"/>
    <w:tmpl w:val="E49E3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EE4787"/>
    <w:multiLevelType w:val="hybridMultilevel"/>
    <w:tmpl w:val="1C589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0762436"/>
    <w:multiLevelType w:val="hybridMultilevel"/>
    <w:tmpl w:val="A440B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5B3203"/>
    <w:multiLevelType w:val="multilevel"/>
    <w:tmpl w:val="6096DEFC"/>
    <w:name w:val="AODoc"/>
    <w:lvl w:ilvl="0">
      <w:start w:val="1"/>
      <w:numFmt w:val="none"/>
      <w:pStyle w:val="AODocTxtCharChar"/>
      <w:suff w:val="nothing"/>
      <w:lvlText w:val=""/>
      <w:lvlJc w:val="left"/>
      <w:pPr>
        <w:ind w:left="0" w:firstLine="0"/>
      </w:pPr>
    </w:lvl>
    <w:lvl w:ilvl="1">
      <w:start w:val="1"/>
      <w:numFmt w:val="none"/>
      <w:pStyle w:val="AODocTxt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3">
    <w:nsid w:val="48FD5A48"/>
    <w:multiLevelType w:val="hybridMultilevel"/>
    <w:tmpl w:val="9196A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FE7B09"/>
    <w:multiLevelType w:val="multilevel"/>
    <w:tmpl w:val="94F29B5C"/>
    <w:lvl w:ilvl="0">
      <w:start w:val="1"/>
      <w:numFmt w:val="decimal"/>
      <w:pStyle w:val="AO1"/>
      <w:lvlText w:val="(%1)"/>
      <w:lvlJc w:val="left"/>
      <w:pPr>
        <w:tabs>
          <w:tab w:val="num" w:pos="1710"/>
        </w:tabs>
        <w:ind w:left="1710" w:hanging="720"/>
      </w:pPr>
    </w:lvl>
    <w:lvl w:ilvl="1">
      <w:start w:val="1"/>
      <w:numFmt w:val="none"/>
      <w:lvlRestart w:val="0"/>
      <w:suff w:val="nothing"/>
      <w:lvlText w:val=""/>
      <w:lvlJc w:val="left"/>
      <w:pPr>
        <w:ind w:left="990" w:firstLine="0"/>
      </w:pPr>
    </w:lvl>
    <w:lvl w:ilvl="2">
      <w:start w:val="1"/>
      <w:numFmt w:val="none"/>
      <w:lvlRestart w:val="0"/>
      <w:suff w:val="nothing"/>
      <w:lvlText w:val=""/>
      <w:lvlJc w:val="left"/>
      <w:pPr>
        <w:ind w:left="990" w:firstLine="0"/>
      </w:pPr>
    </w:lvl>
    <w:lvl w:ilvl="3">
      <w:start w:val="1"/>
      <w:numFmt w:val="none"/>
      <w:lvlRestart w:val="0"/>
      <w:suff w:val="nothing"/>
      <w:lvlText w:val=""/>
      <w:lvlJc w:val="left"/>
      <w:pPr>
        <w:ind w:left="990" w:firstLine="0"/>
      </w:pPr>
    </w:lvl>
    <w:lvl w:ilvl="4">
      <w:start w:val="1"/>
      <w:numFmt w:val="none"/>
      <w:lvlRestart w:val="0"/>
      <w:suff w:val="nothing"/>
      <w:lvlText w:val=""/>
      <w:lvlJc w:val="left"/>
      <w:pPr>
        <w:ind w:left="990" w:firstLine="0"/>
      </w:pPr>
    </w:lvl>
    <w:lvl w:ilvl="5">
      <w:start w:val="1"/>
      <w:numFmt w:val="none"/>
      <w:lvlRestart w:val="0"/>
      <w:suff w:val="nothing"/>
      <w:lvlText w:val=""/>
      <w:lvlJc w:val="left"/>
      <w:pPr>
        <w:ind w:left="990" w:firstLine="0"/>
      </w:pPr>
    </w:lvl>
    <w:lvl w:ilvl="6">
      <w:start w:val="1"/>
      <w:numFmt w:val="none"/>
      <w:lvlRestart w:val="0"/>
      <w:suff w:val="nothing"/>
      <w:lvlText w:val=""/>
      <w:lvlJc w:val="left"/>
      <w:pPr>
        <w:ind w:left="990" w:firstLine="0"/>
      </w:pPr>
    </w:lvl>
    <w:lvl w:ilvl="7">
      <w:start w:val="1"/>
      <w:numFmt w:val="none"/>
      <w:lvlRestart w:val="0"/>
      <w:suff w:val="nothing"/>
      <w:lvlText w:val=""/>
      <w:lvlJc w:val="left"/>
      <w:pPr>
        <w:ind w:left="990" w:firstLine="0"/>
      </w:pPr>
    </w:lvl>
    <w:lvl w:ilvl="8">
      <w:start w:val="1"/>
      <w:numFmt w:val="none"/>
      <w:lvlRestart w:val="0"/>
      <w:suff w:val="nothing"/>
      <w:lvlText w:val=""/>
      <w:lvlJc w:val="left"/>
      <w:pPr>
        <w:ind w:left="990" w:firstLine="0"/>
      </w:pPr>
    </w:lvl>
  </w:abstractNum>
  <w:abstractNum w:abstractNumId="15">
    <w:nsid w:val="4E4B4E3E"/>
    <w:multiLevelType w:val="multilevel"/>
    <w:tmpl w:val="83A01EB8"/>
    <w:name w:val="AOHead"/>
    <w:lvl w:ilvl="0">
      <w:start w:val="1"/>
      <w:numFmt w:val="decimal"/>
      <w:pStyle w:val="AOHead1"/>
      <w:lvlText w:val="%1."/>
      <w:lvlJc w:val="left"/>
      <w:pPr>
        <w:tabs>
          <w:tab w:val="num" w:pos="720"/>
        </w:tabs>
        <w:ind w:left="720" w:hanging="720"/>
      </w:pPr>
    </w:lvl>
    <w:lvl w:ilvl="1">
      <w:start w:val="1"/>
      <w:numFmt w:val="decimal"/>
      <w:pStyle w:val="AOHead1"/>
      <w:lvlText w:val="%1.%2"/>
      <w:lvlJc w:val="left"/>
      <w:pPr>
        <w:tabs>
          <w:tab w:val="num" w:pos="862"/>
        </w:tabs>
        <w:ind w:left="862" w:hanging="720"/>
      </w:pPr>
      <w:rPr>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510E4548"/>
    <w:multiLevelType w:val="hybridMultilevel"/>
    <w:tmpl w:val="16B6A29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512836C1"/>
    <w:multiLevelType w:val="hybridMultilevel"/>
    <w:tmpl w:val="851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1E657F"/>
    <w:multiLevelType w:val="hybridMultilevel"/>
    <w:tmpl w:val="0B1A5370"/>
    <w:lvl w:ilvl="0" w:tplc="093CBC5C">
      <w:start w:val="1"/>
      <w:numFmt w:val="lowerLetter"/>
      <w:lvlText w:val="%1)"/>
      <w:lvlJc w:val="left"/>
      <w:pPr>
        <w:tabs>
          <w:tab w:val="num" w:pos="600"/>
        </w:tabs>
        <w:ind w:left="600" w:hanging="360"/>
      </w:pPr>
      <w:rPr>
        <w:rFonts w:cs="Times New Roman" w:hint="default"/>
        <w:b/>
        <w:i w:val="0"/>
      </w:rPr>
    </w:lvl>
    <w:lvl w:ilvl="1" w:tplc="5688F60C">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C03674"/>
    <w:multiLevelType w:val="hybridMultilevel"/>
    <w:tmpl w:val="A15E3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E116E82"/>
    <w:multiLevelType w:val="hybridMultilevel"/>
    <w:tmpl w:val="7528D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EA00BC"/>
    <w:multiLevelType w:val="hybridMultilevel"/>
    <w:tmpl w:val="CC36D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271322B"/>
    <w:multiLevelType w:val="hybridMultilevel"/>
    <w:tmpl w:val="D19A7B8A"/>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3">
    <w:nsid w:val="776A759B"/>
    <w:multiLevelType w:val="hybridMultilevel"/>
    <w:tmpl w:val="293AF0F8"/>
    <w:lvl w:ilvl="0" w:tplc="C6AC6EB6">
      <w:start w:val="1"/>
      <w:numFmt w:val="decimal"/>
      <w:pStyle w:val="Ne1"/>
      <w:lvlText w:val="%1."/>
      <w:lvlJc w:val="left"/>
      <w:pPr>
        <w:tabs>
          <w:tab w:val="num" w:pos="540"/>
        </w:tabs>
        <w:ind w:left="540" w:hanging="540"/>
      </w:pPr>
      <w:rPr>
        <w:rFonts w:hint="default"/>
      </w:rPr>
    </w:lvl>
    <w:lvl w:ilvl="1" w:tplc="0409000F">
      <w:start w:val="1"/>
      <w:numFmt w:val="decimal"/>
      <w:lvlText w:val="%2."/>
      <w:lvlJc w:val="left"/>
      <w:pPr>
        <w:tabs>
          <w:tab w:val="num" w:pos="1440"/>
        </w:tabs>
        <w:ind w:left="1440" w:hanging="360"/>
      </w:pPr>
      <w:rPr>
        <w:rFonts w:hint="default"/>
      </w:rPr>
    </w:lvl>
    <w:lvl w:ilvl="2" w:tplc="E82C7B68">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9EC1C0D"/>
    <w:multiLevelType w:val="hybridMultilevel"/>
    <w:tmpl w:val="089A7802"/>
    <w:lvl w:ilvl="0" w:tplc="74E29BD8">
      <w:start w:val="1"/>
      <w:numFmt w:val="lowerLetter"/>
      <w:pStyle w:val="Heading5"/>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2"/>
  </w:num>
  <w:num w:numId="4">
    <w:abstractNumId w:val="8"/>
  </w:num>
  <w:num w:numId="5">
    <w:abstractNumId w:val="23"/>
  </w:num>
  <w:num w:numId="6">
    <w:abstractNumId w:val="14"/>
  </w:num>
  <w:num w:numId="7">
    <w:abstractNumId w:val="15"/>
  </w:num>
  <w:num w:numId="8">
    <w:abstractNumId w:val="10"/>
  </w:num>
  <w:num w:numId="9">
    <w:abstractNumId w:val="6"/>
  </w:num>
  <w:num w:numId="10">
    <w:abstractNumId w:val="21"/>
  </w:num>
  <w:num w:numId="11">
    <w:abstractNumId w:val="4"/>
  </w:num>
  <w:num w:numId="12">
    <w:abstractNumId w:val="11"/>
  </w:num>
  <w:num w:numId="13">
    <w:abstractNumId w:val="1"/>
  </w:num>
  <w:num w:numId="14">
    <w:abstractNumId w:val="1"/>
  </w:num>
  <w:num w:numId="15">
    <w:abstractNumId w:val="19"/>
  </w:num>
  <w:num w:numId="16">
    <w:abstractNumId w:val="1"/>
  </w:num>
  <w:num w:numId="17">
    <w:abstractNumId w:val="1"/>
  </w:num>
  <w:num w:numId="18">
    <w:abstractNumId w:val="1"/>
  </w:num>
  <w:num w:numId="19">
    <w:abstractNumId w:val="1"/>
  </w:num>
  <w:num w:numId="20">
    <w:abstractNumId w:val="16"/>
  </w:num>
  <w:num w:numId="21">
    <w:abstractNumId w:val="3"/>
  </w:num>
  <w:num w:numId="22">
    <w:abstractNumId w:val="7"/>
  </w:num>
  <w:num w:numId="23">
    <w:abstractNumId w:val="1"/>
  </w:num>
  <w:num w:numId="24">
    <w:abstractNumId w:val="1"/>
  </w:num>
  <w:num w:numId="25">
    <w:abstractNumId w:val="1"/>
  </w:num>
  <w:num w:numId="26">
    <w:abstractNumId w:val="1"/>
  </w:num>
  <w:num w:numId="27">
    <w:abstractNumId w:val="1"/>
  </w:num>
  <w:num w:numId="28">
    <w:abstractNumId w:val="0"/>
  </w:num>
  <w:num w:numId="29">
    <w:abstractNumId w:val="1"/>
  </w:num>
  <w:num w:numId="30">
    <w:abstractNumId w:val="24"/>
  </w:num>
  <w:num w:numId="31">
    <w:abstractNumId w:val="18"/>
  </w:num>
  <w:num w:numId="32">
    <w:abstractNumId w:val="20"/>
  </w:num>
  <w:num w:numId="33">
    <w:abstractNumId w:val="13"/>
  </w:num>
  <w:num w:numId="34">
    <w:abstractNumId w:val="9"/>
  </w:num>
  <w:num w:numId="35">
    <w:abstractNumId w:val="1"/>
  </w:num>
  <w:num w:numId="36">
    <w:abstractNumId w:val="1"/>
  </w:num>
  <w:num w:numId="37">
    <w:abstractNumId w:val="1"/>
  </w:num>
  <w:num w:numId="38">
    <w:abstractNumId w:val="1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12"/>
  </w:num>
  <w:num w:numId="43">
    <w:abstractNumId w:val="1"/>
  </w:num>
  <w:num w:numId="44">
    <w:abstractNumId w:val="12"/>
  </w:num>
  <w:num w:numId="45">
    <w:abstractNumId w:val="2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00"/>
    <w:rsid w:val="00000A8B"/>
    <w:rsid w:val="00000C9A"/>
    <w:rsid w:val="00000EAB"/>
    <w:rsid w:val="00001057"/>
    <w:rsid w:val="0000137A"/>
    <w:rsid w:val="0000149D"/>
    <w:rsid w:val="00001509"/>
    <w:rsid w:val="00002A15"/>
    <w:rsid w:val="00002E31"/>
    <w:rsid w:val="00002E34"/>
    <w:rsid w:val="00003012"/>
    <w:rsid w:val="00003140"/>
    <w:rsid w:val="0000359A"/>
    <w:rsid w:val="0000387A"/>
    <w:rsid w:val="00003BE1"/>
    <w:rsid w:val="00003C09"/>
    <w:rsid w:val="00004206"/>
    <w:rsid w:val="00004F0D"/>
    <w:rsid w:val="00004FFE"/>
    <w:rsid w:val="0000618D"/>
    <w:rsid w:val="00006D3F"/>
    <w:rsid w:val="00006F52"/>
    <w:rsid w:val="00007E9E"/>
    <w:rsid w:val="000101E8"/>
    <w:rsid w:val="00010527"/>
    <w:rsid w:val="00010B7D"/>
    <w:rsid w:val="00010C2B"/>
    <w:rsid w:val="00010F1A"/>
    <w:rsid w:val="00014A14"/>
    <w:rsid w:val="00014BFE"/>
    <w:rsid w:val="0001548A"/>
    <w:rsid w:val="0001555E"/>
    <w:rsid w:val="000166B9"/>
    <w:rsid w:val="00016EC9"/>
    <w:rsid w:val="00017F09"/>
    <w:rsid w:val="00020C0F"/>
    <w:rsid w:val="00021296"/>
    <w:rsid w:val="00023429"/>
    <w:rsid w:val="00024C66"/>
    <w:rsid w:val="0002586D"/>
    <w:rsid w:val="00025DC3"/>
    <w:rsid w:val="000260AF"/>
    <w:rsid w:val="000268CB"/>
    <w:rsid w:val="00026960"/>
    <w:rsid w:val="00026F4F"/>
    <w:rsid w:val="00031871"/>
    <w:rsid w:val="00032492"/>
    <w:rsid w:val="000325BE"/>
    <w:rsid w:val="00033397"/>
    <w:rsid w:val="000335DA"/>
    <w:rsid w:val="00033B14"/>
    <w:rsid w:val="00035BEE"/>
    <w:rsid w:val="00036699"/>
    <w:rsid w:val="00036B50"/>
    <w:rsid w:val="0003709D"/>
    <w:rsid w:val="00037DF3"/>
    <w:rsid w:val="00042D31"/>
    <w:rsid w:val="00043A80"/>
    <w:rsid w:val="00045A28"/>
    <w:rsid w:val="00046379"/>
    <w:rsid w:val="0004646F"/>
    <w:rsid w:val="00046C4B"/>
    <w:rsid w:val="00047E04"/>
    <w:rsid w:val="00047FA7"/>
    <w:rsid w:val="00050349"/>
    <w:rsid w:val="00050C7B"/>
    <w:rsid w:val="00051878"/>
    <w:rsid w:val="00052298"/>
    <w:rsid w:val="000530C2"/>
    <w:rsid w:val="0005416B"/>
    <w:rsid w:val="00055178"/>
    <w:rsid w:val="00055587"/>
    <w:rsid w:val="000555E7"/>
    <w:rsid w:val="00055F93"/>
    <w:rsid w:val="00056ED7"/>
    <w:rsid w:val="00057110"/>
    <w:rsid w:val="00060293"/>
    <w:rsid w:val="000618A6"/>
    <w:rsid w:val="00061A8A"/>
    <w:rsid w:val="00061E2E"/>
    <w:rsid w:val="00063436"/>
    <w:rsid w:val="0006353F"/>
    <w:rsid w:val="000636E0"/>
    <w:rsid w:val="00063CB3"/>
    <w:rsid w:val="00064B52"/>
    <w:rsid w:val="00064E48"/>
    <w:rsid w:val="00066865"/>
    <w:rsid w:val="00066B8A"/>
    <w:rsid w:val="000671B3"/>
    <w:rsid w:val="0006750C"/>
    <w:rsid w:val="00067586"/>
    <w:rsid w:val="00067DC3"/>
    <w:rsid w:val="00070375"/>
    <w:rsid w:val="00071019"/>
    <w:rsid w:val="00071AB2"/>
    <w:rsid w:val="00071CE8"/>
    <w:rsid w:val="00071D2F"/>
    <w:rsid w:val="00071F1D"/>
    <w:rsid w:val="000724C0"/>
    <w:rsid w:val="00072812"/>
    <w:rsid w:val="00072F85"/>
    <w:rsid w:val="000733F4"/>
    <w:rsid w:val="00073AB5"/>
    <w:rsid w:val="00073F94"/>
    <w:rsid w:val="00074959"/>
    <w:rsid w:val="00074F91"/>
    <w:rsid w:val="00075F26"/>
    <w:rsid w:val="00080338"/>
    <w:rsid w:val="00080614"/>
    <w:rsid w:val="00080B91"/>
    <w:rsid w:val="000814F3"/>
    <w:rsid w:val="00082E4B"/>
    <w:rsid w:val="00082F06"/>
    <w:rsid w:val="00082FCB"/>
    <w:rsid w:val="00083257"/>
    <w:rsid w:val="000834E9"/>
    <w:rsid w:val="000836B9"/>
    <w:rsid w:val="00083C3E"/>
    <w:rsid w:val="000860E8"/>
    <w:rsid w:val="00086195"/>
    <w:rsid w:val="00086328"/>
    <w:rsid w:val="00087378"/>
    <w:rsid w:val="00087985"/>
    <w:rsid w:val="00087AF4"/>
    <w:rsid w:val="00087C3A"/>
    <w:rsid w:val="00090A3E"/>
    <w:rsid w:val="00091496"/>
    <w:rsid w:val="00091804"/>
    <w:rsid w:val="00091A85"/>
    <w:rsid w:val="0009502A"/>
    <w:rsid w:val="00095269"/>
    <w:rsid w:val="000953B1"/>
    <w:rsid w:val="000954BC"/>
    <w:rsid w:val="00095953"/>
    <w:rsid w:val="00095AFB"/>
    <w:rsid w:val="00096046"/>
    <w:rsid w:val="000968BC"/>
    <w:rsid w:val="000969DB"/>
    <w:rsid w:val="00097737"/>
    <w:rsid w:val="0009782A"/>
    <w:rsid w:val="000A0532"/>
    <w:rsid w:val="000A0D56"/>
    <w:rsid w:val="000A1646"/>
    <w:rsid w:val="000A3491"/>
    <w:rsid w:val="000A37BF"/>
    <w:rsid w:val="000A3C7D"/>
    <w:rsid w:val="000A57A8"/>
    <w:rsid w:val="000A629F"/>
    <w:rsid w:val="000A6691"/>
    <w:rsid w:val="000A6A46"/>
    <w:rsid w:val="000A71A0"/>
    <w:rsid w:val="000A7723"/>
    <w:rsid w:val="000A7B00"/>
    <w:rsid w:val="000A7BC5"/>
    <w:rsid w:val="000B0299"/>
    <w:rsid w:val="000B06C8"/>
    <w:rsid w:val="000B1516"/>
    <w:rsid w:val="000B242D"/>
    <w:rsid w:val="000B30D5"/>
    <w:rsid w:val="000B3C83"/>
    <w:rsid w:val="000B5CED"/>
    <w:rsid w:val="000B6EFA"/>
    <w:rsid w:val="000B7711"/>
    <w:rsid w:val="000B7793"/>
    <w:rsid w:val="000C1BD0"/>
    <w:rsid w:val="000C1C57"/>
    <w:rsid w:val="000C2102"/>
    <w:rsid w:val="000C346A"/>
    <w:rsid w:val="000C41B0"/>
    <w:rsid w:val="000C4A8B"/>
    <w:rsid w:val="000C5171"/>
    <w:rsid w:val="000C5B3E"/>
    <w:rsid w:val="000C5BF2"/>
    <w:rsid w:val="000C7BF6"/>
    <w:rsid w:val="000C7C17"/>
    <w:rsid w:val="000C7D07"/>
    <w:rsid w:val="000C7DBC"/>
    <w:rsid w:val="000D02F3"/>
    <w:rsid w:val="000D0E05"/>
    <w:rsid w:val="000D0F6E"/>
    <w:rsid w:val="000D1BF8"/>
    <w:rsid w:val="000D1CAA"/>
    <w:rsid w:val="000D1FF6"/>
    <w:rsid w:val="000D3533"/>
    <w:rsid w:val="000D3E57"/>
    <w:rsid w:val="000D4149"/>
    <w:rsid w:val="000D4294"/>
    <w:rsid w:val="000D5C47"/>
    <w:rsid w:val="000D6389"/>
    <w:rsid w:val="000D6B8A"/>
    <w:rsid w:val="000D6FAF"/>
    <w:rsid w:val="000D73F7"/>
    <w:rsid w:val="000D7C6F"/>
    <w:rsid w:val="000E06B0"/>
    <w:rsid w:val="000E0D54"/>
    <w:rsid w:val="000E15D3"/>
    <w:rsid w:val="000E18E4"/>
    <w:rsid w:val="000E2DBE"/>
    <w:rsid w:val="000E2E42"/>
    <w:rsid w:val="000E2EBB"/>
    <w:rsid w:val="000E382D"/>
    <w:rsid w:val="000E525D"/>
    <w:rsid w:val="000E7FC1"/>
    <w:rsid w:val="000F061F"/>
    <w:rsid w:val="000F06E4"/>
    <w:rsid w:val="000F1E3F"/>
    <w:rsid w:val="000F21E3"/>
    <w:rsid w:val="000F27DD"/>
    <w:rsid w:val="000F2997"/>
    <w:rsid w:val="000F2D6F"/>
    <w:rsid w:val="000F3AB8"/>
    <w:rsid w:val="000F3D6A"/>
    <w:rsid w:val="000F4BB0"/>
    <w:rsid w:val="000F5101"/>
    <w:rsid w:val="000F5A78"/>
    <w:rsid w:val="000F6507"/>
    <w:rsid w:val="000F6606"/>
    <w:rsid w:val="000F7271"/>
    <w:rsid w:val="000F72BF"/>
    <w:rsid w:val="000F7DD2"/>
    <w:rsid w:val="000F7E76"/>
    <w:rsid w:val="000F7F99"/>
    <w:rsid w:val="00100202"/>
    <w:rsid w:val="00100D47"/>
    <w:rsid w:val="00100F32"/>
    <w:rsid w:val="001012D0"/>
    <w:rsid w:val="00103B79"/>
    <w:rsid w:val="0010449B"/>
    <w:rsid w:val="00104761"/>
    <w:rsid w:val="00104AB8"/>
    <w:rsid w:val="00104CB2"/>
    <w:rsid w:val="0010517E"/>
    <w:rsid w:val="00105598"/>
    <w:rsid w:val="00105858"/>
    <w:rsid w:val="001058B9"/>
    <w:rsid w:val="00106E3F"/>
    <w:rsid w:val="00107E66"/>
    <w:rsid w:val="00110174"/>
    <w:rsid w:val="001102AA"/>
    <w:rsid w:val="001105CE"/>
    <w:rsid w:val="00110840"/>
    <w:rsid w:val="00111902"/>
    <w:rsid w:val="00111C15"/>
    <w:rsid w:val="001133F2"/>
    <w:rsid w:val="0011458E"/>
    <w:rsid w:val="001146FA"/>
    <w:rsid w:val="00114722"/>
    <w:rsid w:val="001147EC"/>
    <w:rsid w:val="00114CAE"/>
    <w:rsid w:val="0011621C"/>
    <w:rsid w:val="001167FE"/>
    <w:rsid w:val="00116D5B"/>
    <w:rsid w:val="00116D78"/>
    <w:rsid w:val="00117887"/>
    <w:rsid w:val="00120116"/>
    <w:rsid w:val="001202AA"/>
    <w:rsid w:val="001202B0"/>
    <w:rsid w:val="0012061D"/>
    <w:rsid w:val="00120EA2"/>
    <w:rsid w:val="00121A9F"/>
    <w:rsid w:val="0012204B"/>
    <w:rsid w:val="00122789"/>
    <w:rsid w:val="00123A44"/>
    <w:rsid w:val="00124707"/>
    <w:rsid w:val="00124F1D"/>
    <w:rsid w:val="00125B4B"/>
    <w:rsid w:val="00125DBA"/>
    <w:rsid w:val="001265DD"/>
    <w:rsid w:val="00127C80"/>
    <w:rsid w:val="00130342"/>
    <w:rsid w:val="00130DE7"/>
    <w:rsid w:val="00131007"/>
    <w:rsid w:val="00131434"/>
    <w:rsid w:val="00131B3A"/>
    <w:rsid w:val="00133FEF"/>
    <w:rsid w:val="0013454F"/>
    <w:rsid w:val="001346B0"/>
    <w:rsid w:val="00134F2E"/>
    <w:rsid w:val="00135BDC"/>
    <w:rsid w:val="00135DB6"/>
    <w:rsid w:val="001367BC"/>
    <w:rsid w:val="00136A1A"/>
    <w:rsid w:val="00136A91"/>
    <w:rsid w:val="001370D9"/>
    <w:rsid w:val="00137510"/>
    <w:rsid w:val="001375EB"/>
    <w:rsid w:val="0013783A"/>
    <w:rsid w:val="001379A3"/>
    <w:rsid w:val="00140C2A"/>
    <w:rsid w:val="00141C9E"/>
    <w:rsid w:val="00141E54"/>
    <w:rsid w:val="00142581"/>
    <w:rsid w:val="001428BC"/>
    <w:rsid w:val="00142C72"/>
    <w:rsid w:val="00142F3A"/>
    <w:rsid w:val="0014306F"/>
    <w:rsid w:val="00143863"/>
    <w:rsid w:val="00143914"/>
    <w:rsid w:val="00143CA1"/>
    <w:rsid w:val="00144915"/>
    <w:rsid w:val="00144B65"/>
    <w:rsid w:val="00145207"/>
    <w:rsid w:val="001457E4"/>
    <w:rsid w:val="00145AE5"/>
    <w:rsid w:val="001467A0"/>
    <w:rsid w:val="00146AD7"/>
    <w:rsid w:val="001507D2"/>
    <w:rsid w:val="001518DD"/>
    <w:rsid w:val="00151D0D"/>
    <w:rsid w:val="00151E3D"/>
    <w:rsid w:val="00152C83"/>
    <w:rsid w:val="00153019"/>
    <w:rsid w:val="00153171"/>
    <w:rsid w:val="001539AC"/>
    <w:rsid w:val="00153A69"/>
    <w:rsid w:val="00153BD0"/>
    <w:rsid w:val="00153CF7"/>
    <w:rsid w:val="00153F87"/>
    <w:rsid w:val="00154047"/>
    <w:rsid w:val="00154893"/>
    <w:rsid w:val="00156755"/>
    <w:rsid w:val="00157145"/>
    <w:rsid w:val="001573A9"/>
    <w:rsid w:val="001578B4"/>
    <w:rsid w:val="00161F66"/>
    <w:rsid w:val="001622EF"/>
    <w:rsid w:val="0016339E"/>
    <w:rsid w:val="0016359A"/>
    <w:rsid w:val="001640F7"/>
    <w:rsid w:val="001644AE"/>
    <w:rsid w:val="00164549"/>
    <w:rsid w:val="00165140"/>
    <w:rsid w:val="001657F0"/>
    <w:rsid w:val="00165990"/>
    <w:rsid w:val="00165BF5"/>
    <w:rsid w:val="00167361"/>
    <w:rsid w:val="00170627"/>
    <w:rsid w:val="001709E3"/>
    <w:rsid w:val="00170F06"/>
    <w:rsid w:val="00170FA2"/>
    <w:rsid w:val="00171FF0"/>
    <w:rsid w:val="00172BC6"/>
    <w:rsid w:val="00172DC6"/>
    <w:rsid w:val="00173410"/>
    <w:rsid w:val="001736F6"/>
    <w:rsid w:val="001740F8"/>
    <w:rsid w:val="001755D6"/>
    <w:rsid w:val="001763C0"/>
    <w:rsid w:val="00176A29"/>
    <w:rsid w:val="0017741A"/>
    <w:rsid w:val="00177DC2"/>
    <w:rsid w:val="00180713"/>
    <w:rsid w:val="0018136A"/>
    <w:rsid w:val="001823A5"/>
    <w:rsid w:val="0018302F"/>
    <w:rsid w:val="00183BDE"/>
    <w:rsid w:val="00184203"/>
    <w:rsid w:val="001851C6"/>
    <w:rsid w:val="00185286"/>
    <w:rsid w:val="00185341"/>
    <w:rsid w:val="00185EB1"/>
    <w:rsid w:val="00187ADB"/>
    <w:rsid w:val="0019324F"/>
    <w:rsid w:val="001936CD"/>
    <w:rsid w:val="001938A2"/>
    <w:rsid w:val="00194F97"/>
    <w:rsid w:val="00195179"/>
    <w:rsid w:val="00196667"/>
    <w:rsid w:val="0019748C"/>
    <w:rsid w:val="001A0A03"/>
    <w:rsid w:val="001A13A7"/>
    <w:rsid w:val="001A1D30"/>
    <w:rsid w:val="001A1D6C"/>
    <w:rsid w:val="001A314D"/>
    <w:rsid w:val="001A3EBE"/>
    <w:rsid w:val="001A40E3"/>
    <w:rsid w:val="001A41BB"/>
    <w:rsid w:val="001A4DE1"/>
    <w:rsid w:val="001A640F"/>
    <w:rsid w:val="001A6CC4"/>
    <w:rsid w:val="001A6E97"/>
    <w:rsid w:val="001A7084"/>
    <w:rsid w:val="001B0AE2"/>
    <w:rsid w:val="001B1533"/>
    <w:rsid w:val="001B23A6"/>
    <w:rsid w:val="001B2469"/>
    <w:rsid w:val="001B2877"/>
    <w:rsid w:val="001B288F"/>
    <w:rsid w:val="001B2A1A"/>
    <w:rsid w:val="001B33F7"/>
    <w:rsid w:val="001B4D0D"/>
    <w:rsid w:val="001B547E"/>
    <w:rsid w:val="001B5711"/>
    <w:rsid w:val="001B58C5"/>
    <w:rsid w:val="001B5DC8"/>
    <w:rsid w:val="001B637E"/>
    <w:rsid w:val="001B78ED"/>
    <w:rsid w:val="001B7915"/>
    <w:rsid w:val="001B7C6C"/>
    <w:rsid w:val="001C0048"/>
    <w:rsid w:val="001C1AE9"/>
    <w:rsid w:val="001C1C28"/>
    <w:rsid w:val="001C2772"/>
    <w:rsid w:val="001C2E58"/>
    <w:rsid w:val="001C2FF9"/>
    <w:rsid w:val="001C35DD"/>
    <w:rsid w:val="001C38EF"/>
    <w:rsid w:val="001C4004"/>
    <w:rsid w:val="001C408F"/>
    <w:rsid w:val="001C49EE"/>
    <w:rsid w:val="001C4AE5"/>
    <w:rsid w:val="001C7420"/>
    <w:rsid w:val="001C7823"/>
    <w:rsid w:val="001D162F"/>
    <w:rsid w:val="001D2103"/>
    <w:rsid w:val="001D26A8"/>
    <w:rsid w:val="001D2BC4"/>
    <w:rsid w:val="001D2F58"/>
    <w:rsid w:val="001D3420"/>
    <w:rsid w:val="001D41BB"/>
    <w:rsid w:val="001D4292"/>
    <w:rsid w:val="001D4B26"/>
    <w:rsid w:val="001D5AA3"/>
    <w:rsid w:val="001E082F"/>
    <w:rsid w:val="001E1744"/>
    <w:rsid w:val="001E2B7F"/>
    <w:rsid w:val="001E3175"/>
    <w:rsid w:val="001E3725"/>
    <w:rsid w:val="001E38EE"/>
    <w:rsid w:val="001E4529"/>
    <w:rsid w:val="001E48CA"/>
    <w:rsid w:val="001E4BAB"/>
    <w:rsid w:val="001E4D33"/>
    <w:rsid w:val="001E5C4C"/>
    <w:rsid w:val="001E5CDC"/>
    <w:rsid w:val="001E6B8F"/>
    <w:rsid w:val="001E6C17"/>
    <w:rsid w:val="001E6F47"/>
    <w:rsid w:val="001E7C71"/>
    <w:rsid w:val="001F0531"/>
    <w:rsid w:val="001F1154"/>
    <w:rsid w:val="001F1555"/>
    <w:rsid w:val="001F1565"/>
    <w:rsid w:val="001F328B"/>
    <w:rsid w:val="001F33FB"/>
    <w:rsid w:val="001F390A"/>
    <w:rsid w:val="001F4730"/>
    <w:rsid w:val="001F49B2"/>
    <w:rsid w:val="001F5AB5"/>
    <w:rsid w:val="001F63BD"/>
    <w:rsid w:val="001F6AA7"/>
    <w:rsid w:val="001F71DE"/>
    <w:rsid w:val="001F770C"/>
    <w:rsid w:val="00200660"/>
    <w:rsid w:val="00201D3C"/>
    <w:rsid w:val="00202C43"/>
    <w:rsid w:val="00203D5F"/>
    <w:rsid w:val="002044EC"/>
    <w:rsid w:val="00205672"/>
    <w:rsid w:val="0020605C"/>
    <w:rsid w:val="00210593"/>
    <w:rsid w:val="00212139"/>
    <w:rsid w:val="00212931"/>
    <w:rsid w:val="00214F93"/>
    <w:rsid w:val="00214FF1"/>
    <w:rsid w:val="00220233"/>
    <w:rsid w:val="00220575"/>
    <w:rsid w:val="002205DF"/>
    <w:rsid w:val="002209CD"/>
    <w:rsid w:val="002215A7"/>
    <w:rsid w:val="00221624"/>
    <w:rsid w:val="00222012"/>
    <w:rsid w:val="002229F5"/>
    <w:rsid w:val="00222DA1"/>
    <w:rsid w:val="00223F52"/>
    <w:rsid w:val="002251CB"/>
    <w:rsid w:val="00225D88"/>
    <w:rsid w:val="0022606E"/>
    <w:rsid w:val="002268DD"/>
    <w:rsid w:val="00230498"/>
    <w:rsid w:val="002305B6"/>
    <w:rsid w:val="00231E30"/>
    <w:rsid w:val="00231F7C"/>
    <w:rsid w:val="002329AF"/>
    <w:rsid w:val="0023384D"/>
    <w:rsid w:val="00233923"/>
    <w:rsid w:val="0023392C"/>
    <w:rsid w:val="00233985"/>
    <w:rsid w:val="00233FB2"/>
    <w:rsid w:val="002342F9"/>
    <w:rsid w:val="00234327"/>
    <w:rsid w:val="00234536"/>
    <w:rsid w:val="00234D04"/>
    <w:rsid w:val="00236FFC"/>
    <w:rsid w:val="0024292D"/>
    <w:rsid w:val="00242D80"/>
    <w:rsid w:val="0024396A"/>
    <w:rsid w:val="00244402"/>
    <w:rsid w:val="00244C15"/>
    <w:rsid w:val="0024532C"/>
    <w:rsid w:val="002478FB"/>
    <w:rsid w:val="00247F54"/>
    <w:rsid w:val="0025074F"/>
    <w:rsid w:val="0025085E"/>
    <w:rsid w:val="002508E3"/>
    <w:rsid w:val="00251019"/>
    <w:rsid w:val="0025161E"/>
    <w:rsid w:val="00251822"/>
    <w:rsid w:val="002528B0"/>
    <w:rsid w:val="00253962"/>
    <w:rsid w:val="002540A3"/>
    <w:rsid w:val="0025437F"/>
    <w:rsid w:val="00254916"/>
    <w:rsid w:val="0025492C"/>
    <w:rsid w:val="00254E38"/>
    <w:rsid w:val="002551D6"/>
    <w:rsid w:val="00255677"/>
    <w:rsid w:val="002556A2"/>
    <w:rsid w:val="002557BB"/>
    <w:rsid w:val="00255C6F"/>
    <w:rsid w:val="0025600B"/>
    <w:rsid w:val="00256F04"/>
    <w:rsid w:val="00257618"/>
    <w:rsid w:val="002579E4"/>
    <w:rsid w:val="00257CAE"/>
    <w:rsid w:val="00260132"/>
    <w:rsid w:val="002615E2"/>
    <w:rsid w:val="00261BBD"/>
    <w:rsid w:val="00261E81"/>
    <w:rsid w:val="002629DA"/>
    <w:rsid w:val="0026474E"/>
    <w:rsid w:val="002650B0"/>
    <w:rsid w:val="00265127"/>
    <w:rsid w:val="002673F3"/>
    <w:rsid w:val="002674FF"/>
    <w:rsid w:val="0026775E"/>
    <w:rsid w:val="002700CB"/>
    <w:rsid w:val="00270152"/>
    <w:rsid w:val="002702AB"/>
    <w:rsid w:val="0027071B"/>
    <w:rsid w:val="00270B83"/>
    <w:rsid w:val="00271B5F"/>
    <w:rsid w:val="00273692"/>
    <w:rsid w:val="00273A94"/>
    <w:rsid w:val="0027483C"/>
    <w:rsid w:val="0027548B"/>
    <w:rsid w:val="002757BD"/>
    <w:rsid w:val="00275B6B"/>
    <w:rsid w:val="00276708"/>
    <w:rsid w:val="0027707E"/>
    <w:rsid w:val="002779C9"/>
    <w:rsid w:val="002820F4"/>
    <w:rsid w:val="002821F9"/>
    <w:rsid w:val="00282251"/>
    <w:rsid w:val="00282974"/>
    <w:rsid w:val="00283881"/>
    <w:rsid w:val="00284686"/>
    <w:rsid w:val="00284831"/>
    <w:rsid w:val="0028513E"/>
    <w:rsid w:val="00285FA8"/>
    <w:rsid w:val="002867F5"/>
    <w:rsid w:val="00286B89"/>
    <w:rsid w:val="0028728A"/>
    <w:rsid w:val="00290B54"/>
    <w:rsid w:val="00290B73"/>
    <w:rsid w:val="00290E0C"/>
    <w:rsid w:val="00290F69"/>
    <w:rsid w:val="002910D6"/>
    <w:rsid w:val="00291AF5"/>
    <w:rsid w:val="00291CA6"/>
    <w:rsid w:val="0029233B"/>
    <w:rsid w:val="002927CE"/>
    <w:rsid w:val="00292B26"/>
    <w:rsid w:val="0029398E"/>
    <w:rsid w:val="00293B82"/>
    <w:rsid w:val="002949C9"/>
    <w:rsid w:val="00294D88"/>
    <w:rsid w:val="002965AE"/>
    <w:rsid w:val="0029668B"/>
    <w:rsid w:val="0029689F"/>
    <w:rsid w:val="002A034E"/>
    <w:rsid w:val="002A1003"/>
    <w:rsid w:val="002A26B6"/>
    <w:rsid w:val="002A3615"/>
    <w:rsid w:val="002A37BF"/>
    <w:rsid w:val="002A4B25"/>
    <w:rsid w:val="002A4C7B"/>
    <w:rsid w:val="002A52AD"/>
    <w:rsid w:val="002A6CEB"/>
    <w:rsid w:val="002A6D12"/>
    <w:rsid w:val="002A6E0D"/>
    <w:rsid w:val="002A7647"/>
    <w:rsid w:val="002A78C5"/>
    <w:rsid w:val="002A7978"/>
    <w:rsid w:val="002B0F43"/>
    <w:rsid w:val="002B3A8F"/>
    <w:rsid w:val="002B45A6"/>
    <w:rsid w:val="002B4D57"/>
    <w:rsid w:val="002B6530"/>
    <w:rsid w:val="002B6D72"/>
    <w:rsid w:val="002B739B"/>
    <w:rsid w:val="002C07A3"/>
    <w:rsid w:val="002C08AA"/>
    <w:rsid w:val="002C0E27"/>
    <w:rsid w:val="002C2EF0"/>
    <w:rsid w:val="002C36C0"/>
    <w:rsid w:val="002C3F3D"/>
    <w:rsid w:val="002C5400"/>
    <w:rsid w:val="002C6AFE"/>
    <w:rsid w:val="002C6FFF"/>
    <w:rsid w:val="002C76B2"/>
    <w:rsid w:val="002D0377"/>
    <w:rsid w:val="002D1941"/>
    <w:rsid w:val="002D1D6C"/>
    <w:rsid w:val="002D25A6"/>
    <w:rsid w:val="002D2E49"/>
    <w:rsid w:val="002D4046"/>
    <w:rsid w:val="002D541A"/>
    <w:rsid w:val="002D5473"/>
    <w:rsid w:val="002D5639"/>
    <w:rsid w:val="002D5964"/>
    <w:rsid w:val="002D7BE4"/>
    <w:rsid w:val="002D7DAB"/>
    <w:rsid w:val="002E03A7"/>
    <w:rsid w:val="002E091F"/>
    <w:rsid w:val="002E12BB"/>
    <w:rsid w:val="002E214B"/>
    <w:rsid w:val="002E28A6"/>
    <w:rsid w:val="002E2935"/>
    <w:rsid w:val="002E29DF"/>
    <w:rsid w:val="002E3EB4"/>
    <w:rsid w:val="002E4213"/>
    <w:rsid w:val="002E44BD"/>
    <w:rsid w:val="002E4D22"/>
    <w:rsid w:val="002E5CE7"/>
    <w:rsid w:val="002E6236"/>
    <w:rsid w:val="002E66A1"/>
    <w:rsid w:val="002E6C94"/>
    <w:rsid w:val="002E7183"/>
    <w:rsid w:val="002E7BFB"/>
    <w:rsid w:val="002E7C01"/>
    <w:rsid w:val="002E7F98"/>
    <w:rsid w:val="002F1392"/>
    <w:rsid w:val="002F2BDD"/>
    <w:rsid w:val="002F30BF"/>
    <w:rsid w:val="002F4057"/>
    <w:rsid w:val="002F4545"/>
    <w:rsid w:val="002F454E"/>
    <w:rsid w:val="002F46C1"/>
    <w:rsid w:val="002F4A4F"/>
    <w:rsid w:val="002F6061"/>
    <w:rsid w:val="002F69A7"/>
    <w:rsid w:val="002F69B5"/>
    <w:rsid w:val="00300D0D"/>
    <w:rsid w:val="003011FC"/>
    <w:rsid w:val="0030132C"/>
    <w:rsid w:val="00302C04"/>
    <w:rsid w:val="00302ED2"/>
    <w:rsid w:val="00302F2A"/>
    <w:rsid w:val="003035F5"/>
    <w:rsid w:val="00303F07"/>
    <w:rsid w:val="00304BEE"/>
    <w:rsid w:val="00304CE1"/>
    <w:rsid w:val="00304D89"/>
    <w:rsid w:val="0030519B"/>
    <w:rsid w:val="003057EA"/>
    <w:rsid w:val="0030652C"/>
    <w:rsid w:val="00307CCD"/>
    <w:rsid w:val="0031013A"/>
    <w:rsid w:val="00310DA0"/>
    <w:rsid w:val="00311123"/>
    <w:rsid w:val="003115F3"/>
    <w:rsid w:val="00312410"/>
    <w:rsid w:val="003131FA"/>
    <w:rsid w:val="003138AE"/>
    <w:rsid w:val="00313F5E"/>
    <w:rsid w:val="00314893"/>
    <w:rsid w:val="003161AE"/>
    <w:rsid w:val="00316CD5"/>
    <w:rsid w:val="003179D6"/>
    <w:rsid w:val="00317ACD"/>
    <w:rsid w:val="00317B41"/>
    <w:rsid w:val="00317FB1"/>
    <w:rsid w:val="00320854"/>
    <w:rsid w:val="00320A1A"/>
    <w:rsid w:val="00320E20"/>
    <w:rsid w:val="00326233"/>
    <w:rsid w:val="00326B49"/>
    <w:rsid w:val="00326B89"/>
    <w:rsid w:val="00326E01"/>
    <w:rsid w:val="00327679"/>
    <w:rsid w:val="00331437"/>
    <w:rsid w:val="00331D03"/>
    <w:rsid w:val="00331E60"/>
    <w:rsid w:val="00331E8E"/>
    <w:rsid w:val="00331EE0"/>
    <w:rsid w:val="003322AB"/>
    <w:rsid w:val="003322B0"/>
    <w:rsid w:val="00332F4E"/>
    <w:rsid w:val="00333038"/>
    <w:rsid w:val="003333A0"/>
    <w:rsid w:val="00333A37"/>
    <w:rsid w:val="00334F4A"/>
    <w:rsid w:val="00334FAF"/>
    <w:rsid w:val="0033596D"/>
    <w:rsid w:val="00335AE2"/>
    <w:rsid w:val="00335CE8"/>
    <w:rsid w:val="003360A7"/>
    <w:rsid w:val="003361C0"/>
    <w:rsid w:val="00336F2D"/>
    <w:rsid w:val="00336FC0"/>
    <w:rsid w:val="003372F8"/>
    <w:rsid w:val="00337DFB"/>
    <w:rsid w:val="00341779"/>
    <w:rsid w:val="003419B5"/>
    <w:rsid w:val="00341DE4"/>
    <w:rsid w:val="003426C4"/>
    <w:rsid w:val="003446AB"/>
    <w:rsid w:val="003453EB"/>
    <w:rsid w:val="00345CB5"/>
    <w:rsid w:val="00345DE9"/>
    <w:rsid w:val="00346817"/>
    <w:rsid w:val="00351319"/>
    <w:rsid w:val="00351619"/>
    <w:rsid w:val="0035188B"/>
    <w:rsid w:val="00351CC0"/>
    <w:rsid w:val="00352672"/>
    <w:rsid w:val="00353029"/>
    <w:rsid w:val="003533F5"/>
    <w:rsid w:val="003541B8"/>
    <w:rsid w:val="00355A17"/>
    <w:rsid w:val="00357317"/>
    <w:rsid w:val="00357AC0"/>
    <w:rsid w:val="003600C8"/>
    <w:rsid w:val="00360D9E"/>
    <w:rsid w:val="00361198"/>
    <w:rsid w:val="00361932"/>
    <w:rsid w:val="00361A9C"/>
    <w:rsid w:val="003623CC"/>
    <w:rsid w:val="003625F1"/>
    <w:rsid w:val="00362725"/>
    <w:rsid w:val="003630E2"/>
    <w:rsid w:val="003645FC"/>
    <w:rsid w:val="00364B50"/>
    <w:rsid w:val="00364C87"/>
    <w:rsid w:val="003654C5"/>
    <w:rsid w:val="00365AFE"/>
    <w:rsid w:val="00366256"/>
    <w:rsid w:val="00366C98"/>
    <w:rsid w:val="00367099"/>
    <w:rsid w:val="0036710D"/>
    <w:rsid w:val="0036736B"/>
    <w:rsid w:val="00367E2A"/>
    <w:rsid w:val="00370690"/>
    <w:rsid w:val="00370B2E"/>
    <w:rsid w:val="00370E7B"/>
    <w:rsid w:val="003712B4"/>
    <w:rsid w:val="00371BF7"/>
    <w:rsid w:val="00372CA6"/>
    <w:rsid w:val="00373767"/>
    <w:rsid w:val="00373EBE"/>
    <w:rsid w:val="00374B50"/>
    <w:rsid w:val="00376034"/>
    <w:rsid w:val="00377D9A"/>
    <w:rsid w:val="00380364"/>
    <w:rsid w:val="003803ED"/>
    <w:rsid w:val="00382545"/>
    <w:rsid w:val="0038286C"/>
    <w:rsid w:val="00383FA1"/>
    <w:rsid w:val="00384525"/>
    <w:rsid w:val="003859FF"/>
    <w:rsid w:val="00386745"/>
    <w:rsid w:val="00387F5B"/>
    <w:rsid w:val="00391A0C"/>
    <w:rsid w:val="00391F34"/>
    <w:rsid w:val="003931FA"/>
    <w:rsid w:val="00393382"/>
    <w:rsid w:val="0039338F"/>
    <w:rsid w:val="00393DEC"/>
    <w:rsid w:val="00393F35"/>
    <w:rsid w:val="003963F6"/>
    <w:rsid w:val="00396A03"/>
    <w:rsid w:val="00396F0C"/>
    <w:rsid w:val="0039712B"/>
    <w:rsid w:val="003975DB"/>
    <w:rsid w:val="00397C5B"/>
    <w:rsid w:val="00397CD6"/>
    <w:rsid w:val="003A0E6F"/>
    <w:rsid w:val="003A12FA"/>
    <w:rsid w:val="003A163F"/>
    <w:rsid w:val="003A1CC1"/>
    <w:rsid w:val="003A34B0"/>
    <w:rsid w:val="003A35CA"/>
    <w:rsid w:val="003A4B68"/>
    <w:rsid w:val="003A7460"/>
    <w:rsid w:val="003B0E2E"/>
    <w:rsid w:val="003B194A"/>
    <w:rsid w:val="003B1CCA"/>
    <w:rsid w:val="003B2389"/>
    <w:rsid w:val="003B2541"/>
    <w:rsid w:val="003B2E70"/>
    <w:rsid w:val="003B43BB"/>
    <w:rsid w:val="003B44A5"/>
    <w:rsid w:val="003B46A5"/>
    <w:rsid w:val="003B7244"/>
    <w:rsid w:val="003B731F"/>
    <w:rsid w:val="003B7572"/>
    <w:rsid w:val="003B7E3C"/>
    <w:rsid w:val="003C2AD2"/>
    <w:rsid w:val="003C3B03"/>
    <w:rsid w:val="003C3F17"/>
    <w:rsid w:val="003C4710"/>
    <w:rsid w:val="003C4A78"/>
    <w:rsid w:val="003C4AF9"/>
    <w:rsid w:val="003C4C6F"/>
    <w:rsid w:val="003C4EB2"/>
    <w:rsid w:val="003C560B"/>
    <w:rsid w:val="003C638B"/>
    <w:rsid w:val="003C79D7"/>
    <w:rsid w:val="003D249D"/>
    <w:rsid w:val="003D513B"/>
    <w:rsid w:val="003D63F1"/>
    <w:rsid w:val="003D6616"/>
    <w:rsid w:val="003D78FD"/>
    <w:rsid w:val="003E01AC"/>
    <w:rsid w:val="003E0AE6"/>
    <w:rsid w:val="003E0F9E"/>
    <w:rsid w:val="003E2244"/>
    <w:rsid w:val="003E28FA"/>
    <w:rsid w:val="003E322B"/>
    <w:rsid w:val="003E4A49"/>
    <w:rsid w:val="003E5617"/>
    <w:rsid w:val="003E5A84"/>
    <w:rsid w:val="003E5C09"/>
    <w:rsid w:val="003E6394"/>
    <w:rsid w:val="003E6F14"/>
    <w:rsid w:val="003F0894"/>
    <w:rsid w:val="003F2205"/>
    <w:rsid w:val="003F2354"/>
    <w:rsid w:val="003F2849"/>
    <w:rsid w:val="003F4293"/>
    <w:rsid w:val="003F4D07"/>
    <w:rsid w:val="003F4FF1"/>
    <w:rsid w:val="003F6034"/>
    <w:rsid w:val="003F6B8D"/>
    <w:rsid w:val="004001C6"/>
    <w:rsid w:val="00401715"/>
    <w:rsid w:val="00401E38"/>
    <w:rsid w:val="00401F8D"/>
    <w:rsid w:val="004025E0"/>
    <w:rsid w:val="004035AE"/>
    <w:rsid w:val="00403986"/>
    <w:rsid w:val="00403C79"/>
    <w:rsid w:val="00403C9D"/>
    <w:rsid w:val="00405741"/>
    <w:rsid w:val="004066DD"/>
    <w:rsid w:val="004072D9"/>
    <w:rsid w:val="004075CE"/>
    <w:rsid w:val="00407699"/>
    <w:rsid w:val="00407AE2"/>
    <w:rsid w:val="00411342"/>
    <w:rsid w:val="00411DB0"/>
    <w:rsid w:val="00412E62"/>
    <w:rsid w:val="00414011"/>
    <w:rsid w:val="00414E80"/>
    <w:rsid w:val="0041616A"/>
    <w:rsid w:val="004162C3"/>
    <w:rsid w:val="00416DE6"/>
    <w:rsid w:val="00416EB9"/>
    <w:rsid w:val="00417043"/>
    <w:rsid w:val="0042079B"/>
    <w:rsid w:val="00421311"/>
    <w:rsid w:val="00422504"/>
    <w:rsid w:val="00422998"/>
    <w:rsid w:val="00422AD7"/>
    <w:rsid w:val="004235C3"/>
    <w:rsid w:val="004239E7"/>
    <w:rsid w:val="00423D1B"/>
    <w:rsid w:val="00424E84"/>
    <w:rsid w:val="0042710B"/>
    <w:rsid w:val="004300CE"/>
    <w:rsid w:val="00430289"/>
    <w:rsid w:val="0043036A"/>
    <w:rsid w:val="0043094F"/>
    <w:rsid w:val="00432FDF"/>
    <w:rsid w:val="00432FEB"/>
    <w:rsid w:val="004332EA"/>
    <w:rsid w:val="004332FA"/>
    <w:rsid w:val="00433ACF"/>
    <w:rsid w:val="0043406F"/>
    <w:rsid w:val="00435262"/>
    <w:rsid w:val="00435AC7"/>
    <w:rsid w:val="0043687D"/>
    <w:rsid w:val="00436AAD"/>
    <w:rsid w:val="0043760E"/>
    <w:rsid w:val="00440914"/>
    <w:rsid w:val="00440DC6"/>
    <w:rsid w:val="00440E9A"/>
    <w:rsid w:val="00441108"/>
    <w:rsid w:val="00441194"/>
    <w:rsid w:val="00441362"/>
    <w:rsid w:val="00441E8F"/>
    <w:rsid w:val="0044203E"/>
    <w:rsid w:val="00442253"/>
    <w:rsid w:val="004432EC"/>
    <w:rsid w:val="004432F3"/>
    <w:rsid w:val="004441E4"/>
    <w:rsid w:val="004444BC"/>
    <w:rsid w:val="00444ABC"/>
    <w:rsid w:val="00445B41"/>
    <w:rsid w:val="00445F68"/>
    <w:rsid w:val="00446779"/>
    <w:rsid w:val="0044692E"/>
    <w:rsid w:val="004471D7"/>
    <w:rsid w:val="00447747"/>
    <w:rsid w:val="00450357"/>
    <w:rsid w:val="0045086A"/>
    <w:rsid w:val="00450FBF"/>
    <w:rsid w:val="0045213E"/>
    <w:rsid w:val="004523AC"/>
    <w:rsid w:val="004537FF"/>
    <w:rsid w:val="00454F41"/>
    <w:rsid w:val="004567B1"/>
    <w:rsid w:val="00456AFC"/>
    <w:rsid w:val="004570CE"/>
    <w:rsid w:val="004575B3"/>
    <w:rsid w:val="00457B27"/>
    <w:rsid w:val="0046010F"/>
    <w:rsid w:val="00460631"/>
    <w:rsid w:val="0046091F"/>
    <w:rsid w:val="00460C66"/>
    <w:rsid w:val="00460E07"/>
    <w:rsid w:val="00460EA1"/>
    <w:rsid w:val="00461B60"/>
    <w:rsid w:val="004626AB"/>
    <w:rsid w:val="004632A7"/>
    <w:rsid w:val="00463921"/>
    <w:rsid w:val="0046399C"/>
    <w:rsid w:val="00464B4E"/>
    <w:rsid w:val="00465957"/>
    <w:rsid w:val="00465C88"/>
    <w:rsid w:val="00466818"/>
    <w:rsid w:val="00467256"/>
    <w:rsid w:val="0046726E"/>
    <w:rsid w:val="00467B9D"/>
    <w:rsid w:val="00470A3C"/>
    <w:rsid w:val="00470D68"/>
    <w:rsid w:val="004710A0"/>
    <w:rsid w:val="00471301"/>
    <w:rsid w:val="004719E1"/>
    <w:rsid w:val="00471D0A"/>
    <w:rsid w:val="0047287C"/>
    <w:rsid w:val="004729A9"/>
    <w:rsid w:val="00473300"/>
    <w:rsid w:val="00473DFC"/>
    <w:rsid w:val="00474037"/>
    <w:rsid w:val="0047462F"/>
    <w:rsid w:val="004749FF"/>
    <w:rsid w:val="00474CE9"/>
    <w:rsid w:val="00474E2D"/>
    <w:rsid w:val="00475C5A"/>
    <w:rsid w:val="00476D55"/>
    <w:rsid w:val="00476D67"/>
    <w:rsid w:val="00476D8F"/>
    <w:rsid w:val="00476E15"/>
    <w:rsid w:val="00477544"/>
    <w:rsid w:val="00477D46"/>
    <w:rsid w:val="0048000C"/>
    <w:rsid w:val="00482559"/>
    <w:rsid w:val="00482637"/>
    <w:rsid w:val="0048272F"/>
    <w:rsid w:val="00482F3A"/>
    <w:rsid w:val="0048329F"/>
    <w:rsid w:val="0048429B"/>
    <w:rsid w:val="00484615"/>
    <w:rsid w:val="00484B5C"/>
    <w:rsid w:val="00484C05"/>
    <w:rsid w:val="004855D9"/>
    <w:rsid w:val="0048619E"/>
    <w:rsid w:val="004863AD"/>
    <w:rsid w:val="00486CAD"/>
    <w:rsid w:val="00490D56"/>
    <w:rsid w:val="004932F4"/>
    <w:rsid w:val="004945B9"/>
    <w:rsid w:val="00494A0D"/>
    <w:rsid w:val="00496150"/>
    <w:rsid w:val="00496BB3"/>
    <w:rsid w:val="004A06DF"/>
    <w:rsid w:val="004A0D77"/>
    <w:rsid w:val="004A1056"/>
    <w:rsid w:val="004A1657"/>
    <w:rsid w:val="004A1A54"/>
    <w:rsid w:val="004A1CFC"/>
    <w:rsid w:val="004A3055"/>
    <w:rsid w:val="004A3BE0"/>
    <w:rsid w:val="004A3CA0"/>
    <w:rsid w:val="004A3FE2"/>
    <w:rsid w:val="004A4735"/>
    <w:rsid w:val="004A63B8"/>
    <w:rsid w:val="004A67A3"/>
    <w:rsid w:val="004A6A89"/>
    <w:rsid w:val="004A6E45"/>
    <w:rsid w:val="004A756A"/>
    <w:rsid w:val="004A77BF"/>
    <w:rsid w:val="004A7A47"/>
    <w:rsid w:val="004A7E0E"/>
    <w:rsid w:val="004B0397"/>
    <w:rsid w:val="004B12B9"/>
    <w:rsid w:val="004B1DBB"/>
    <w:rsid w:val="004B1F09"/>
    <w:rsid w:val="004B3948"/>
    <w:rsid w:val="004B3D69"/>
    <w:rsid w:val="004B4E25"/>
    <w:rsid w:val="004B4E76"/>
    <w:rsid w:val="004B53EA"/>
    <w:rsid w:val="004B6662"/>
    <w:rsid w:val="004C0BC1"/>
    <w:rsid w:val="004C285E"/>
    <w:rsid w:val="004C2C0B"/>
    <w:rsid w:val="004C2C46"/>
    <w:rsid w:val="004C2C98"/>
    <w:rsid w:val="004C3090"/>
    <w:rsid w:val="004C331C"/>
    <w:rsid w:val="004C3A23"/>
    <w:rsid w:val="004C4A34"/>
    <w:rsid w:val="004C4DE2"/>
    <w:rsid w:val="004C5613"/>
    <w:rsid w:val="004C5F4F"/>
    <w:rsid w:val="004C6B62"/>
    <w:rsid w:val="004C76A5"/>
    <w:rsid w:val="004D0140"/>
    <w:rsid w:val="004D0B46"/>
    <w:rsid w:val="004D1DC8"/>
    <w:rsid w:val="004D282F"/>
    <w:rsid w:val="004D2A3A"/>
    <w:rsid w:val="004D2BD6"/>
    <w:rsid w:val="004D4382"/>
    <w:rsid w:val="004D4395"/>
    <w:rsid w:val="004D4A4E"/>
    <w:rsid w:val="004D4B6C"/>
    <w:rsid w:val="004D5170"/>
    <w:rsid w:val="004D626B"/>
    <w:rsid w:val="004D6504"/>
    <w:rsid w:val="004D7459"/>
    <w:rsid w:val="004D752B"/>
    <w:rsid w:val="004D76B0"/>
    <w:rsid w:val="004E0B77"/>
    <w:rsid w:val="004E1262"/>
    <w:rsid w:val="004E1FFE"/>
    <w:rsid w:val="004E24A2"/>
    <w:rsid w:val="004E267A"/>
    <w:rsid w:val="004E306C"/>
    <w:rsid w:val="004E3615"/>
    <w:rsid w:val="004E4380"/>
    <w:rsid w:val="004E4C2B"/>
    <w:rsid w:val="004E5460"/>
    <w:rsid w:val="004E5884"/>
    <w:rsid w:val="004E6091"/>
    <w:rsid w:val="004E6C73"/>
    <w:rsid w:val="004E6DEB"/>
    <w:rsid w:val="004E719B"/>
    <w:rsid w:val="004F067A"/>
    <w:rsid w:val="004F0AE6"/>
    <w:rsid w:val="004F112E"/>
    <w:rsid w:val="004F11C6"/>
    <w:rsid w:val="004F21A0"/>
    <w:rsid w:val="004F2222"/>
    <w:rsid w:val="004F2A28"/>
    <w:rsid w:val="004F3019"/>
    <w:rsid w:val="004F3793"/>
    <w:rsid w:val="004F43C6"/>
    <w:rsid w:val="004F4EF3"/>
    <w:rsid w:val="004F70D7"/>
    <w:rsid w:val="004F724C"/>
    <w:rsid w:val="004F7C7F"/>
    <w:rsid w:val="00501575"/>
    <w:rsid w:val="0050268E"/>
    <w:rsid w:val="00502DC2"/>
    <w:rsid w:val="00503A93"/>
    <w:rsid w:val="00503CB8"/>
    <w:rsid w:val="0050421C"/>
    <w:rsid w:val="005057CB"/>
    <w:rsid w:val="0051063D"/>
    <w:rsid w:val="005108C5"/>
    <w:rsid w:val="00510E39"/>
    <w:rsid w:val="00511238"/>
    <w:rsid w:val="0051151F"/>
    <w:rsid w:val="00511A03"/>
    <w:rsid w:val="00511F1E"/>
    <w:rsid w:val="00511FE8"/>
    <w:rsid w:val="005121B2"/>
    <w:rsid w:val="00513531"/>
    <w:rsid w:val="00513D49"/>
    <w:rsid w:val="00515150"/>
    <w:rsid w:val="0051716A"/>
    <w:rsid w:val="0051790A"/>
    <w:rsid w:val="00517AE4"/>
    <w:rsid w:val="00522D66"/>
    <w:rsid w:val="00522DC5"/>
    <w:rsid w:val="00524C3A"/>
    <w:rsid w:val="00524DBE"/>
    <w:rsid w:val="00526B25"/>
    <w:rsid w:val="005271F8"/>
    <w:rsid w:val="00527434"/>
    <w:rsid w:val="00531138"/>
    <w:rsid w:val="0053175C"/>
    <w:rsid w:val="00531A02"/>
    <w:rsid w:val="00532C4A"/>
    <w:rsid w:val="005332C9"/>
    <w:rsid w:val="00534FC1"/>
    <w:rsid w:val="005353C4"/>
    <w:rsid w:val="00535C1E"/>
    <w:rsid w:val="00537037"/>
    <w:rsid w:val="00537135"/>
    <w:rsid w:val="005371BF"/>
    <w:rsid w:val="005377D0"/>
    <w:rsid w:val="00537A8A"/>
    <w:rsid w:val="00537E94"/>
    <w:rsid w:val="00541DBF"/>
    <w:rsid w:val="0054201D"/>
    <w:rsid w:val="0054249C"/>
    <w:rsid w:val="005429FE"/>
    <w:rsid w:val="00543A62"/>
    <w:rsid w:val="00543C8B"/>
    <w:rsid w:val="00544669"/>
    <w:rsid w:val="0054484D"/>
    <w:rsid w:val="00544E05"/>
    <w:rsid w:val="00545AAB"/>
    <w:rsid w:val="005465B2"/>
    <w:rsid w:val="00546B57"/>
    <w:rsid w:val="0054704C"/>
    <w:rsid w:val="00547BFF"/>
    <w:rsid w:val="00547FE4"/>
    <w:rsid w:val="0055024C"/>
    <w:rsid w:val="005503FA"/>
    <w:rsid w:val="00550A40"/>
    <w:rsid w:val="005516BD"/>
    <w:rsid w:val="00551C88"/>
    <w:rsid w:val="00552703"/>
    <w:rsid w:val="00552A73"/>
    <w:rsid w:val="00553D29"/>
    <w:rsid w:val="0055402F"/>
    <w:rsid w:val="00554ECA"/>
    <w:rsid w:val="00555CB7"/>
    <w:rsid w:val="00555F38"/>
    <w:rsid w:val="00556128"/>
    <w:rsid w:val="0055717A"/>
    <w:rsid w:val="0055740A"/>
    <w:rsid w:val="00557929"/>
    <w:rsid w:val="005620A2"/>
    <w:rsid w:val="0056241F"/>
    <w:rsid w:val="0056259B"/>
    <w:rsid w:val="00562A14"/>
    <w:rsid w:val="00562B1C"/>
    <w:rsid w:val="00562C12"/>
    <w:rsid w:val="00562D8A"/>
    <w:rsid w:val="00563069"/>
    <w:rsid w:val="00564438"/>
    <w:rsid w:val="00564636"/>
    <w:rsid w:val="00565655"/>
    <w:rsid w:val="00567A8D"/>
    <w:rsid w:val="00567C08"/>
    <w:rsid w:val="0057031E"/>
    <w:rsid w:val="005706AF"/>
    <w:rsid w:val="005710E1"/>
    <w:rsid w:val="00571E4C"/>
    <w:rsid w:val="00571E9A"/>
    <w:rsid w:val="00571EC0"/>
    <w:rsid w:val="00571F68"/>
    <w:rsid w:val="00573484"/>
    <w:rsid w:val="00574911"/>
    <w:rsid w:val="00575E37"/>
    <w:rsid w:val="00577AF6"/>
    <w:rsid w:val="005803CD"/>
    <w:rsid w:val="00580B79"/>
    <w:rsid w:val="005815A0"/>
    <w:rsid w:val="00581A44"/>
    <w:rsid w:val="00581E6D"/>
    <w:rsid w:val="00581ED1"/>
    <w:rsid w:val="00582113"/>
    <w:rsid w:val="0058298E"/>
    <w:rsid w:val="00583500"/>
    <w:rsid w:val="005838CC"/>
    <w:rsid w:val="00583DA0"/>
    <w:rsid w:val="005841C9"/>
    <w:rsid w:val="00584460"/>
    <w:rsid w:val="00585841"/>
    <w:rsid w:val="0058647E"/>
    <w:rsid w:val="00586DB4"/>
    <w:rsid w:val="00587600"/>
    <w:rsid w:val="0059194E"/>
    <w:rsid w:val="005927B9"/>
    <w:rsid w:val="005928EA"/>
    <w:rsid w:val="00593942"/>
    <w:rsid w:val="00593CB1"/>
    <w:rsid w:val="005958F0"/>
    <w:rsid w:val="005959CB"/>
    <w:rsid w:val="00595E68"/>
    <w:rsid w:val="005962D1"/>
    <w:rsid w:val="00597189"/>
    <w:rsid w:val="00597A6A"/>
    <w:rsid w:val="005A0C66"/>
    <w:rsid w:val="005A0DDC"/>
    <w:rsid w:val="005A171D"/>
    <w:rsid w:val="005A1BDE"/>
    <w:rsid w:val="005A2B64"/>
    <w:rsid w:val="005A41AC"/>
    <w:rsid w:val="005A4754"/>
    <w:rsid w:val="005A493F"/>
    <w:rsid w:val="005A4E33"/>
    <w:rsid w:val="005A5979"/>
    <w:rsid w:val="005A62A7"/>
    <w:rsid w:val="005A75AA"/>
    <w:rsid w:val="005A7FA2"/>
    <w:rsid w:val="005B0837"/>
    <w:rsid w:val="005B12BF"/>
    <w:rsid w:val="005B1830"/>
    <w:rsid w:val="005B2347"/>
    <w:rsid w:val="005B2B5C"/>
    <w:rsid w:val="005B3B0E"/>
    <w:rsid w:val="005B472E"/>
    <w:rsid w:val="005B47BF"/>
    <w:rsid w:val="005B5EF7"/>
    <w:rsid w:val="005B64A6"/>
    <w:rsid w:val="005B753A"/>
    <w:rsid w:val="005B7987"/>
    <w:rsid w:val="005B7B7B"/>
    <w:rsid w:val="005C03BA"/>
    <w:rsid w:val="005C15C6"/>
    <w:rsid w:val="005C2DAB"/>
    <w:rsid w:val="005C328D"/>
    <w:rsid w:val="005C3342"/>
    <w:rsid w:val="005C49B5"/>
    <w:rsid w:val="005C4F05"/>
    <w:rsid w:val="005C54F4"/>
    <w:rsid w:val="005C62EA"/>
    <w:rsid w:val="005C7988"/>
    <w:rsid w:val="005C7C68"/>
    <w:rsid w:val="005D0FFA"/>
    <w:rsid w:val="005D115D"/>
    <w:rsid w:val="005D304C"/>
    <w:rsid w:val="005D40B7"/>
    <w:rsid w:val="005D4373"/>
    <w:rsid w:val="005D45CD"/>
    <w:rsid w:val="005D5701"/>
    <w:rsid w:val="005D5C29"/>
    <w:rsid w:val="005D5EA0"/>
    <w:rsid w:val="005D60CC"/>
    <w:rsid w:val="005E065A"/>
    <w:rsid w:val="005E12F2"/>
    <w:rsid w:val="005E2200"/>
    <w:rsid w:val="005E31C1"/>
    <w:rsid w:val="005E56B3"/>
    <w:rsid w:val="005E67C7"/>
    <w:rsid w:val="005E7C60"/>
    <w:rsid w:val="005F00FB"/>
    <w:rsid w:val="005F070D"/>
    <w:rsid w:val="005F221E"/>
    <w:rsid w:val="005F25E4"/>
    <w:rsid w:val="005F2DD5"/>
    <w:rsid w:val="005F2F69"/>
    <w:rsid w:val="005F35A5"/>
    <w:rsid w:val="005F418A"/>
    <w:rsid w:val="005F5217"/>
    <w:rsid w:val="005F5E6F"/>
    <w:rsid w:val="005F5FE0"/>
    <w:rsid w:val="005F6F51"/>
    <w:rsid w:val="005F774F"/>
    <w:rsid w:val="005F7CD4"/>
    <w:rsid w:val="006001A6"/>
    <w:rsid w:val="0060055D"/>
    <w:rsid w:val="006021C9"/>
    <w:rsid w:val="00602605"/>
    <w:rsid w:val="00602AC8"/>
    <w:rsid w:val="00603078"/>
    <w:rsid w:val="00603647"/>
    <w:rsid w:val="006040AD"/>
    <w:rsid w:val="006043E1"/>
    <w:rsid w:val="00604988"/>
    <w:rsid w:val="006056F8"/>
    <w:rsid w:val="00605741"/>
    <w:rsid w:val="006062C1"/>
    <w:rsid w:val="00606375"/>
    <w:rsid w:val="00606F1E"/>
    <w:rsid w:val="00607107"/>
    <w:rsid w:val="00610A66"/>
    <w:rsid w:val="00610B3E"/>
    <w:rsid w:val="00611456"/>
    <w:rsid w:val="00611A55"/>
    <w:rsid w:val="00611C15"/>
    <w:rsid w:val="0061249D"/>
    <w:rsid w:val="00612599"/>
    <w:rsid w:val="00613B1A"/>
    <w:rsid w:val="00613FBB"/>
    <w:rsid w:val="00614711"/>
    <w:rsid w:val="00616941"/>
    <w:rsid w:val="00620C97"/>
    <w:rsid w:val="006221F3"/>
    <w:rsid w:val="006226C1"/>
    <w:rsid w:val="00624C32"/>
    <w:rsid w:val="00624EF7"/>
    <w:rsid w:val="006252EB"/>
    <w:rsid w:val="006254C0"/>
    <w:rsid w:val="00625A3E"/>
    <w:rsid w:val="00625B26"/>
    <w:rsid w:val="00626DDD"/>
    <w:rsid w:val="0062786B"/>
    <w:rsid w:val="00631C9C"/>
    <w:rsid w:val="00633507"/>
    <w:rsid w:val="0063471B"/>
    <w:rsid w:val="00634729"/>
    <w:rsid w:val="0063597C"/>
    <w:rsid w:val="006362AC"/>
    <w:rsid w:val="00636B56"/>
    <w:rsid w:val="006372C0"/>
    <w:rsid w:val="00637B18"/>
    <w:rsid w:val="00640BDC"/>
    <w:rsid w:val="00640CBC"/>
    <w:rsid w:val="00642F7F"/>
    <w:rsid w:val="00643DD6"/>
    <w:rsid w:val="00643F0B"/>
    <w:rsid w:val="0064412E"/>
    <w:rsid w:val="00644361"/>
    <w:rsid w:val="00644513"/>
    <w:rsid w:val="006450CC"/>
    <w:rsid w:val="006452BC"/>
    <w:rsid w:val="00645ED4"/>
    <w:rsid w:val="006461AC"/>
    <w:rsid w:val="00646C8C"/>
    <w:rsid w:val="00646E51"/>
    <w:rsid w:val="00647956"/>
    <w:rsid w:val="006505EC"/>
    <w:rsid w:val="006507F8"/>
    <w:rsid w:val="00650AD5"/>
    <w:rsid w:val="00651211"/>
    <w:rsid w:val="006519F8"/>
    <w:rsid w:val="0065208E"/>
    <w:rsid w:val="00652162"/>
    <w:rsid w:val="00652AB4"/>
    <w:rsid w:val="00652D51"/>
    <w:rsid w:val="006531A8"/>
    <w:rsid w:val="006558EB"/>
    <w:rsid w:val="00656ADD"/>
    <w:rsid w:val="00660FCB"/>
    <w:rsid w:val="0066100F"/>
    <w:rsid w:val="0066196C"/>
    <w:rsid w:val="00661BC2"/>
    <w:rsid w:val="00662D65"/>
    <w:rsid w:val="006636B8"/>
    <w:rsid w:val="0066376C"/>
    <w:rsid w:val="00663782"/>
    <w:rsid w:val="006637C6"/>
    <w:rsid w:val="00665A7B"/>
    <w:rsid w:val="0066649A"/>
    <w:rsid w:val="00666921"/>
    <w:rsid w:val="00667212"/>
    <w:rsid w:val="006707A3"/>
    <w:rsid w:val="00670C53"/>
    <w:rsid w:val="00671A20"/>
    <w:rsid w:val="006722A5"/>
    <w:rsid w:val="00672338"/>
    <w:rsid w:val="00673872"/>
    <w:rsid w:val="00673C3B"/>
    <w:rsid w:val="00674970"/>
    <w:rsid w:val="00674CD2"/>
    <w:rsid w:val="006762F4"/>
    <w:rsid w:val="00676566"/>
    <w:rsid w:val="006766BE"/>
    <w:rsid w:val="00677024"/>
    <w:rsid w:val="006770BD"/>
    <w:rsid w:val="00677989"/>
    <w:rsid w:val="00677CAE"/>
    <w:rsid w:val="00680B83"/>
    <w:rsid w:val="00682466"/>
    <w:rsid w:val="0068261A"/>
    <w:rsid w:val="00682DF3"/>
    <w:rsid w:val="0068473E"/>
    <w:rsid w:val="00684B0E"/>
    <w:rsid w:val="00684B9A"/>
    <w:rsid w:val="00687403"/>
    <w:rsid w:val="0068795B"/>
    <w:rsid w:val="006902A4"/>
    <w:rsid w:val="006932DD"/>
    <w:rsid w:val="006949CE"/>
    <w:rsid w:val="00695F87"/>
    <w:rsid w:val="00696044"/>
    <w:rsid w:val="00697EE7"/>
    <w:rsid w:val="006A02B1"/>
    <w:rsid w:val="006A2297"/>
    <w:rsid w:val="006A2E94"/>
    <w:rsid w:val="006A3C99"/>
    <w:rsid w:val="006A41E4"/>
    <w:rsid w:val="006A42BF"/>
    <w:rsid w:val="006A45C3"/>
    <w:rsid w:val="006A52A1"/>
    <w:rsid w:val="006A5A00"/>
    <w:rsid w:val="006A616D"/>
    <w:rsid w:val="006A6ABB"/>
    <w:rsid w:val="006A71F5"/>
    <w:rsid w:val="006A74E0"/>
    <w:rsid w:val="006B087B"/>
    <w:rsid w:val="006B0B2B"/>
    <w:rsid w:val="006B141E"/>
    <w:rsid w:val="006B1702"/>
    <w:rsid w:val="006B19E6"/>
    <w:rsid w:val="006B1BDD"/>
    <w:rsid w:val="006B28F6"/>
    <w:rsid w:val="006B2E10"/>
    <w:rsid w:val="006B2F9B"/>
    <w:rsid w:val="006B306B"/>
    <w:rsid w:val="006B3C51"/>
    <w:rsid w:val="006B4829"/>
    <w:rsid w:val="006B4A55"/>
    <w:rsid w:val="006B54C7"/>
    <w:rsid w:val="006B5CD9"/>
    <w:rsid w:val="006B6AD1"/>
    <w:rsid w:val="006B70F2"/>
    <w:rsid w:val="006B723D"/>
    <w:rsid w:val="006C0A86"/>
    <w:rsid w:val="006C0AC1"/>
    <w:rsid w:val="006C10B9"/>
    <w:rsid w:val="006C25C4"/>
    <w:rsid w:val="006C2774"/>
    <w:rsid w:val="006C2914"/>
    <w:rsid w:val="006C2BB9"/>
    <w:rsid w:val="006C33A9"/>
    <w:rsid w:val="006C3943"/>
    <w:rsid w:val="006C4428"/>
    <w:rsid w:val="006C489F"/>
    <w:rsid w:val="006C5E26"/>
    <w:rsid w:val="006C676A"/>
    <w:rsid w:val="006C71D4"/>
    <w:rsid w:val="006C7295"/>
    <w:rsid w:val="006D01AF"/>
    <w:rsid w:val="006D04ED"/>
    <w:rsid w:val="006D11CC"/>
    <w:rsid w:val="006D3363"/>
    <w:rsid w:val="006D37C5"/>
    <w:rsid w:val="006D39F3"/>
    <w:rsid w:val="006D3AE4"/>
    <w:rsid w:val="006D58FF"/>
    <w:rsid w:val="006D5F32"/>
    <w:rsid w:val="006D7DB2"/>
    <w:rsid w:val="006D7E71"/>
    <w:rsid w:val="006E0252"/>
    <w:rsid w:val="006E0299"/>
    <w:rsid w:val="006E0E7D"/>
    <w:rsid w:val="006E1134"/>
    <w:rsid w:val="006E2A1F"/>
    <w:rsid w:val="006E2A71"/>
    <w:rsid w:val="006E2C36"/>
    <w:rsid w:val="006E4304"/>
    <w:rsid w:val="006E437A"/>
    <w:rsid w:val="006E4AD5"/>
    <w:rsid w:val="006E5346"/>
    <w:rsid w:val="006E553D"/>
    <w:rsid w:val="006E5730"/>
    <w:rsid w:val="006E6DC9"/>
    <w:rsid w:val="006E6EB9"/>
    <w:rsid w:val="006E7152"/>
    <w:rsid w:val="006F0329"/>
    <w:rsid w:val="006F0920"/>
    <w:rsid w:val="006F0EF8"/>
    <w:rsid w:val="006F2C38"/>
    <w:rsid w:val="006F2ED7"/>
    <w:rsid w:val="006F2FDB"/>
    <w:rsid w:val="006F31A1"/>
    <w:rsid w:val="006F3E12"/>
    <w:rsid w:val="006F5012"/>
    <w:rsid w:val="006F6195"/>
    <w:rsid w:val="006F6E73"/>
    <w:rsid w:val="006F76AA"/>
    <w:rsid w:val="006F7E78"/>
    <w:rsid w:val="006F7FDA"/>
    <w:rsid w:val="00703052"/>
    <w:rsid w:val="007035E6"/>
    <w:rsid w:val="00703FC6"/>
    <w:rsid w:val="0070412E"/>
    <w:rsid w:val="007044AA"/>
    <w:rsid w:val="00705A71"/>
    <w:rsid w:val="00705CA9"/>
    <w:rsid w:val="0070656F"/>
    <w:rsid w:val="007070F6"/>
    <w:rsid w:val="00707901"/>
    <w:rsid w:val="00707E70"/>
    <w:rsid w:val="0071027B"/>
    <w:rsid w:val="00711EB7"/>
    <w:rsid w:val="00713209"/>
    <w:rsid w:val="0071341B"/>
    <w:rsid w:val="00713EB4"/>
    <w:rsid w:val="00714933"/>
    <w:rsid w:val="00714D72"/>
    <w:rsid w:val="00716FEC"/>
    <w:rsid w:val="00717BAE"/>
    <w:rsid w:val="00717C87"/>
    <w:rsid w:val="00720436"/>
    <w:rsid w:val="007213BC"/>
    <w:rsid w:val="00721998"/>
    <w:rsid w:val="00722DCE"/>
    <w:rsid w:val="007233BE"/>
    <w:rsid w:val="00723CE8"/>
    <w:rsid w:val="0072436A"/>
    <w:rsid w:val="0072502A"/>
    <w:rsid w:val="007250D4"/>
    <w:rsid w:val="0072529A"/>
    <w:rsid w:val="0072550C"/>
    <w:rsid w:val="007276EE"/>
    <w:rsid w:val="007277CB"/>
    <w:rsid w:val="00727FF7"/>
    <w:rsid w:val="007305E2"/>
    <w:rsid w:val="00730AF2"/>
    <w:rsid w:val="00730E23"/>
    <w:rsid w:val="007319FF"/>
    <w:rsid w:val="00732BFA"/>
    <w:rsid w:val="00732E82"/>
    <w:rsid w:val="007334C9"/>
    <w:rsid w:val="00733F1E"/>
    <w:rsid w:val="0073531B"/>
    <w:rsid w:val="007359BE"/>
    <w:rsid w:val="00735DF6"/>
    <w:rsid w:val="00735EF7"/>
    <w:rsid w:val="007374D1"/>
    <w:rsid w:val="00737636"/>
    <w:rsid w:val="007406D8"/>
    <w:rsid w:val="00740B96"/>
    <w:rsid w:val="007419CD"/>
    <w:rsid w:val="00742951"/>
    <w:rsid w:val="00742C06"/>
    <w:rsid w:val="00745DFA"/>
    <w:rsid w:val="00746BAC"/>
    <w:rsid w:val="00747CFC"/>
    <w:rsid w:val="00753387"/>
    <w:rsid w:val="007538D1"/>
    <w:rsid w:val="00753AB3"/>
    <w:rsid w:val="00756117"/>
    <w:rsid w:val="00756E62"/>
    <w:rsid w:val="00757310"/>
    <w:rsid w:val="00757797"/>
    <w:rsid w:val="00760D8D"/>
    <w:rsid w:val="00762EF9"/>
    <w:rsid w:val="00763886"/>
    <w:rsid w:val="00764DAC"/>
    <w:rsid w:val="007656A5"/>
    <w:rsid w:val="00765ED1"/>
    <w:rsid w:val="00766FCD"/>
    <w:rsid w:val="00767FC6"/>
    <w:rsid w:val="007711DF"/>
    <w:rsid w:val="0077240C"/>
    <w:rsid w:val="007727D9"/>
    <w:rsid w:val="007730D2"/>
    <w:rsid w:val="007731F4"/>
    <w:rsid w:val="007732D2"/>
    <w:rsid w:val="00773909"/>
    <w:rsid w:val="007743F9"/>
    <w:rsid w:val="00774E05"/>
    <w:rsid w:val="0077560A"/>
    <w:rsid w:val="0077579E"/>
    <w:rsid w:val="00775F6F"/>
    <w:rsid w:val="0077611D"/>
    <w:rsid w:val="00776ABC"/>
    <w:rsid w:val="00776CFC"/>
    <w:rsid w:val="00777314"/>
    <w:rsid w:val="00777D95"/>
    <w:rsid w:val="00781223"/>
    <w:rsid w:val="00781A03"/>
    <w:rsid w:val="00781CB5"/>
    <w:rsid w:val="00781D33"/>
    <w:rsid w:val="007822F3"/>
    <w:rsid w:val="00782D63"/>
    <w:rsid w:val="0078441D"/>
    <w:rsid w:val="007846CF"/>
    <w:rsid w:val="007848F6"/>
    <w:rsid w:val="007849CF"/>
    <w:rsid w:val="00784F4C"/>
    <w:rsid w:val="0078632C"/>
    <w:rsid w:val="00786807"/>
    <w:rsid w:val="00787753"/>
    <w:rsid w:val="00790A4E"/>
    <w:rsid w:val="007910BA"/>
    <w:rsid w:val="007912E6"/>
    <w:rsid w:val="00791427"/>
    <w:rsid w:val="00791525"/>
    <w:rsid w:val="007916E4"/>
    <w:rsid w:val="00791736"/>
    <w:rsid w:val="00791BD1"/>
    <w:rsid w:val="00791EDA"/>
    <w:rsid w:val="007921DB"/>
    <w:rsid w:val="007923A4"/>
    <w:rsid w:val="007923F4"/>
    <w:rsid w:val="00792611"/>
    <w:rsid w:val="00792E8C"/>
    <w:rsid w:val="00793917"/>
    <w:rsid w:val="00793D2C"/>
    <w:rsid w:val="00794BC6"/>
    <w:rsid w:val="00795940"/>
    <w:rsid w:val="00795BCA"/>
    <w:rsid w:val="00796487"/>
    <w:rsid w:val="00797011"/>
    <w:rsid w:val="0079799E"/>
    <w:rsid w:val="007A01A0"/>
    <w:rsid w:val="007A08AF"/>
    <w:rsid w:val="007A166C"/>
    <w:rsid w:val="007A22DC"/>
    <w:rsid w:val="007A3749"/>
    <w:rsid w:val="007A428C"/>
    <w:rsid w:val="007A4A07"/>
    <w:rsid w:val="007A5006"/>
    <w:rsid w:val="007A542A"/>
    <w:rsid w:val="007A5E29"/>
    <w:rsid w:val="007A6911"/>
    <w:rsid w:val="007A69E5"/>
    <w:rsid w:val="007A6DC5"/>
    <w:rsid w:val="007A6E4F"/>
    <w:rsid w:val="007A6FEB"/>
    <w:rsid w:val="007B11C8"/>
    <w:rsid w:val="007B157E"/>
    <w:rsid w:val="007B185F"/>
    <w:rsid w:val="007B1A91"/>
    <w:rsid w:val="007B2D98"/>
    <w:rsid w:val="007B3684"/>
    <w:rsid w:val="007B3CEF"/>
    <w:rsid w:val="007B3E4F"/>
    <w:rsid w:val="007B4094"/>
    <w:rsid w:val="007B461C"/>
    <w:rsid w:val="007B5CBA"/>
    <w:rsid w:val="007B6264"/>
    <w:rsid w:val="007B6CE8"/>
    <w:rsid w:val="007C0277"/>
    <w:rsid w:val="007C1AFF"/>
    <w:rsid w:val="007C24D5"/>
    <w:rsid w:val="007C2508"/>
    <w:rsid w:val="007C299F"/>
    <w:rsid w:val="007C2D5B"/>
    <w:rsid w:val="007C4191"/>
    <w:rsid w:val="007C48F2"/>
    <w:rsid w:val="007C4E69"/>
    <w:rsid w:val="007C57CA"/>
    <w:rsid w:val="007C64FB"/>
    <w:rsid w:val="007C6DCC"/>
    <w:rsid w:val="007C7DE0"/>
    <w:rsid w:val="007C7F93"/>
    <w:rsid w:val="007D00E7"/>
    <w:rsid w:val="007D030C"/>
    <w:rsid w:val="007D0E97"/>
    <w:rsid w:val="007D0F0F"/>
    <w:rsid w:val="007D1256"/>
    <w:rsid w:val="007D1534"/>
    <w:rsid w:val="007D197E"/>
    <w:rsid w:val="007D1E00"/>
    <w:rsid w:val="007D2631"/>
    <w:rsid w:val="007D2C68"/>
    <w:rsid w:val="007D300D"/>
    <w:rsid w:val="007D31AF"/>
    <w:rsid w:val="007D33FA"/>
    <w:rsid w:val="007D3921"/>
    <w:rsid w:val="007D421B"/>
    <w:rsid w:val="007D422F"/>
    <w:rsid w:val="007D42E5"/>
    <w:rsid w:val="007D4503"/>
    <w:rsid w:val="007D4E30"/>
    <w:rsid w:val="007D544B"/>
    <w:rsid w:val="007D55AC"/>
    <w:rsid w:val="007D5E92"/>
    <w:rsid w:val="007D619C"/>
    <w:rsid w:val="007D6C4D"/>
    <w:rsid w:val="007D7F4A"/>
    <w:rsid w:val="007E0668"/>
    <w:rsid w:val="007E0869"/>
    <w:rsid w:val="007E12D0"/>
    <w:rsid w:val="007E1798"/>
    <w:rsid w:val="007E1C00"/>
    <w:rsid w:val="007E2A3C"/>
    <w:rsid w:val="007E3172"/>
    <w:rsid w:val="007E3323"/>
    <w:rsid w:val="007E725A"/>
    <w:rsid w:val="007E7B4D"/>
    <w:rsid w:val="007F0563"/>
    <w:rsid w:val="007F0BA2"/>
    <w:rsid w:val="007F0E95"/>
    <w:rsid w:val="007F1899"/>
    <w:rsid w:val="007F1A7A"/>
    <w:rsid w:val="007F1D52"/>
    <w:rsid w:val="007F2008"/>
    <w:rsid w:val="007F22A0"/>
    <w:rsid w:val="007F25C4"/>
    <w:rsid w:val="007F2709"/>
    <w:rsid w:val="007F2A62"/>
    <w:rsid w:val="007F2BE7"/>
    <w:rsid w:val="007F38FC"/>
    <w:rsid w:val="007F4916"/>
    <w:rsid w:val="007F4B60"/>
    <w:rsid w:val="007F4FC2"/>
    <w:rsid w:val="007F5546"/>
    <w:rsid w:val="007F66C5"/>
    <w:rsid w:val="007F6819"/>
    <w:rsid w:val="007F7326"/>
    <w:rsid w:val="007F7D24"/>
    <w:rsid w:val="00800435"/>
    <w:rsid w:val="00800C84"/>
    <w:rsid w:val="00801657"/>
    <w:rsid w:val="00801771"/>
    <w:rsid w:val="00801BF7"/>
    <w:rsid w:val="00801EF0"/>
    <w:rsid w:val="00803ED0"/>
    <w:rsid w:val="00805032"/>
    <w:rsid w:val="00805500"/>
    <w:rsid w:val="008063C4"/>
    <w:rsid w:val="0080665D"/>
    <w:rsid w:val="00806DFE"/>
    <w:rsid w:val="00807079"/>
    <w:rsid w:val="0080794E"/>
    <w:rsid w:val="00807A4D"/>
    <w:rsid w:val="00810C0A"/>
    <w:rsid w:val="00811AE0"/>
    <w:rsid w:val="00811F33"/>
    <w:rsid w:val="00812619"/>
    <w:rsid w:val="0081287F"/>
    <w:rsid w:val="00812E89"/>
    <w:rsid w:val="008132A5"/>
    <w:rsid w:val="0081343E"/>
    <w:rsid w:val="00813512"/>
    <w:rsid w:val="008148DC"/>
    <w:rsid w:val="00815143"/>
    <w:rsid w:val="00817D87"/>
    <w:rsid w:val="00820612"/>
    <w:rsid w:val="0082096C"/>
    <w:rsid w:val="008218CE"/>
    <w:rsid w:val="0082289F"/>
    <w:rsid w:val="00822F59"/>
    <w:rsid w:val="00823538"/>
    <w:rsid w:val="008239C8"/>
    <w:rsid w:val="00823DDB"/>
    <w:rsid w:val="008241FB"/>
    <w:rsid w:val="008243FB"/>
    <w:rsid w:val="00824D05"/>
    <w:rsid w:val="008253DC"/>
    <w:rsid w:val="008254AA"/>
    <w:rsid w:val="008255F9"/>
    <w:rsid w:val="0082606F"/>
    <w:rsid w:val="00827C07"/>
    <w:rsid w:val="00827C70"/>
    <w:rsid w:val="00831720"/>
    <w:rsid w:val="00831889"/>
    <w:rsid w:val="00831AB0"/>
    <w:rsid w:val="00831BC4"/>
    <w:rsid w:val="00831FBD"/>
    <w:rsid w:val="008326E7"/>
    <w:rsid w:val="00832D93"/>
    <w:rsid w:val="00833E83"/>
    <w:rsid w:val="00834CBA"/>
    <w:rsid w:val="00835038"/>
    <w:rsid w:val="00835450"/>
    <w:rsid w:val="00835EA2"/>
    <w:rsid w:val="00836993"/>
    <w:rsid w:val="00841022"/>
    <w:rsid w:val="00843428"/>
    <w:rsid w:val="008449DC"/>
    <w:rsid w:val="0084562B"/>
    <w:rsid w:val="00845C1A"/>
    <w:rsid w:val="00846568"/>
    <w:rsid w:val="00846982"/>
    <w:rsid w:val="0085046C"/>
    <w:rsid w:val="00850AD7"/>
    <w:rsid w:val="0085102A"/>
    <w:rsid w:val="008510B5"/>
    <w:rsid w:val="00851187"/>
    <w:rsid w:val="00851A96"/>
    <w:rsid w:val="00852036"/>
    <w:rsid w:val="008529CC"/>
    <w:rsid w:val="00853225"/>
    <w:rsid w:val="00853A5D"/>
    <w:rsid w:val="0085486D"/>
    <w:rsid w:val="00854AFD"/>
    <w:rsid w:val="00854CEA"/>
    <w:rsid w:val="008560A2"/>
    <w:rsid w:val="00856740"/>
    <w:rsid w:val="00856940"/>
    <w:rsid w:val="00856F05"/>
    <w:rsid w:val="008579A3"/>
    <w:rsid w:val="008601BB"/>
    <w:rsid w:val="008604EB"/>
    <w:rsid w:val="0086072E"/>
    <w:rsid w:val="0086095E"/>
    <w:rsid w:val="008613FD"/>
    <w:rsid w:val="008615A3"/>
    <w:rsid w:val="008625E3"/>
    <w:rsid w:val="00862B32"/>
    <w:rsid w:val="00862CED"/>
    <w:rsid w:val="00863D76"/>
    <w:rsid w:val="00864BBD"/>
    <w:rsid w:val="00864FC2"/>
    <w:rsid w:val="00864FFE"/>
    <w:rsid w:val="008657A5"/>
    <w:rsid w:val="00865CEE"/>
    <w:rsid w:val="00866022"/>
    <w:rsid w:val="00866507"/>
    <w:rsid w:val="008665CF"/>
    <w:rsid w:val="00870E7A"/>
    <w:rsid w:val="00870EAC"/>
    <w:rsid w:val="00871A75"/>
    <w:rsid w:val="00871F2A"/>
    <w:rsid w:val="008750E3"/>
    <w:rsid w:val="0087581C"/>
    <w:rsid w:val="00875949"/>
    <w:rsid w:val="00875B8C"/>
    <w:rsid w:val="00875F2A"/>
    <w:rsid w:val="00876EA5"/>
    <w:rsid w:val="00877907"/>
    <w:rsid w:val="00881159"/>
    <w:rsid w:val="008818B2"/>
    <w:rsid w:val="00881E5F"/>
    <w:rsid w:val="008821EF"/>
    <w:rsid w:val="00882A92"/>
    <w:rsid w:val="0088352F"/>
    <w:rsid w:val="0088390B"/>
    <w:rsid w:val="0088401F"/>
    <w:rsid w:val="00885172"/>
    <w:rsid w:val="00885316"/>
    <w:rsid w:val="0088538C"/>
    <w:rsid w:val="008862AB"/>
    <w:rsid w:val="0088635E"/>
    <w:rsid w:val="008868CA"/>
    <w:rsid w:val="00887581"/>
    <w:rsid w:val="008876C0"/>
    <w:rsid w:val="0089016E"/>
    <w:rsid w:val="0089092A"/>
    <w:rsid w:val="0089124C"/>
    <w:rsid w:val="00893D0B"/>
    <w:rsid w:val="008941A7"/>
    <w:rsid w:val="00894663"/>
    <w:rsid w:val="0089491D"/>
    <w:rsid w:val="00895EA5"/>
    <w:rsid w:val="008966E1"/>
    <w:rsid w:val="00896FC1"/>
    <w:rsid w:val="00897909"/>
    <w:rsid w:val="008A03A7"/>
    <w:rsid w:val="008A1400"/>
    <w:rsid w:val="008A1748"/>
    <w:rsid w:val="008A1A7C"/>
    <w:rsid w:val="008A21D2"/>
    <w:rsid w:val="008A2483"/>
    <w:rsid w:val="008A267E"/>
    <w:rsid w:val="008A26EC"/>
    <w:rsid w:val="008A2D99"/>
    <w:rsid w:val="008A3944"/>
    <w:rsid w:val="008A412A"/>
    <w:rsid w:val="008A4245"/>
    <w:rsid w:val="008A439C"/>
    <w:rsid w:val="008A4842"/>
    <w:rsid w:val="008A4866"/>
    <w:rsid w:val="008A5D8E"/>
    <w:rsid w:val="008A66C6"/>
    <w:rsid w:val="008A6833"/>
    <w:rsid w:val="008A6B1D"/>
    <w:rsid w:val="008A6EA6"/>
    <w:rsid w:val="008A7A0F"/>
    <w:rsid w:val="008B0E60"/>
    <w:rsid w:val="008B0F5C"/>
    <w:rsid w:val="008B0F6F"/>
    <w:rsid w:val="008B2739"/>
    <w:rsid w:val="008B2DF6"/>
    <w:rsid w:val="008B2E01"/>
    <w:rsid w:val="008B36EF"/>
    <w:rsid w:val="008B4E93"/>
    <w:rsid w:val="008B5ABD"/>
    <w:rsid w:val="008B7405"/>
    <w:rsid w:val="008C062B"/>
    <w:rsid w:val="008C0748"/>
    <w:rsid w:val="008C1838"/>
    <w:rsid w:val="008C2756"/>
    <w:rsid w:val="008C2DEF"/>
    <w:rsid w:val="008C32E2"/>
    <w:rsid w:val="008C39D2"/>
    <w:rsid w:val="008C3F49"/>
    <w:rsid w:val="008C49C5"/>
    <w:rsid w:val="008C5568"/>
    <w:rsid w:val="008C5EB7"/>
    <w:rsid w:val="008C638F"/>
    <w:rsid w:val="008C778B"/>
    <w:rsid w:val="008C7D53"/>
    <w:rsid w:val="008D02BB"/>
    <w:rsid w:val="008D03CB"/>
    <w:rsid w:val="008D0C5C"/>
    <w:rsid w:val="008D124E"/>
    <w:rsid w:val="008D1343"/>
    <w:rsid w:val="008D1794"/>
    <w:rsid w:val="008D1DEA"/>
    <w:rsid w:val="008D1E82"/>
    <w:rsid w:val="008D3FC4"/>
    <w:rsid w:val="008D4B9F"/>
    <w:rsid w:val="008D4C21"/>
    <w:rsid w:val="008D5593"/>
    <w:rsid w:val="008D57CC"/>
    <w:rsid w:val="008D64F8"/>
    <w:rsid w:val="008D6A40"/>
    <w:rsid w:val="008D716F"/>
    <w:rsid w:val="008D7671"/>
    <w:rsid w:val="008E0713"/>
    <w:rsid w:val="008E0C4D"/>
    <w:rsid w:val="008E1077"/>
    <w:rsid w:val="008E121C"/>
    <w:rsid w:val="008E12B8"/>
    <w:rsid w:val="008E18CC"/>
    <w:rsid w:val="008E21C3"/>
    <w:rsid w:val="008E3A6C"/>
    <w:rsid w:val="008E43EC"/>
    <w:rsid w:val="008E4FA8"/>
    <w:rsid w:val="008E60DA"/>
    <w:rsid w:val="008E66B3"/>
    <w:rsid w:val="008E66E7"/>
    <w:rsid w:val="008E71BA"/>
    <w:rsid w:val="008E7244"/>
    <w:rsid w:val="008E7ACF"/>
    <w:rsid w:val="008F00DE"/>
    <w:rsid w:val="008F069E"/>
    <w:rsid w:val="008F1AE7"/>
    <w:rsid w:val="008F22D5"/>
    <w:rsid w:val="008F2F2C"/>
    <w:rsid w:val="008F42BE"/>
    <w:rsid w:val="008F43B8"/>
    <w:rsid w:val="008F46B5"/>
    <w:rsid w:val="008F56F0"/>
    <w:rsid w:val="008F5B89"/>
    <w:rsid w:val="008F79CE"/>
    <w:rsid w:val="008F7A21"/>
    <w:rsid w:val="00900AD2"/>
    <w:rsid w:val="00900D88"/>
    <w:rsid w:val="00901390"/>
    <w:rsid w:val="00901563"/>
    <w:rsid w:val="00901EBD"/>
    <w:rsid w:val="00902A09"/>
    <w:rsid w:val="0090353D"/>
    <w:rsid w:val="0090389E"/>
    <w:rsid w:val="009041A6"/>
    <w:rsid w:val="00905037"/>
    <w:rsid w:val="00905730"/>
    <w:rsid w:val="00905EF4"/>
    <w:rsid w:val="0090684D"/>
    <w:rsid w:val="00906A93"/>
    <w:rsid w:val="0090753B"/>
    <w:rsid w:val="009076D7"/>
    <w:rsid w:val="009107B6"/>
    <w:rsid w:val="00911AFF"/>
    <w:rsid w:val="009149D4"/>
    <w:rsid w:val="00914BA8"/>
    <w:rsid w:val="00915195"/>
    <w:rsid w:val="009154F9"/>
    <w:rsid w:val="009165F8"/>
    <w:rsid w:val="00916949"/>
    <w:rsid w:val="00917AAE"/>
    <w:rsid w:val="0092001F"/>
    <w:rsid w:val="00920D79"/>
    <w:rsid w:val="00921AF0"/>
    <w:rsid w:val="00922273"/>
    <w:rsid w:val="009228B5"/>
    <w:rsid w:val="009228EB"/>
    <w:rsid w:val="009258F5"/>
    <w:rsid w:val="00925D6F"/>
    <w:rsid w:val="00926D63"/>
    <w:rsid w:val="00927695"/>
    <w:rsid w:val="0092771E"/>
    <w:rsid w:val="009278C3"/>
    <w:rsid w:val="00930007"/>
    <w:rsid w:val="00930458"/>
    <w:rsid w:val="00930E6B"/>
    <w:rsid w:val="00931220"/>
    <w:rsid w:val="009316E2"/>
    <w:rsid w:val="00931DA4"/>
    <w:rsid w:val="00931F07"/>
    <w:rsid w:val="009322F8"/>
    <w:rsid w:val="00932ACB"/>
    <w:rsid w:val="00932B68"/>
    <w:rsid w:val="00933BF2"/>
    <w:rsid w:val="009358D2"/>
    <w:rsid w:val="009359CE"/>
    <w:rsid w:val="009359D8"/>
    <w:rsid w:val="009361D0"/>
    <w:rsid w:val="0093637C"/>
    <w:rsid w:val="009371F1"/>
    <w:rsid w:val="009372D3"/>
    <w:rsid w:val="0093781F"/>
    <w:rsid w:val="009400A5"/>
    <w:rsid w:val="009402CC"/>
    <w:rsid w:val="009403A6"/>
    <w:rsid w:val="009407A4"/>
    <w:rsid w:val="00940A50"/>
    <w:rsid w:val="00942D56"/>
    <w:rsid w:val="009435F2"/>
    <w:rsid w:val="00943638"/>
    <w:rsid w:val="00943A77"/>
    <w:rsid w:val="00943DA1"/>
    <w:rsid w:val="00943DFD"/>
    <w:rsid w:val="00943EA1"/>
    <w:rsid w:val="00944262"/>
    <w:rsid w:val="009449D8"/>
    <w:rsid w:val="00944AB1"/>
    <w:rsid w:val="0094528D"/>
    <w:rsid w:val="0094697B"/>
    <w:rsid w:val="00946C71"/>
    <w:rsid w:val="00946F3D"/>
    <w:rsid w:val="00950856"/>
    <w:rsid w:val="00950C34"/>
    <w:rsid w:val="009522B2"/>
    <w:rsid w:val="00952495"/>
    <w:rsid w:val="00952729"/>
    <w:rsid w:val="00952B1A"/>
    <w:rsid w:val="00953190"/>
    <w:rsid w:val="009552DC"/>
    <w:rsid w:val="00956064"/>
    <w:rsid w:val="009606D4"/>
    <w:rsid w:val="00961655"/>
    <w:rsid w:val="009616E1"/>
    <w:rsid w:val="0096256F"/>
    <w:rsid w:val="009639BA"/>
    <w:rsid w:val="00963AA8"/>
    <w:rsid w:val="00963B88"/>
    <w:rsid w:val="00964348"/>
    <w:rsid w:val="0096475F"/>
    <w:rsid w:val="00965AE5"/>
    <w:rsid w:val="00966CEE"/>
    <w:rsid w:val="00966E87"/>
    <w:rsid w:val="00966F02"/>
    <w:rsid w:val="00967059"/>
    <w:rsid w:val="009677A7"/>
    <w:rsid w:val="00967CBA"/>
    <w:rsid w:val="0097048B"/>
    <w:rsid w:val="009706D9"/>
    <w:rsid w:val="009719CC"/>
    <w:rsid w:val="00971FA5"/>
    <w:rsid w:val="00972EA5"/>
    <w:rsid w:val="00974E1D"/>
    <w:rsid w:val="009755A5"/>
    <w:rsid w:val="00975922"/>
    <w:rsid w:val="00975E21"/>
    <w:rsid w:val="009762D4"/>
    <w:rsid w:val="00977051"/>
    <w:rsid w:val="0097774B"/>
    <w:rsid w:val="009777E3"/>
    <w:rsid w:val="009801C3"/>
    <w:rsid w:val="009811EB"/>
    <w:rsid w:val="0098191F"/>
    <w:rsid w:val="0098285E"/>
    <w:rsid w:val="00982F8B"/>
    <w:rsid w:val="0098308A"/>
    <w:rsid w:val="0098428A"/>
    <w:rsid w:val="009843DC"/>
    <w:rsid w:val="009844E3"/>
    <w:rsid w:val="00984F2A"/>
    <w:rsid w:val="00985A31"/>
    <w:rsid w:val="009875DC"/>
    <w:rsid w:val="0098761D"/>
    <w:rsid w:val="009877AF"/>
    <w:rsid w:val="00987BF4"/>
    <w:rsid w:val="00990132"/>
    <w:rsid w:val="009902A9"/>
    <w:rsid w:val="0099062F"/>
    <w:rsid w:val="00990B30"/>
    <w:rsid w:val="0099117E"/>
    <w:rsid w:val="009919D3"/>
    <w:rsid w:val="00992690"/>
    <w:rsid w:val="00992A72"/>
    <w:rsid w:val="00992B2A"/>
    <w:rsid w:val="00992F40"/>
    <w:rsid w:val="00994B60"/>
    <w:rsid w:val="00995007"/>
    <w:rsid w:val="009952F7"/>
    <w:rsid w:val="00995FDF"/>
    <w:rsid w:val="009960CE"/>
    <w:rsid w:val="00996FAE"/>
    <w:rsid w:val="009A2A22"/>
    <w:rsid w:val="009A48E2"/>
    <w:rsid w:val="009A5087"/>
    <w:rsid w:val="009A70F7"/>
    <w:rsid w:val="009A72AA"/>
    <w:rsid w:val="009A78F3"/>
    <w:rsid w:val="009B0EE0"/>
    <w:rsid w:val="009B25FA"/>
    <w:rsid w:val="009B3815"/>
    <w:rsid w:val="009B5B29"/>
    <w:rsid w:val="009B68A7"/>
    <w:rsid w:val="009B6B32"/>
    <w:rsid w:val="009B717D"/>
    <w:rsid w:val="009C000A"/>
    <w:rsid w:val="009C0434"/>
    <w:rsid w:val="009C1106"/>
    <w:rsid w:val="009C134A"/>
    <w:rsid w:val="009C474A"/>
    <w:rsid w:val="009C5AB4"/>
    <w:rsid w:val="009C5E03"/>
    <w:rsid w:val="009C6249"/>
    <w:rsid w:val="009C6B97"/>
    <w:rsid w:val="009C7BEF"/>
    <w:rsid w:val="009C7F2C"/>
    <w:rsid w:val="009C7F74"/>
    <w:rsid w:val="009D05FC"/>
    <w:rsid w:val="009D0B92"/>
    <w:rsid w:val="009D0D1E"/>
    <w:rsid w:val="009D2269"/>
    <w:rsid w:val="009D25DB"/>
    <w:rsid w:val="009D2820"/>
    <w:rsid w:val="009D2D27"/>
    <w:rsid w:val="009D2E47"/>
    <w:rsid w:val="009D47E2"/>
    <w:rsid w:val="009D4BD3"/>
    <w:rsid w:val="009D5056"/>
    <w:rsid w:val="009D59A8"/>
    <w:rsid w:val="009D5A0F"/>
    <w:rsid w:val="009D646A"/>
    <w:rsid w:val="009D6626"/>
    <w:rsid w:val="009D6692"/>
    <w:rsid w:val="009D7455"/>
    <w:rsid w:val="009E0858"/>
    <w:rsid w:val="009E131B"/>
    <w:rsid w:val="009E1763"/>
    <w:rsid w:val="009E1834"/>
    <w:rsid w:val="009E1C65"/>
    <w:rsid w:val="009E1FAD"/>
    <w:rsid w:val="009E2D75"/>
    <w:rsid w:val="009E3184"/>
    <w:rsid w:val="009E3F04"/>
    <w:rsid w:val="009E47A1"/>
    <w:rsid w:val="009E4CAD"/>
    <w:rsid w:val="009E4F52"/>
    <w:rsid w:val="009E52C3"/>
    <w:rsid w:val="009E561C"/>
    <w:rsid w:val="009E633A"/>
    <w:rsid w:val="009E7EF7"/>
    <w:rsid w:val="009F00C8"/>
    <w:rsid w:val="009F1A7B"/>
    <w:rsid w:val="009F248C"/>
    <w:rsid w:val="009F365A"/>
    <w:rsid w:val="009F42D6"/>
    <w:rsid w:val="009F4B95"/>
    <w:rsid w:val="009F4E29"/>
    <w:rsid w:val="009F5295"/>
    <w:rsid w:val="009F5F13"/>
    <w:rsid w:val="009F63F6"/>
    <w:rsid w:val="009F6C7F"/>
    <w:rsid w:val="009F7881"/>
    <w:rsid w:val="009F78CE"/>
    <w:rsid w:val="009F7CE1"/>
    <w:rsid w:val="009F7FE8"/>
    <w:rsid w:val="00A01BE2"/>
    <w:rsid w:val="00A027B0"/>
    <w:rsid w:val="00A02B55"/>
    <w:rsid w:val="00A0343A"/>
    <w:rsid w:val="00A03975"/>
    <w:rsid w:val="00A03A7B"/>
    <w:rsid w:val="00A04461"/>
    <w:rsid w:val="00A06038"/>
    <w:rsid w:val="00A06545"/>
    <w:rsid w:val="00A070D9"/>
    <w:rsid w:val="00A07FAB"/>
    <w:rsid w:val="00A11C49"/>
    <w:rsid w:val="00A11C8C"/>
    <w:rsid w:val="00A11CFF"/>
    <w:rsid w:val="00A11D9E"/>
    <w:rsid w:val="00A141CC"/>
    <w:rsid w:val="00A143F6"/>
    <w:rsid w:val="00A1475F"/>
    <w:rsid w:val="00A15256"/>
    <w:rsid w:val="00A15B1A"/>
    <w:rsid w:val="00A15E00"/>
    <w:rsid w:val="00A16D36"/>
    <w:rsid w:val="00A170C2"/>
    <w:rsid w:val="00A20D44"/>
    <w:rsid w:val="00A219DB"/>
    <w:rsid w:val="00A22B5A"/>
    <w:rsid w:val="00A22EDE"/>
    <w:rsid w:val="00A22F21"/>
    <w:rsid w:val="00A247E9"/>
    <w:rsid w:val="00A24BE2"/>
    <w:rsid w:val="00A24C31"/>
    <w:rsid w:val="00A2647F"/>
    <w:rsid w:val="00A277ED"/>
    <w:rsid w:val="00A27A72"/>
    <w:rsid w:val="00A30583"/>
    <w:rsid w:val="00A30EFE"/>
    <w:rsid w:val="00A31A7C"/>
    <w:rsid w:val="00A31AE7"/>
    <w:rsid w:val="00A31BB9"/>
    <w:rsid w:val="00A31C5C"/>
    <w:rsid w:val="00A31F85"/>
    <w:rsid w:val="00A32B9B"/>
    <w:rsid w:val="00A32DF8"/>
    <w:rsid w:val="00A33834"/>
    <w:rsid w:val="00A33FBE"/>
    <w:rsid w:val="00A34576"/>
    <w:rsid w:val="00A35286"/>
    <w:rsid w:val="00A35356"/>
    <w:rsid w:val="00A35ED6"/>
    <w:rsid w:val="00A36B3A"/>
    <w:rsid w:val="00A37446"/>
    <w:rsid w:val="00A37475"/>
    <w:rsid w:val="00A4033A"/>
    <w:rsid w:val="00A40386"/>
    <w:rsid w:val="00A409B3"/>
    <w:rsid w:val="00A413DC"/>
    <w:rsid w:val="00A41783"/>
    <w:rsid w:val="00A42422"/>
    <w:rsid w:val="00A44AB0"/>
    <w:rsid w:val="00A4505A"/>
    <w:rsid w:val="00A455DF"/>
    <w:rsid w:val="00A45C3D"/>
    <w:rsid w:val="00A45C6B"/>
    <w:rsid w:val="00A46311"/>
    <w:rsid w:val="00A5044E"/>
    <w:rsid w:val="00A5067B"/>
    <w:rsid w:val="00A510B1"/>
    <w:rsid w:val="00A511A1"/>
    <w:rsid w:val="00A528B1"/>
    <w:rsid w:val="00A534C9"/>
    <w:rsid w:val="00A534DA"/>
    <w:rsid w:val="00A53A3C"/>
    <w:rsid w:val="00A540AD"/>
    <w:rsid w:val="00A544F5"/>
    <w:rsid w:val="00A546D8"/>
    <w:rsid w:val="00A5471B"/>
    <w:rsid w:val="00A54BDF"/>
    <w:rsid w:val="00A55E2D"/>
    <w:rsid w:val="00A565AE"/>
    <w:rsid w:val="00A57DF8"/>
    <w:rsid w:val="00A60081"/>
    <w:rsid w:val="00A6032A"/>
    <w:rsid w:val="00A612F0"/>
    <w:rsid w:val="00A61B34"/>
    <w:rsid w:val="00A62000"/>
    <w:rsid w:val="00A624E0"/>
    <w:rsid w:val="00A62E73"/>
    <w:rsid w:val="00A64230"/>
    <w:rsid w:val="00A64317"/>
    <w:rsid w:val="00A645ED"/>
    <w:rsid w:val="00A65271"/>
    <w:rsid w:val="00A66552"/>
    <w:rsid w:val="00A66CCA"/>
    <w:rsid w:val="00A6732B"/>
    <w:rsid w:val="00A6736E"/>
    <w:rsid w:val="00A67527"/>
    <w:rsid w:val="00A70448"/>
    <w:rsid w:val="00A71503"/>
    <w:rsid w:val="00A72029"/>
    <w:rsid w:val="00A72BA1"/>
    <w:rsid w:val="00A733EC"/>
    <w:rsid w:val="00A73D9C"/>
    <w:rsid w:val="00A74CB9"/>
    <w:rsid w:val="00A754F9"/>
    <w:rsid w:val="00A75EEE"/>
    <w:rsid w:val="00A765AB"/>
    <w:rsid w:val="00A7698B"/>
    <w:rsid w:val="00A7716A"/>
    <w:rsid w:val="00A7721F"/>
    <w:rsid w:val="00A809DB"/>
    <w:rsid w:val="00A80DA5"/>
    <w:rsid w:val="00A81492"/>
    <w:rsid w:val="00A819E8"/>
    <w:rsid w:val="00A8307B"/>
    <w:rsid w:val="00A832D4"/>
    <w:rsid w:val="00A83C96"/>
    <w:rsid w:val="00A83D14"/>
    <w:rsid w:val="00A83F57"/>
    <w:rsid w:val="00A84482"/>
    <w:rsid w:val="00A85661"/>
    <w:rsid w:val="00A85AB5"/>
    <w:rsid w:val="00A8658F"/>
    <w:rsid w:val="00A907B8"/>
    <w:rsid w:val="00A90E81"/>
    <w:rsid w:val="00A90FFF"/>
    <w:rsid w:val="00A910E6"/>
    <w:rsid w:val="00A91451"/>
    <w:rsid w:val="00A919C2"/>
    <w:rsid w:val="00A924D9"/>
    <w:rsid w:val="00A927D3"/>
    <w:rsid w:val="00A92BF8"/>
    <w:rsid w:val="00A932F6"/>
    <w:rsid w:val="00A93BB1"/>
    <w:rsid w:val="00A93DBE"/>
    <w:rsid w:val="00A94052"/>
    <w:rsid w:val="00A9456D"/>
    <w:rsid w:val="00A975A4"/>
    <w:rsid w:val="00AA01FF"/>
    <w:rsid w:val="00AA0C72"/>
    <w:rsid w:val="00AA0F00"/>
    <w:rsid w:val="00AA0F2D"/>
    <w:rsid w:val="00AA13E1"/>
    <w:rsid w:val="00AA1739"/>
    <w:rsid w:val="00AA27DA"/>
    <w:rsid w:val="00AA47F1"/>
    <w:rsid w:val="00AA4B33"/>
    <w:rsid w:val="00AA6DCD"/>
    <w:rsid w:val="00AA6E05"/>
    <w:rsid w:val="00AA705A"/>
    <w:rsid w:val="00AA7616"/>
    <w:rsid w:val="00AA7BCD"/>
    <w:rsid w:val="00AB017F"/>
    <w:rsid w:val="00AB06A3"/>
    <w:rsid w:val="00AB1550"/>
    <w:rsid w:val="00AB2AC2"/>
    <w:rsid w:val="00AB332B"/>
    <w:rsid w:val="00AB481D"/>
    <w:rsid w:val="00AB4FA6"/>
    <w:rsid w:val="00AB5BF5"/>
    <w:rsid w:val="00AB6522"/>
    <w:rsid w:val="00AB67B0"/>
    <w:rsid w:val="00AB6DAF"/>
    <w:rsid w:val="00AB6DD3"/>
    <w:rsid w:val="00AB736D"/>
    <w:rsid w:val="00AB7E11"/>
    <w:rsid w:val="00AC1E16"/>
    <w:rsid w:val="00AC2798"/>
    <w:rsid w:val="00AC2C60"/>
    <w:rsid w:val="00AC3693"/>
    <w:rsid w:val="00AC3A55"/>
    <w:rsid w:val="00AC4029"/>
    <w:rsid w:val="00AC44D4"/>
    <w:rsid w:val="00AC5978"/>
    <w:rsid w:val="00AC6498"/>
    <w:rsid w:val="00AC69B4"/>
    <w:rsid w:val="00AC7083"/>
    <w:rsid w:val="00AC7247"/>
    <w:rsid w:val="00AC7667"/>
    <w:rsid w:val="00AC7EF6"/>
    <w:rsid w:val="00AD0A7E"/>
    <w:rsid w:val="00AD1549"/>
    <w:rsid w:val="00AD1A1F"/>
    <w:rsid w:val="00AD1BC0"/>
    <w:rsid w:val="00AD3CA6"/>
    <w:rsid w:val="00AD4F7B"/>
    <w:rsid w:val="00AD54A9"/>
    <w:rsid w:val="00AD5681"/>
    <w:rsid w:val="00AD5E31"/>
    <w:rsid w:val="00AD69B9"/>
    <w:rsid w:val="00AE3125"/>
    <w:rsid w:val="00AE3591"/>
    <w:rsid w:val="00AE48AE"/>
    <w:rsid w:val="00AE5030"/>
    <w:rsid w:val="00AE60A4"/>
    <w:rsid w:val="00AE62EB"/>
    <w:rsid w:val="00AE66D0"/>
    <w:rsid w:val="00AE688E"/>
    <w:rsid w:val="00AE77A9"/>
    <w:rsid w:val="00AE7B57"/>
    <w:rsid w:val="00AF03BE"/>
    <w:rsid w:val="00AF04DE"/>
    <w:rsid w:val="00AF0A12"/>
    <w:rsid w:val="00AF12AE"/>
    <w:rsid w:val="00AF166A"/>
    <w:rsid w:val="00AF2C13"/>
    <w:rsid w:val="00AF4A0B"/>
    <w:rsid w:val="00AF54DA"/>
    <w:rsid w:val="00AF5F0A"/>
    <w:rsid w:val="00AF6533"/>
    <w:rsid w:val="00AF6CE0"/>
    <w:rsid w:val="00B00615"/>
    <w:rsid w:val="00B01013"/>
    <w:rsid w:val="00B0149F"/>
    <w:rsid w:val="00B01AB9"/>
    <w:rsid w:val="00B03EDC"/>
    <w:rsid w:val="00B04D18"/>
    <w:rsid w:val="00B05EA2"/>
    <w:rsid w:val="00B07026"/>
    <w:rsid w:val="00B0727A"/>
    <w:rsid w:val="00B0734A"/>
    <w:rsid w:val="00B07863"/>
    <w:rsid w:val="00B07AE0"/>
    <w:rsid w:val="00B101DF"/>
    <w:rsid w:val="00B1191A"/>
    <w:rsid w:val="00B11D84"/>
    <w:rsid w:val="00B12000"/>
    <w:rsid w:val="00B148D4"/>
    <w:rsid w:val="00B15535"/>
    <w:rsid w:val="00B15637"/>
    <w:rsid w:val="00B1586B"/>
    <w:rsid w:val="00B16764"/>
    <w:rsid w:val="00B17B6A"/>
    <w:rsid w:val="00B17C00"/>
    <w:rsid w:val="00B17FAD"/>
    <w:rsid w:val="00B20130"/>
    <w:rsid w:val="00B20AC0"/>
    <w:rsid w:val="00B212C7"/>
    <w:rsid w:val="00B2236B"/>
    <w:rsid w:val="00B229A8"/>
    <w:rsid w:val="00B22CF0"/>
    <w:rsid w:val="00B2367F"/>
    <w:rsid w:val="00B23DDB"/>
    <w:rsid w:val="00B2408D"/>
    <w:rsid w:val="00B2586D"/>
    <w:rsid w:val="00B27ECC"/>
    <w:rsid w:val="00B27F36"/>
    <w:rsid w:val="00B31D67"/>
    <w:rsid w:val="00B31D6A"/>
    <w:rsid w:val="00B32F60"/>
    <w:rsid w:val="00B33217"/>
    <w:rsid w:val="00B33599"/>
    <w:rsid w:val="00B33AD9"/>
    <w:rsid w:val="00B33BA6"/>
    <w:rsid w:val="00B3529A"/>
    <w:rsid w:val="00B35B40"/>
    <w:rsid w:val="00B36279"/>
    <w:rsid w:val="00B3783E"/>
    <w:rsid w:val="00B37B1A"/>
    <w:rsid w:val="00B37D73"/>
    <w:rsid w:val="00B400E2"/>
    <w:rsid w:val="00B4033E"/>
    <w:rsid w:val="00B41560"/>
    <w:rsid w:val="00B416AD"/>
    <w:rsid w:val="00B42AA3"/>
    <w:rsid w:val="00B42B48"/>
    <w:rsid w:val="00B431BB"/>
    <w:rsid w:val="00B43DDA"/>
    <w:rsid w:val="00B44430"/>
    <w:rsid w:val="00B4463F"/>
    <w:rsid w:val="00B44F62"/>
    <w:rsid w:val="00B45D2F"/>
    <w:rsid w:val="00B46634"/>
    <w:rsid w:val="00B466C3"/>
    <w:rsid w:val="00B46994"/>
    <w:rsid w:val="00B46BDC"/>
    <w:rsid w:val="00B46DD8"/>
    <w:rsid w:val="00B4738A"/>
    <w:rsid w:val="00B5080A"/>
    <w:rsid w:val="00B50CB4"/>
    <w:rsid w:val="00B5158F"/>
    <w:rsid w:val="00B51797"/>
    <w:rsid w:val="00B51AD9"/>
    <w:rsid w:val="00B51F30"/>
    <w:rsid w:val="00B520ED"/>
    <w:rsid w:val="00B52913"/>
    <w:rsid w:val="00B52B04"/>
    <w:rsid w:val="00B531D3"/>
    <w:rsid w:val="00B536B1"/>
    <w:rsid w:val="00B54668"/>
    <w:rsid w:val="00B552F7"/>
    <w:rsid w:val="00B55DD9"/>
    <w:rsid w:val="00B56C82"/>
    <w:rsid w:val="00B57F03"/>
    <w:rsid w:val="00B60953"/>
    <w:rsid w:val="00B60C63"/>
    <w:rsid w:val="00B61875"/>
    <w:rsid w:val="00B61B9E"/>
    <w:rsid w:val="00B620E4"/>
    <w:rsid w:val="00B6227A"/>
    <w:rsid w:val="00B624EE"/>
    <w:rsid w:val="00B629C2"/>
    <w:rsid w:val="00B62A1E"/>
    <w:rsid w:val="00B62CE7"/>
    <w:rsid w:val="00B63E00"/>
    <w:rsid w:val="00B645FC"/>
    <w:rsid w:val="00B64F13"/>
    <w:rsid w:val="00B65F19"/>
    <w:rsid w:val="00B66617"/>
    <w:rsid w:val="00B66A65"/>
    <w:rsid w:val="00B6746E"/>
    <w:rsid w:val="00B7038F"/>
    <w:rsid w:val="00B7124C"/>
    <w:rsid w:val="00B7349A"/>
    <w:rsid w:val="00B738AA"/>
    <w:rsid w:val="00B74E46"/>
    <w:rsid w:val="00B754C7"/>
    <w:rsid w:val="00B7680E"/>
    <w:rsid w:val="00B76A48"/>
    <w:rsid w:val="00B76FE4"/>
    <w:rsid w:val="00B77F55"/>
    <w:rsid w:val="00B8009B"/>
    <w:rsid w:val="00B80471"/>
    <w:rsid w:val="00B81CE7"/>
    <w:rsid w:val="00B830EF"/>
    <w:rsid w:val="00B834A8"/>
    <w:rsid w:val="00B83C22"/>
    <w:rsid w:val="00B841A4"/>
    <w:rsid w:val="00B85086"/>
    <w:rsid w:val="00B85249"/>
    <w:rsid w:val="00B8531D"/>
    <w:rsid w:val="00B85B85"/>
    <w:rsid w:val="00B86224"/>
    <w:rsid w:val="00B866E3"/>
    <w:rsid w:val="00B912CA"/>
    <w:rsid w:val="00B91637"/>
    <w:rsid w:val="00B922FB"/>
    <w:rsid w:val="00B92494"/>
    <w:rsid w:val="00B94F1E"/>
    <w:rsid w:val="00B94FE9"/>
    <w:rsid w:val="00B956AC"/>
    <w:rsid w:val="00B95DB8"/>
    <w:rsid w:val="00B95F1F"/>
    <w:rsid w:val="00B96B0A"/>
    <w:rsid w:val="00B972DF"/>
    <w:rsid w:val="00B9736E"/>
    <w:rsid w:val="00B97648"/>
    <w:rsid w:val="00B9766C"/>
    <w:rsid w:val="00B97AFD"/>
    <w:rsid w:val="00B97EF3"/>
    <w:rsid w:val="00BA01F9"/>
    <w:rsid w:val="00BA052B"/>
    <w:rsid w:val="00BA0EC2"/>
    <w:rsid w:val="00BA3227"/>
    <w:rsid w:val="00BA3DCF"/>
    <w:rsid w:val="00BA3F8A"/>
    <w:rsid w:val="00BA45E4"/>
    <w:rsid w:val="00BA4EC8"/>
    <w:rsid w:val="00BA5101"/>
    <w:rsid w:val="00BA524C"/>
    <w:rsid w:val="00BA7B6A"/>
    <w:rsid w:val="00BA7F02"/>
    <w:rsid w:val="00BB2343"/>
    <w:rsid w:val="00BB30A4"/>
    <w:rsid w:val="00BB3947"/>
    <w:rsid w:val="00BB5270"/>
    <w:rsid w:val="00BB5A14"/>
    <w:rsid w:val="00BB5F8D"/>
    <w:rsid w:val="00BB6F63"/>
    <w:rsid w:val="00BB7572"/>
    <w:rsid w:val="00BB78B3"/>
    <w:rsid w:val="00BB792D"/>
    <w:rsid w:val="00BC115C"/>
    <w:rsid w:val="00BC1324"/>
    <w:rsid w:val="00BC178E"/>
    <w:rsid w:val="00BC1875"/>
    <w:rsid w:val="00BC1C24"/>
    <w:rsid w:val="00BC1D7F"/>
    <w:rsid w:val="00BC1DB5"/>
    <w:rsid w:val="00BC245C"/>
    <w:rsid w:val="00BC3F9E"/>
    <w:rsid w:val="00BC4B7D"/>
    <w:rsid w:val="00BC4F01"/>
    <w:rsid w:val="00BC52D5"/>
    <w:rsid w:val="00BC6803"/>
    <w:rsid w:val="00BC6987"/>
    <w:rsid w:val="00BC70D3"/>
    <w:rsid w:val="00BC7B17"/>
    <w:rsid w:val="00BD05F9"/>
    <w:rsid w:val="00BD14DE"/>
    <w:rsid w:val="00BD1725"/>
    <w:rsid w:val="00BD236D"/>
    <w:rsid w:val="00BD2B0F"/>
    <w:rsid w:val="00BD36A3"/>
    <w:rsid w:val="00BD3711"/>
    <w:rsid w:val="00BD39BF"/>
    <w:rsid w:val="00BD40B0"/>
    <w:rsid w:val="00BD6105"/>
    <w:rsid w:val="00BD6131"/>
    <w:rsid w:val="00BD656F"/>
    <w:rsid w:val="00BD690A"/>
    <w:rsid w:val="00BD6DB3"/>
    <w:rsid w:val="00BD78CE"/>
    <w:rsid w:val="00BD7E58"/>
    <w:rsid w:val="00BE0A65"/>
    <w:rsid w:val="00BE1D51"/>
    <w:rsid w:val="00BE2338"/>
    <w:rsid w:val="00BE255B"/>
    <w:rsid w:val="00BE2C06"/>
    <w:rsid w:val="00BE415F"/>
    <w:rsid w:val="00BE4BFE"/>
    <w:rsid w:val="00BE4C7B"/>
    <w:rsid w:val="00BE55EE"/>
    <w:rsid w:val="00BE6999"/>
    <w:rsid w:val="00BE6C24"/>
    <w:rsid w:val="00BE6D86"/>
    <w:rsid w:val="00BE7141"/>
    <w:rsid w:val="00BE7708"/>
    <w:rsid w:val="00BE7D48"/>
    <w:rsid w:val="00BF0F8F"/>
    <w:rsid w:val="00BF19F5"/>
    <w:rsid w:val="00BF1BEC"/>
    <w:rsid w:val="00BF256B"/>
    <w:rsid w:val="00BF28E7"/>
    <w:rsid w:val="00BF2A25"/>
    <w:rsid w:val="00BF2F32"/>
    <w:rsid w:val="00BF3607"/>
    <w:rsid w:val="00BF4531"/>
    <w:rsid w:val="00BF4845"/>
    <w:rsid w:val="00BF6288"/>
    <w:rsid w:val="00BF73F8"/>
    <w:rsid w:val="00BF77E0"/>
    <w:rsid w:val="00C004A1"/>
    <w:rsid w:val="00C00806"/>
    <w:rsid w:val="00C00D74"/>
    <w:rsid w:val="00C00DD1"/>
    <w:rsid w:val="00C014F6"/>
    <w:rsid w:val="00C01804"/>
    <w:rsid w:val="00C021D4"/>
    <w:rsid w:val="00C031CC"/>
    <w:rsid w:val="00C036D9"/>
    <w:rsid w:val="00C03B6E"/>
    <w:rsid w:val="00C0529A"/>
    <w:rsid w:val="00C0551F"/>
    <w:rsid w:val="00C05796"/>
    <w:rsid w:val="00C06588"/>
    <w:rsid w:val="00C07134"/>
    <w:rsid w:val="00C071C1"/>
    <w:rsid w:val="00C078BF"/>
    <w:rsid w:val="00C07EAF"/>
    <w:rsid w:val="00C1072E"/>
    <w:rsid w:val="00C10E4B"/>
    <w:rsid w:val="00C124F3"/>
    <w:rsid w:val="00C136A0"/>
    <w:rsid w:val="00C14D65"/>
    <w:rsid w:val="00C174A2"/>
    <w:rsid w:val="00C17A58"/>
    <w:rsid w:val="00C17D44"/>
    <w:rsid w:val="00C20C39"/>
    <w:rsid w:val="00C20D6C"/>
    <w:rsid w:val="00C20E58"/>
    <w:rsid w:val="00C21516"/>
    <w:rsid w:val="00C22694"/>
    <w:rsid w:val="00C227F7"/>
    <w:rsid w:val="00C238DB"/>
    <w:rsid w:val="00C23A63"/>
    <w:rsid w:val="00C25625"/>
    <w:rsid w:val="00C27C80"/>
    <w:rsid w:val="00C305C6"/>
    <w:rsid w:val="00C30B36"/>
    <w:rsid w:val="00C30BC2"/>
    <w:rsid w:val="00C30E4C"/>
    <w:rsid w:val="00C31F42"/>
    <w:rsid w:val="00C32CEE"/>
    <w:rsid w:val="00C33B0C"/>
    <w:rsid w:val="00C34808"/>
    <w:rsid w:val="00C34BC0"/>
    <w:rsid w:val="00C34EC6"/>
    <w:rsid w:val="00C3523A"/>
    <w:rsid w:val="00C35987"/>
    <w:rsid w:val="00C35F0F"/>
    <w:rsid w:val="00C36790"/>
    <w:rsid w:val="00C37CBB"/>
    <w:rsid w:val="00C37D83"/>
    <w:rsid w:val="00C40188"/>
    <w:rsid w:val="00C40A48"/>
    <w:rsid w:val="00C40F0D"/>
    <w:rsid w:val="00C4171E"/>
    <w:rsid w:val="00C41F87"/>
    <w:rsid w:val="00C4207A"/>
    <w:rsid w:val="00C42F02"/>
    <w:rsid w:val="00C436F5"/>
    <w:rsid w:val="00C44606"/>
    <w:rsid w:val="00C44D32"/>
    <w:rsid w:val="00C44FC1"/>
    <w:rsid w:val="00C45081"/>
    <w:rsid w:val="00C45D8A"/>
    <w:rsid w:val="00C463E3"/>
    <w:rsid w:val="00C46AD7"/>
    <w:rsid w:val="00C477D9"/>
    <w:rsid w:val="00C47C5F"/>
    <w:rsid w:val="00C50C10"/>
    <w:rsid w:val="00C52443"/>
    <w:rsid w:val="00C529C4"/>
    <w:rsid w:val="00C52BAC"/>
    <w:rsid w:val="00C5343A"/>
    <w:rsid w:val="00C538A6"/>
    <w:rsid w:val="00C541F1"/>
    <w:rsid w:val="00C5425B"/>
    <w:rsid w:val="00C550A6"/>
    <w:rsid w:val="00C55522"/>
    <w:rsid w:val="00C56EBA"/>
    <w:rsid w:val="00C57BAB"/>
    <w:rsid w:val="00C57E33"/>
    <w:rsid w:val="00C62BF7"/>
    <w:rsid w:val="00C63055"/>
    <w:rsid w:val="00C63B2F"/>
    <w:rsid w:val="00C6422E"/>
    <w:rsid w:val="00C64379"/>
    <w:rsid w:val="00C64CC8"/>
    <w:rsid w:val="00C64FDC"/>
    <w:rsid w:val="00C653EC"/>
    <w:rsid w:val="00C65512"/>
    <w:rsid w:val="00C656A6"/>
    <w:rsid w:val="00C664F6"/>
    <w:rsid w:val="00C6662C"/>
    <w:rsid w:val="00C672D1"/>
    <w:rsid w:val="00C676B6"/>
    <w:rsid w:val="00C67924"/>
    <w:rsid w:val="00C67DD7"/>
    <w:rsid w:val="00C7083F"/>
    <w:rsid w:val="00C70A7F"/>
    <w:rsid w:val="00C70B13"/>
    <w:rsid w:val="00C71377"/>
    <w:rsid w:val="00C713E2"/>
    <w:rsid w:val="00C71F0A"/>
    <w:rsid w:val="00C7226D"/>
    <w:rsid w:val="00C72772"/>
    <w:rsid w:val="00C746D2"/>
    <w:rsid w:val="00C74E9F"/>
    <w:rsid w:val="00C751D6"/>
    <w:rsid w:val="00C7706F"/>
    <w:rsid w:val="00C7777E"/>
    <w:rsid w:val="00C77816"/>
    <w:rsid w:val="00C77B49"/>
    <w:rsid w:val="00C8047A"/>
    <w:rsid w:val="00C80B0E"/>
    <w:rsid w:val="00C81258"/>
    <w:rsid w:val="00C81CCB"/>
    <w:rsid w:val="00C83435"/>
    <w:rsid w:val="00C8380E"/>
    <w:rsid w:val="00C83E10"/>
    <w:rsid w:val="00C840C8"/>
    <w:rsid w:val="00C84669"/>
    <w:rsid w:val="00C84840"/>
    <w:rsid w:val="00C85542"/>
    <w:rsid w:val="00C85716"/>
    <w:rsid w:val="00C8626A"/>
    <w:rsid w:val="00C870E0"/>
    <w:rsid w:val="00C87861"/>
    <w:rsid w:val="00C906A2"/>
    <w:rsid w:val="00C9092A"/>
    <w:rsid w:val="00C909F3"/>
    <w:rsid w:val="00C90C73"/>
    <w:rsid w:val="00C9155E"/>
    <w:rsid w:val="00C91D9B"/>
    <w:rsid w:val="00C92294"/>
    <w:rsid w:val="00C92940"/>
    <w:rsid w:val="00C931D2"/>
    <w:rsid w:val="00C93939"/>
    <w:rsid w:val="00C93D9A"/>
    <w:rsid w:val="00C93EEF"/>
    <w:rsid w:val="00C946AE"/>
    <w:rsid w:val="00C957DD"/>
    <w:rsid w:val="00C97470"/>
    <w:rsid w:val="00CA0253"/>
    <w:rsid w:val="00CA0451"/>
    <w:rsid w:val="00CA0833"/>
    <w:rsid w:val="00CA105E"/>
    <w:rsid w:val="00CA1363"/>
    <w:rsid w:val="00CA1548"/>
    <w:rsid w:val="00CA3B75"/>
    <w:rsid w:val="00CA3FDD"/>
    <w:rsid w:val="00CA445B"/>
    <w:rsid w:val="00CA4A6C"/>
    <w:rsid w:val="00CA517A"/>
    <w:rsid w:val="00CA5C2C"/>
    <w:rsid w:val="00CA6328"/>
    <w:rsid w:val="00CA696C"/>
    <w:rsid w:val="00CA7B36"/>
    <w:rsid w:val="00CB0DAC"/>
    <w:rsid w:val="00CB1D04"/>
    <w:rsid w:val="00CB2074"/>
    <w:rsid w:val="00CB24C0"/>
    <w:rsid w:val="00CB2E6A"/>
    <w:rsid w:val="00CB3B97"/>
    <w:rsid w:val="00CB450F"/>
    <w:rsid w:val="00CB5D00"/>
    <w:rsid w:val="00CB5F31"/>
    <w:rsid w:val="00CB71A7"/>
    <w:rsid w:val="00CB7382"/>
    <w:rsid w:val="00CB77A0"/>
    <w:rsid w:val="00CC00E4"/>
    <w:rsid w:val="00CC12F6"/>
    <w:rsid w:val="00CC146C"/>
    <w:rsid w:val="00CC1601"/>
    <w:rsid w:val="00CC1943"/>
    <w:rsid w:val="00CC19A6"/>
    <w:rsid w:val="00CC2EF9"/>
    <w:rsid w:val="00CC2FE9"/>
    <w:rsid w:val="00CC39D5"/>
    <w:rsid w:val="00CC3D25"/>
    <w:rsid w:val="00CC41DD"/>
    <w:rsid w:val="00CC49DC"/>
    <w:rsid w:val="00CC7584"/>
    <w:rsid w:val="00CC7ABF"/>
    <w:rsid w:val="00CD06C2"/>
    <w:rsid w:val="00CD1547"/>
    <w:rsid w:val="00CD25A3"/>
    <w:rsid w:val="00CD2A9F"/>
    <w:rsid w:val="00CD4BB0"/>
    <w:rsid w:val="00CD61CE"/>
    <w:rsid w:val="00CD66E8"/>
    <w:rsid w:val="00CD6C21"/>
    <w:rsid w:val="00CE11D5"/>
    <w:rsid w:val="00CE1CA7"/>
    <w:rsid w:val="00CE2946"/>
    <w:rsid w:val="00CE33FB"/>
    <w:rsid w:val="00CE4019"/>
    <w:rsid w:val="00CE4A01"/>
    <w:rsid w:val="00CE4A4F"/>
    <w:rsid w:val="00CE5017"/>
    <w:rsid w:val="00CE51D5"/>
    <w:rsid w:val="00CE64C9"/>
    <w:rsid w:val="00CE6C97"/>
    <w:rsid w:val="00CF006C"/>
    <w:rsid w:val="00CF14B1"/>
    <w:rsid w:val="00CF1634"/>
    <w:rsid w:val="00CF16B9"/>
    <w:rsid w:val="00CF1A2B"/>
    <w:rsid w:val="00CF206D"/>
    <w:rsid w:val="00CF23B2"/>
    <w:rsid w:val="00CF2597"/>
    <w:rsid w:val="00CF297B"/>
    <w:rsid w:val="00CF2BB2"/>
    <w:rsid w:val="00CF4152"/>
    <w:rsid w:val="00CF50B7"/>
    <w:rsid w:val="00D00229"/>
    <w:rsid w:val="00D00ADE"/>
    <w:rsid w:val="00D012B7"/>
    <w:rsid w:val="00D020B4"/>
    <w:rsid w:val="00D02C46"/>
    <w:rsid w:val="00D02E04"/>
    <w:rsid w:val="00D0392D"/>
    <w:rsid w:val="00D04D50"/>
    <w:rsid w:val="00D04DD2"/>
    <w:rsid w:val="00D04E18"/>
    <w:rsid w:val="00D06A5A"/>
    <w:rsid w:val="00D078AF"/>
    <w:rsid w:val="00D10ADF"/>
    <w:rsid w:val="00D113E9"/>
    <w:rsid w:val="00D11F8C"/>
    <w:rsid w:val="00D14070"/>
    <w:rsid w:val="00D145AA"/>
    <w:rsid w:val="00D14C1A"/>
    <w:rsid w:val="00D14C8B"/>
    <w:rsid w:val="00D14E30"/>
    <w:rsid w:val="00D15F36"/>
    <w:rsid w:val="00D16EFA"/>
    <w:rsid w:val="00D172A7"/>
    <w:rsid w:val="00D17321"/>
    <w:rsid w:val="00D2134F"/>
    <w:rsid w:val="00D21B35"/>
    <w:rsid w:val="00D21F88"/>
    <w:rsid w:val="00D2256B"/>
    <w:rsid w:val="00D235B8"/>
    <w:rsid w:val="00D24F78"/>
    <w:rsid w:val="00D25531"/>
    <w:rsid w:val="00D25C06"/>
    <w:rsid w:val="00D2602D"/>
    <w:rsid w:val="00D261D0"/>
    <w:rsid w:val="00D267D2"/>
    <w:rsid w:val="00D267F8"/>
    <w:rsid w:val="00D26D3F"/>
    <w:rsid w:val="00D27471"/>
    <w:rsid w:val="00D27E52"/>
    <w:rsid w:val="00D30354"/>
    <w:rsid w:val="00D3165C"/>
    <w:rsid w:val="00D31831"/>
    <w:rsid w:val="00D3198D"/>
    <w:rsid w:val="00D32310"/>
    <w:rsid w:val="00D3288F"/>
    <w:rsid w:val="00D32C7A"/>
    <w:rsid w:val="00D335AC"/>
    <w:rsid w:val="00D342CD"/>
    <w:rsid w:val="00D34322"/>
    <w:rsid w:val="00D34FF2"/>
    <w:rsid w:val="00D35926"/>
    <w:rsid w:val="00D36793"/>
    <w:rsid w:val="00D36D4E"/>
    <w:rsid w:val="00D40756"/>
    <w:rsid w:val="00D409B1"/>
    <w:rsid w:val="00D44AE1"/>
    <w:rsid w:val="00D45A0A"/>
    <w:rsid w:val="00D4756D"/>
    <w:rsid w:val="00D47D61"/>
    <w:rsid w:val="00D47FBA"/>
    <w:rsid w:val="00D5023C"/>
    <w:rsid w:val="00D50E0A"/>
    <w:rsid w:val="00D5174B"/>
    <w:rsid w:val="00D518F9"/>
    <w:rsid w:val="00D52695"/>
    <w:rsid w:val="00D52A34"/>
    <w:rsid w:val="00D54655"/>
    <w:rsid w:val="00D54B11"/>
    <w:rsid w:val="00D54D25"/>
    <w:rsid w:val="00D56DAA"/>
    <w:rsid w:val="00D56E4D"/>
    <w:rsid w:val="00D600F6"/>
    <w:rsid w:val="00D62182"/>
    <w:rsid w:val="00D6341B"/>
    <w:rsid w:val="00D634B5"/>
    <w:rsid w:val="00D636B5"/>
    <w:rsid w:val="00D64841"/>
    <w:rsid w:val="00D667C6"/>
    <w:rsid w:val="00D667CE"/>
    <w:rsid w:val="00D66C8A"/>
    <w:rsid w:val="00D67E9A"/>
    <w:rsid w:val="00D719F4"/>
    <w:rsid w:val="00D73222"/>
    <w:rsid w:val="00D73DC3"/>
    <w:rsid w:val="00D740AE"/>
    <w:rsid w:val="00D74400"/>
    <w:rsid w:val="00D74947"/>
    <w:rsid w:val="00D76825"/>
    <w:rsid w:val="00D769AE"/>
    <w:rsid w:val="00D81194"/>
    <w:rsid w:val="00D81B6F"/>
    <w:rsid w:val="00D8233D"/>
    <w:rsid w:val="00D84634"/>
    <w:rsid w:val="00D84DCF"/>
    <w:rsid w:val="00D85B10"/>
    <w:rsid w:val="00D865BD"/>
    <w:rsid w:val="00D87A11"/>
    <w:rsid w:val="00D900FF"/>
    <w:rsid w:val="00D927EB"/>
    <w:rsid w:val="00D9295E"/>
    <w:rsid w:val="00D92E04"/>
    <w:rsid w:val="00D93B72"/>
    <w:rsid w:val="00D93C20"/>
    <w:rsid w:val="00D95BBF"/>
    <w:rsid w:val="00D96ADF"/>
    <w:rsid w:val="00D971E9"/>
    <w:rsid w:val="00D97A8E"/>
    <w:rsid w:val="00DA04DB"/>
    <w:rsid w:val="00DA10D5"/>
    <w:rsid w:val="00DA1531"/>
    <w:rsid w:val="00DA2829"/>
    <w:rsid w:val="00DA2AEF"/>
    <w:rsid w:val="00DA33EE"/>
    <w:rsid w:val="00DA377D"/>
    <w:rsid w:val="00DA427D"/>
    <w:rsid w:val="00DA6584"/>
    <w:rsid w:val="00DA6DD6"/>
    <w:rsid w:val="00DA6E3D"/>
    <w:rsid w:val="00DB080E"/>
    <w:rsid w:val="00DB09AC"/>
    <w:rsid w:val="00DB0B96"/>
    <w:rsid w:val="00DB0EA0"/>
    <w:rsid w:val="00DB1410"/>
    <w:rsid w:val="00DB1C2B"/>
    <w:rsid w:val="00DB1DE4"/>
    <w:rsid w:val="00DB2E64"/>
    <w:rsid w:val="00DB3BE2"/>
    <w:rsid w:val="00DB3BEF"/>
    <w:rsid w:val="00DB5B62"/>
    <w:rsid w:val="00DB5BE3"/>
    <w:rsid w:val="00DB7D08"/>
    <w:rsid w:val="00DC182C"/>
    <w:rsid w:val="00DC1BBA"/>
    <w:rsid w:val="00DC2767"/>
    <w:rsid w:val="00DC5818"/>
    <w:rsid w:val="00DC5B8B"/>
    <w:rsid w:val="00DC67F2"/>
    <w:rsid w:val="00DC6CBA"/>
    <w:rsid w:val="00DC6E44"/>
    <w:rsid w:val="00DC7A31"/>
    <w:rsid w:val="00DD08E0"/>
    <w:rsid w:val="00DD0A53"/>
    <w:rsid w:val="00DD1F75"/>
    <w:rsid w:val="00DD235F"/>
    <w:rsid w:val="00DD243B"/>
    <w:rsid w:val="00DD2803"/>
    <w:rsid w:val="00DD571D"/>
    <w:rsid w:val="00DD5D2E"/>
    <w:rsid w:val="00DD7E03"/>
    <w:rsid w:val="00DE00EB"/>
    <w:rsid w:val="00DE2344"/>
    <w:rsid w:val="00DE47E7"/>
    <w:rsid w:val="00DE4A6B"/>
    <w:rsid w:val="00DE632A"/>
    <w:rsid w:val="00DE7AF9"/>
    <w:rsid w:val="00DE7D8B"/>
    <w:rsid w:val="00DF055C"/>
    <w:rsid w:val="00DF0C0C"/>
    <w:rsid w:val="00DF101B"/>
    <w:rsid w:val="00DF1444"/>
    <w:rsid w:val="00DF15BD"/>
    <w:rsid w:val="00DF2725"/>
    <w:rsid w:val="00DF29B1"/>
    <w:rsid w:val="00DF2B52"/>
    <w:rsid w:val="00DF3E30"/>
    <w:rsid w:val="00DF432F"/>
    <w:rsid w:val="00DF47E8"/>
    <w:rsid w:val="00DF4A11"/>
    <w:rsid w:val="00DF66F8"/>
    <w:rsid w:val="00DF67C4"/>
    <w:rsid w:val="00E004AD"/>
    <w:rsid w:val="00E015F1"/>
    <w:rsid w:val="00E02327"/>
    <w:rsid w:val="00E026ED"/>
    <w:rsid w:val="00E0287D"/>
    <w:rsid w:val="00E029C9"/>
    <w:rsid w:val="00E043B1"/>
    <w:rsid w:val="00E05BF3"/>
    <w:rsid w:val="00E06902"/>
    <w:rsid w:val="00E06A8B"/>
    <w:rsid w:val="00E10019"/>
    <w:rsid w:val="00E1071A"/>
    <w:rsid w:val="00E116AB"/>
    <w:rsid w:val="00E126DD"/>
    <w:rsid w:val="00E12826"/>
    <w:rsid w:val="00E129AB"/>
    <w:rsid w:val="00E14480"/>
    <w:rsid w:val="00E14D8A"/>
    <w:rsid w:val="00E1537A"/>
    <w:rsid w:val="00E15537"/>
    <w:rsid w:val="00E16AE5"/>
    <w:rsid w:val="00E16D54"/>
    <w:rsid w:val="00E206A1"/>
    <w:rsid w:val="00E2084F"/>
    <w:rsid w:val="00E20AE3"/>
    <w:rsid w:val="00E211EF"/>
    <w:rsid w:val="00E2125D"/>
    <w:rsid w:val="00E229B1"/>
    <w:rsid w:val="00E23E20"/>
    <w:rsid w:val="00E24B7B"/>
    <w:rsid w:val="00E25992"/>
    <w:rsid w:val="00E26F8E"/>
    <w:rsid w:val="00E27A80"/>
    <w:rsid w:val="00E27EB3"/>
    <w:rsid w:val="00E30F7B"/>
    <w:rsid w:val="00E313B9"/>
    <w:rsid w:val="00E32334"/>
    <w:rsid w:val="00E3356C"/>
    <w:rsid w:val="00E3384A"/>
    <w:rsid w:val="00E33D45"/>
    <w:rsid w:val="00E33DC0"/>
    <w:rsid w:val="00E34AD6"/>
    <w:rsid w:val="00E35449"/>
    <w:rsid w:val="00E35D6C"/>
    <w:rsid w:val="00E37761"/>
    <w:rsid w:val="00E379F8"/>
    <w:rsid w:val="00E37C2A"/>
    <w:rsid w:val="00E37FA9"/>
    <w:rsid w:val="00E40254"/>
    <w:rsid w:val="00E40D83"/>
    <w:rsid w:val="00E4134F"/>
    <w:rsid w:val="00E423CB"/>
    <w:rsid w:val="00E43151"/>
    <w:rsid w:val="00E4318F"/>
    <w:rsid w:val="00E43EBA"/>
    <w:rsid w:val="00E4469E"/>
    <w:rsid w:val="00E44A6E"/>
    <w:rsid w:val="00E4518C"/>
    <w:rsid w:val="00E456B0"/>
    <w:rsid w:val="00E457AE"/>
    <w:rsid w:val="00E45B42"/>
    <w:rsid w:val="00E45D53"/>
    <w:rsid w:val="00E46034"/>
    <w:rsid w:val="00E46D6E"/>
    <w:rsid w:val="00E46D9B"/>
    <w:rsid w:val="00E4700F"/>
    <w:rsid w:val="00E5017F"/>
    <w:rsid w:val="00E504F3"/>
    <w:rsid w:val="00E50A05"/>
    <w:rsid w:val="00E51D0D"/>
    <w:rsid w:val="00E5263E"/>
    <w:rsid w:val="00E52725"/>
    <w:rsid w:val="00E52973"/>
    <w:rsid w:val="00E54803"/>
    <w:rsid w:val="00E54CDA"/>
    <w:rsid w:val="00E54D0B"/>
    <w:rsid w:val="00E550D3"/>
    <w:rsid w:val="00E56648"/>
    <w:rsid w:val="00E56C5F"/>
    <w:rsid w:val="00E5742B"/>
    <w:rsid w:val="00E57988"/>
    <w:rsid w:val="00E608A3"/>
    <w:rsid w:val="00E60A39"/>
    <w:rsid w:val="00E60D01"/>
    <w:rsid w:val="00E624FF"/>
    <w:rsid w:val="00E625D4"/>
    <w:rsid w:val="00E6305E"/>
    <w:rsid w:val="00E63129"/>
    <w:rsid w:val="00E63CB9"/>
    <w:rsid w:val="00E64E03"/>
    <w:rsid w:val="00E65F83"/>
    <w:rsid w:val="00E669F2"/>
    <w:rsid w:val="00E67047"/>
    <w:rsid w:val="00E670F1"/>
    <w:rsid w:val="00E673DC"/>
    <w:rsid w:val="00E67E65"/>
    <w:rsid w:val="00E70FC8"/>
    <w:rsid w:val="00E71002"/>
    <w:rsid w:val="00E7265A"/>
    <w:rsid w:val="00E72C01"/>
    <w:rsid w:val="00E73402"/>
    <w:rsid w:val="00E74D06"/>
    <w:rsid w:val="00E750A2"/>
    <w:rsid w:val="00E75174"/>
    <w:rsid w:val="00E75210"/>
    <w:rsid w:val="00E75740"/>
    <w:rsid w:val="00E75D7A"/>
    <w:rsid w:val="00E7628B"/>
    <w:rsid w:val="00E80007"/>
    <w:rsid w:val="00E8046E"/>
    <w:rsid w:val="00E808C4"/>
    <w:rsid w:val="00E81A03"/>
    <w:rsid w:val="00E81B20"/>
    <w:rsid w:val="00E82000"/>
    <w:rsid w:val="00E82239"/>
    <w:rsid w:val="00E82531"/>
    <w:rsid w:val="00E825A9"/>
    <w:rsid w:val="00E82D1F"/>
    <w:rsid w:val="00E834B5"/>
    <w:rsid w:val="00E834E8"/>
    <w:rsid w:val="00E837FB"/>
    <w:rsid w:val="00E84107"/>
    <w:rsid w:val="00E8466B"/>
    <w:rsid w:val="00E84F09"/>
    <w:rsid w:val="00E8578F"/>
    <w:rsid w:val="00E858BE"/>
    <w:rsid w:val="00E85A6F"/>
    <w:rsid w:val="00E85E34"/>
    <w:rsid w:val="00E86EE3"/>
    <w:rsid w:val="00E87212"/>
    <w:rsid w:val="00E8774E"/>
    <w:rsid w:val="00E87DB0"/>
    <w:rsid w:val="00E87E59"/>
    <w:rsid w:val="00E91A76"/>
    <w:rsid w:val="00E9223A"/>
    <w:rsid w:val="00E92643"/>
    <w:rsid w:val="00E9302C"/>
    <w:rsid w:val="00E93116"/>
    <w:rsid w:val="00E93392"/>
    <w:rsid w:val="00E93A50"/>
    <w:rsid w:val="00E94088"/>
    <w:rsid w:val="00E9418E"/>
    <w:rsid w:val="00E948B4"/>
    <w:rsid w:val="00E94A45"/>
    <w:rsid w:val="00E9644A"/>
    <w:rsid w:val="00E96538"/>
    <w:rsid w:val="00E967D9"/>
    <w:rsid w:val="00E968AA"/>
    <w:rsid w:val="00E96A05"/>
    <w:rsid w:val="00E976A6"/>
    <w:rsid w:val="00EA0AF4"/>
    <w:rsid w:val="00EA2B58"/>
    <w:rsid w:val="00EA2C47"/>
    <w:rsid w:val="00EA31EC"/>
    <w:rsid w:val="00EA4C8F"/>
    <w:rsid w:val="00EA5238"/>
    <w:rsid w:val="00EA5ABE"/>
    <w:rsid w:val="00EA5F21"/>
    <w:rsid w:val="00EA6AA7"/>
    <w:rsid w:val="00EB09B1"/>
    <w:rsid w:val="00EB18EC"/>
    <w:rsid w:val="00EB2697"/>
    <w:rsid w:val="00EB31B7"/>
    <w:rsid w:val="00EB48FC"/>
    <w:rsid w:val="00EB5827"/>
    <w:rsid w:val="00EB5D81"/>
    <w:rsid w:val="00EB60DE"/>
    <w:rsid w:val="00EB7DA0"/>
    <w:rsid w:val="00EC1496"/>
    <w:rsid w:val="00EC1F0E"/>
    <w:rsid w:val="00EC20CB"/>
    <w:rsid w:val="00EC323E"/>
    <w:rsid w:val="00EC395D"/>
    <w:rsid w:val="00EC4535"/>
    <w:rsid w:val="00EC5EF3"/>
    <w:rsid w:val="00EC60C2"/>
    <w:rsid w:val="00EC755C"/>
    <w:rsid w:val="00ED2D15"/>
    <w:rsid w:val="00ED2D92"/>
    <w:rsid w:val="00ED38FE"/>
    <w:rsid w:val="00ED3917"/>
    <w:rsid w:val="00ED3CDE"/>
    <w:rsid w:val="00ED43C6"/>
    <w:rsid w:val="00ED4796"/>
    <w:rsid w:val="00ED4C6F"/>
    <w:rsid w:val="00ED4DCA"/>
    <w:rsid w:val="00ED513F"/>
    <w:rsid w:val="00ED552A"/>
    <w:rsid w:val="00ED5A42"/>
    <w:rsid w:val="00ED5D69"/>
    <w:rsid w:val="00ED5DD1"/>
    <w:rsid w:val="00ED79CF"/>
    <w:rsid w:val="00EE0395"/>
    <w:rsid w:val="00EE13FD"/>
    <w:rsid w:val="00EE1BA9"/>
    <w:rsid w:val="00EE2A05"/>
    <w:rsid w:val="00EE2FD0"/>
    <w:rsid w:val="00EE3094"/>
    <w:rsid w:val="00EE3124"/>
    <w:rsid w:val="00EE3E85"/>
    <w:rsid w:val="00EE62CC"/>
    <w:rsid w:val="00EE71FC"/>
    <w:rsid w:val="00EE73E9"/>
    <w:rsid w:val="00EE7BB7"/>
    <w:rsid w:val="00EF01C3"/>
    <w:rsid w:val="00EF07AF"/>
    <w:rsid w:val="00EF0A90"/>
    <w:rsid w:val="00EF181A"/>
    <w:rsid w:val="00EF1A43"/>
    <w:rsid w:val="00EF24D1"/>
    <w:rsid w:val="00EF35EB"/>
    <w:rsid w:val="00EF46D1"/>
    <w:rsid w:val="00EF4EBF"/>
    <w:rsid w:val="00EF4ECD"/>
    <w:rsid w:val="00EF4F0F"/>
    <w:rsid w:val="00EF5289"/>
    <w:rsid w:val="00EF5832"/>
    <w:rsid w:val="00EF5951"/>
    <w:rsid w:val="00F00040"/>
    <w:rsid w:val="00F0033E"/>
    <w:rsid w:val="00F0127D"/>
    <w:rsid w:val="00F01FBD"/>
    <w:rsid w:val="00F02E62"/>
    <w:rsid w:val="00F044E8"/>
    <w:rsid w:val="00F04919"/>
    <w:rsid w:val="00F04E4C"/>
    <w:rsid w:val="00F057FF"/>
    <w:rsid w:val="00F05BC0"/>
    <w:rsid w:val="00F05CFD"/>
    <w:rsid w:val="00F06690"/>
    <w:rsid w:val="00F06832"/>
    <w:rsid w:val="00F06FDF"/>
    <w:rsid w:val="00F10E0F"/>
    <w:rsid w:val="00F11254"/>
    <w:rsid w:val="00F12220"/>
    <w:rsid w:val="00F123F9"/>
    <w:rsid w:val="00F124D6"/>
    <w:rsid w:val="00F12610"/>
    <w:rsid w:val="00F129E0"/>
    <w:rsid w:val="00F13166"/>
    <w:rsid w:val="00F1380E"/>
    <w:rsid w:val="00F14599"/>
    <w:rsid w:val="00F15576"/>
    <w:rsid w:val="00F1583F"/>
    <w:rsid w:val="00F15F38"/>
    <w:rsid w:val="00F15F4B"/>
    <w:rsid w:val="00F168DF"/>
    <w:rsid w:val="00F169BD"/>
    <w:rsid w:val="00F178E6"/>
    <w:rsid w:val="00F2053F"/>
    <w:rsid w:val="00F21715"/>
    <w:rsid w:val="00F242F3"/>
    <w:rsid w:val="00F2468C"/>
    <w:rsid w:val="00F249B3"/>
    <w:rsid w:val="00F255A8"/>
    <w:rsid w:val="00F25D4A"/>
    <w:rsid w:val="00F27DB1"/>
    <w:rsid w:val="00F30B58"/>
    <w:rsid w:val="00F32729"/>
    <w:rsid w:val="00F32847"/>
    <w:rsid w:val="00F32A0D"/>
    <w:rsid w:val="00F32DB0"/>
    <w:rsid w:val="00F3373C"/>
    <w:rsid w:val="00F33B26"/>
    <w:rsid w:val="00F33ECE"/>
    <w:rsid w:val="00F35427"/>
    <w:rsid w:val="00F40551"/>
    <w:rsid w:val="00F411ED"/>
    <w:rsid w:val="00F4294D"/>
    <w:rsid w:val="00F43074"/>
    <w:rsid w:val="00F437E8"/>
    <w:rsid w:val="00F43D1F"/>
    <w:rsid w:val="00F443A3"/>
    <w:rsid w:val="00F444AC"/>
    <w:rsid w:val="00F459CB"/>
    <w:rsid w:val="00F46253"/>
    <w:rsid w:val="00F466A6"/>
    <w:rsid w:val="00F46B61"/>
    <w:rsid w:val="00F501A1"/>
    <w:rsid w:val="00F51F64"/>
    <w:rsid w:val="00F538A7"/>
    <w:rsid w:val="00F53F05"/>
    <w:rsid w:val="00F5416D"/>
    <w:rsid w:val="00F5494D"/>
    <w:rsid w:val="00F55FF2"/>
    <w:rsid w:val="00F5729C"/>
    <w:rsid w:val="00F616A5"/>
    <w:rsid w:val="00F61D3D"/>
    <w:rsid w:val="00F62FF1"/>
    <w:rsid w:val="00F6304E"/>
    <w:rsid w:val="00F636BD"/>
    <w:rsid w:val="00F63E46"/>
    <w:rsid w:val="00F63F5C"/>
    <w:rsid w:val="00F64B68"/>
    <w:rsid w:val="00F6565F"/>
    <w:rsid w:val="00F66786"/>
    <w:rsid w:val="00F67012"/>
    <w:rsid w:val="00F678EC"/>
    <w:rsid w:val="00F67948"/>
    <w:rsid w:val="00F67A7C"/>
    <w:rsid w:val="00F67EF4"/>
    <w:rsid w:val="00F7084D"/>
    <w:rsid w:val="00F710CE"/>
    <w:rsid w:val="00F71239"/>
    <w:rsid w:val="00F7254C"/>
    <w:rsid w:val="00F728EE"/>
    <w:rsid w:val="00F7302C"/>
    <w:rsid w:val="00F735CD"/>
    <w:rsid w:val="00F73E9A"/>
    <w:rsid w:val="00F743D6"/>
    <w:rsid w:val="00F7535A"/>
    <w:rsid w:val="00F76F31"/>
    <w:rsid w:val="00F80528"/>
    <w:rsid w:val="00F807BD"/>
    <w:rsid w:val="00F81748"/>
    <w:rsid w:val="00F817BB"/>
    <w:rsid w:val="00F82DAE"/>
    <w:rsid w:val="00F832FD"/>
    <w:rsid w:val="00F8353D"/>
    <w:rsid w:val="00F83838"/>
    <w:rsid w:val="00F841DA"/>
    <w:rsid w:val="00F84BA9"/>
    <w:rsid w:val="00F852FB"/>
    <w:rsid w:val="00F85969"/>
    <w:rsid w:val="00F85AB0"/>
    <w:rsid w:val="00F85C5B"/>
    <w:rsid w:val="00F86F85"/>
    <w:rsid w:val="00F86FA5"/>
    <w:rsid w:val="00F87F58"/>
    <w:rsid w:val="00F915A0"/>
    <w:rsid w:val="00F91E1A"/>
    <w:rsid w:val="00F91E75"/>
    <w:rsid w:val="00F92204"/>
    <w:rsid w:val="00F92CE2"/>
    <w:rsid w:val="00F930CB"/>
    <w:rsid w:val="00F9317B"/>
    <w:rsid w:val="00F9391D"/>
    <w:rsid w:val="00F95802"/>
    <w:rsid w:val="00F95AE3"/>
    <w:rsid w:val="00F96032"/>
    <w:rsid w:val="00F9620A"/>
    <w:rsid w:val="00F962CA"/>
    <w:rsid w:val="00F96AD5"/>
    <w:rsid w:val="00F96B50"/>
    <w:rsid w:val="00F97B1C"/>
    <w:rsid w:val="00FA01BE"/>
    <w:rsid w:val="00FA06EA"/>
    <w:rsid w:val="00FA0D46"/>
    <w:rsid w:val="00FA0E74"/>
    <w:rsid w:val="00FA178A"/>
    <w:rsid w:val="00FA1E35"/>
    <w:rsid w:val="00FA256E"/>
    <w:rsid w:val="00FA2BE5"/>
    <w:rsid w:val="00FA2FE1"/>
    <w:rsid w:val="00FA3698"/>
    <w:rsid w:val="00FA41E2"/>
    <w:rsid w:val="00FA4915"/>
    <w:rsid w:val="00FA4C65"/>
    <w:rsid w:val="00FA5629"/>
    <w:rsid w:val="00FA5697"/>
    <w:rsid w:val="00FA5933"/>
    <w:rsid w:val="00FA5EDB"/>
    <w:rsid w:val="00FA696D"/>
    <w:rsid w:val="00FA6E60"/>
    <w:rsid w:val="00FA77A0"/>
    <w:rsid w:val="00FA7CF6"/>
    <w:rsid w:val="00FB17E9"/>
    <w:rsid w:val="00FB1936"/>
    <w:rsid w:val="00FB2400"/>
    <w:rsid w:val="00FB2510"/>
    <w:rsid w:val="00FB2C29"/>
    <w:rsid w:val="00FB432F"/>
    <w:rsid w:val="00FB4857"/>
    <w:rsid w:val="00FB4B97"/>
    <w:rsid w:val="00FB4BEE"/>
    <w:rsid w:val="00FB4DE2"/>
    <w:rsid w:val="00FB790A"/>
    <w:rsid w:val="00FC0118"/>
    <w:rsid w:val="00FC29B4"/>
    <w:rsid w:val="00FC2CA3"/>
    <w:rsid w:val="00FC3266"/>
    <w:rsid w:val="00FC38C0"/>
    <w:rsid w:val="00FC3ED0"/>
    <w:rsid w:val="00FC51CC"/>
    <w:rsid w:val="00FC56AB"/>
    <w:rsid w:val="00FC62E5"/>
    <w:rsid w:val="00FD0749"/>
    <w:rsid w:val="00FD09F7"/>
    <w:rsid w:val="00FD1CFB"/>
    <w:rsid w:val="00FD21F0"/>
    <w:rsid w:val="00FD27CB"/>
    <w:rsid w:val="00FD2DCD"/>
    <w:rsid w:val="00FD3078"/>
    <w:rsid w:val="00FD3588"/>
    <w:rsid w:val="00FD3670"/>
    <w:rsid w:val="00FD3B81"/>
    <w:rsid w:val="00FD496E"/>
    <w:rsid w:val="00FD4F8D"/>
    <w:rsid w:val="00FD5155"/>
    <w:rsid w:val="00FD5592"/>
    <w:rsid w:val="00FD5BEA"/>
    <w:rsid w:val="00FD5BF4"/>
    <w:rsid w:val="00FD5C7F"/>
    <w:rsid w:val="00FD6913"/>
    <w:rsid w:val="00FD7557"/>
    <w:rsid w:val="00FE0004"/>
    <w:rsid w:val="00FE031E"/>
    <w:rsid w:val="00FE03C7"/>
    <w:rsid w:val="00FE0B9F"/>
    <w:rsid w:val="00FE194B"/>
    <w:rsid w:val="00FE2469"/>
    <w:rsid w:val="00FE25C1"/>
    <w:rsid w:val="00FE3838"/>
    <w:rsid w:val="00FE4728"/>
    <w:rsid w:val="00FE5EF4"/>
    <w:rsid w:val="00FE68BF"/>
    <w:rsid w:val="00FE6A54"/>
    <w:rsid w:val="00FE73A3"/>
    <w:rsid w:val="00FE77F3"/>
    <w:rsid w:val="00FF121E"/>
    <w:rsid w:val="00FF167F"/>
    <w:rsid w:val="00FF190E"/>
    <w:rsid w:val="00FF1FB9"/>
    <w:rsid w:val="00FF23CB"/>
    <w:rsid w:val="00FF2B5E"/>
    <w:rsid w:val="00FF2E0D"/>
    <w:rsid w:val="00FF2E89"/>
    <w:rsid w:val="00FF32A0"/>
    <w:rsid w:val="00FF3348"/>
    <w:rsid w:val="00FF3429"/>
    <w:rsid w:val="00FF5684"/>
    <w:rsid w:val="00FF5A0E"/>
    <w:rsid w:val="00FF6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749"/>
    <w:pPr>
      <w:spacing w:before="100" w:beforeAutospacing="1" w:after="100" w:afterAutospacing="1"/>
      <w:jc w:val="both"/>
    </w:pPr>
    <w:rPr>
      <w:rFonts w:asciiTheme="minorHAnsi" w:hAnsiTheme="minorHAnsi"/>
      <w:sz w:val="24"/>
      <w:szCs w:val="24"/>
    </w:rPr>
  </w:style>
  <w:style w:type="paragraph" w:styleId="Heading1">
    <w:name w:val="heading 1"/>
    <w:basedOn w:val="Normal"/>
    <w:next w:val="Normal"/>
    <w:qFormat/>
    <w:rsid w:val="00396F0C"/>
    <w:pPr>
      <w:keepNext/>
      <w:spacing w:before="0" w:beforeAutospacing="0" w:after="120" w:afterAutospacing="0"/>
      <w:outlineLvl w:val="0"/>
    </w:pPr>
    <w:rPr>
      <w:b/>
      <w:bCs/>
      <w:kern w:val="32"/>
      <w:sz w:val="48"/>
      <w:szCs w:val="48"/>
    </w:rPr>
  </w:style>
  <w:style w:type="paragraph" w:styleId="Heading2">
    <w:name w:val="heading 2"/>
    <w:basedOn w:val="Heading1"/>
    <w:next w:val="Normal"/>
    <w:qFormat/>
    <w:rsid w:val="002C2EF0"/>
    <w:pPr>
      <w:outlineLvl w:val="1"/>
    </w:pPr>
    <w:rPr>
      <w:sz w:val="28"/>
      <w:szCs w:val="28"/>
    </w:rPr>
  </w:style>
  <w:style w:type="paragraph" w:styleId="Heading3">
    <w:name w:val="heading 3"/>
    <w:basedOn w:val="Normal"/>
    <w:next w:val="Normal"/>
    <w:qFormat/>
    <w:rsid w:val="002C2EF0"/>
    <w:pPr>
      <w:outlineLvl w:val="2"/>
    </w:pPr>
    <w:rPr>
      <w:b/>
      <w:color w:val="E2001C"/>
    </w:rPr>
  </w:style>
  <w:style w:type="paragraph" w:styleId="Heading4">
    <w:name w:val="heading 4"/>
    <w:basedOn w:val="Heading3"/>
    <w:next w:val="Normal"/>
    <w:qFormat/>
    <w:rsid w:val="00620C97"/>
    <w:pPr>
      <w:outlineLvl w:val="3"/>
    </w:pPr>
  </w:style>
  <w:style w:type="paragraph" w:styleId="Heading5">
    <w:name w:val="heading 5"/>
    <w:basedOn w:val="Odstavecseseznamem1"/>
    <w:next w:val="Normal"/>
    <w:qFormat/>
    <w:rsid w:val="006F6E73"/>
    <w:pPr>
      <w:numPr>
        <w:numId w:val="30"/>
      </w:numPr>
      <w:ind w:left="360"/>
      <w:outlineLvl w:val="4"/>
    </w:pPr>
    <w:rPr>
      <w:color w:val="E2001C"/>
      <w:sz w:val="24"/>
      <w:szCs w:val="24"/>
    </w:rPr>
  </w:style>
  <w:style w:type="paragraph" w:styleId="Heading6">
    <w:name w:val="heading 6"/>
    <w:basedOn w:val="Normal"/>
    <w:next w:val="Normal"/>
    <w:qFormat/>
    <w:rsid w:val="003419B5"/>
    <w:pPr>
      <w:numPr>
        <w:ilvl w:val="5"/>
        <w:numId w:val="1"/>
      </w:numPr>
      <w:spacing w:before="240" w:after="60"/>
      <w:outlineLvl w:val="5"/>
    </w:pPr>
    <w:rPr>
      <w:b/>
      <w:bCs/>
      <w:sz w:val="22"/>
      <w:szCs w:val="22"/>
    </w:rPr>
  </w:style>
  <w:style w:type="paragraph" w:styleId="Heading7">
    <w:name w:val="heading 7"/>
    <w:basedOn w:val="Normal"/>
    <w:next w:val="Normal"/>
    <w:qFormat/>
    <w:rsid w:val="003419B5"/>
    <w:pPr>
      <w:numPr>
        <w:ilvl w:val="6"/>
        <w:numId w:val="1"/>
      </w:numPr>
      <w:spacing w:before="240" w:after="60"/>
      <w:outlineLvl w:val="6"/>
    </w:pPr>
  </w:style>
  <w:style w:type="paragraph" w:styleId="Heading8">
    <w:name w:val="heading 8"/>
    <w:basedOn w:val="Normal"/>
    <w:next w:val="Normal"/>
    <w:qFormat/>
    <w:rsid w:val="003419B5"/>
    <w:pPr>
      <w:numPr>
        <w:ilvl w:val="7"/>
        <w:numId w:val="1"/>
      </w:numPr>
      <w:spacing w:before="240" w:after="60"/>
      <w:outlineLvl w:val="7"/>
    </w:pPr>
    <w:rPr>
      <w:i/>
      <w:iCs/>
    </w:rPr>
  </w:style>
  <w:style w:type="paragraph" w:styleId="Heading9">
    <w:name w:val="heading 9"/>
    <w:basedOn w:val="Normal"/>
    <w:next w:val="Normal"/>
    <w:qFormat/>
    <w:rsid w:val="003419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CC"/>
    <w:rPr>
      <w:rFonts w:ascii="Tahoma" w:hAnsi="Tahoma" w:cs="Tahoma"/>
      <w:sz w:val="16"/>
      <w:szCs w:val="16"/>
    </w:rPr>
  </w:style>
  <w:style w:type="paragraph" w:styleId="Footer">
    <w:name w:val="footer"/>
    <w:basedOn w:val="Normal"/>
    <w:rsid w:val="007C6DCC"/>
    <w:pPr>
      <w:tabs>
        <w:tab w:val="center" w:pos="4536"/>
        <w:tab w:val="right" w:pos="9072"/>
      </w:tabs>
    </w:pPr>
  </w:style>
  <w:style w:type="character" w:styleId="PageNumber">
    <w:name w:val="page number"/>
    <w:basedOn w:val="DefaultParagraphFont"/>
    <w:rsid w:val="007C6DCC"/>
  </w:style>
  <w:style w:type="character" w:styleId="Hyperlink">
    <w:name w:val="Hyperlink"/>
    <w:basedOn w:val="DefaultParagraphFont"/>
    <w:uiPriority w:val="99"/>
    <w:rsid w:val="007C6DCC"/>
    <w:rPr>
      <w:color w:val="0000FF"/>
      <w:u w:val="single"/>
    </w:rPr>
  </w:style>
  <w:style w:type="paragraph" w:styleId="TOC1">
    <w:name w:val="toc 1"/>
    <w:basedOn w:val="Normal"/>
    <w:next w:val="Normal"/>
    <w:autoRedefine/>
    <w:uiPriority w:val="39"/>
    <w:rsid w:val="008D1E82"/>
    <w:pPr>
      <w:tabs>
        <w:tab w:val="left" w:pos="480"/>
        <w:tab w:val="right" w:leader="dot" w:pos="9062"/>
      </w:tabs>
    </w:pPr>
    <w:rPr>
      <w:b/>
      <w:noProof/>
      <w:lang w:val="en-GB"/>
    </w:rPr>
  </w:style>
  <w:style w:type="paragraph" w:styleId="TOC2">
    <w:name w:val="toc 2"/>
    <w:basedOn w:val="Normal"/>
    <w:next w:val="Normal"/>
    <w:autoRedefine/>
    <w:uiPriority w:val="39"/>
    <w:rsid w:val="007C64FB"/>
    <w:pPr>
      <w:ind w:left="240"/>
    </w:pPr>
  </w:style>
  <w:style w:type="paragraph" w:styleId="TOC3">
    <w:name w:val="toc 3"/>
    <w:basedOn w:val="Normal"/>
    <w:next w:val="Normal"/>
    <w:autoRedefine/>
    <w:uiPriority w:val="39"/>
    <w:rsid w:val="00E116AB"/>
    <w:pPr>
      <w:ind w:left="480"/>
    </w:pPr>
  </w:style>
  <w:style w:type="paragraph" w:styleId="NormalWeb">
    <w:name w:val="Normal (Web)"/>
    <w:basedOn w:val="Normal"/>
    <w:link w:val="NormalWebChar"/>
    <w:rsid w:val="00940A50"/>
  </w:style>
  <w:style w:type="character" w:customStyle="1" w:styleId="NormalWebChar">
    <w:name w:val="Normal (Web) Char"/>
    <w:basedOn w:val="DefaultParagraphFont"/>
    <w:link w:val="NormalWeb"/>
    <w:rsid w:val="007A5006"/>
    <w:rPr>
      <w:sz w:val="24"/>
      <w:szCs w:val="24"/>
      <w:lang w:val="cs-CZ" w:eastAsia="cs-CZ" w:bidi="ar-SA"/>
    </w:rPr>
  </w:style>
  <w:style w:type="character" w:styleId="Strong">
    <w:name w:val="Strong"/>
    <w:basedOn w:val="DefaultParagraphFont"/>
    <w:qFormat/>
    <w:rsid w:val="00940A50"/>
    <w:rPr>
      <w:b/>
      <w:bCs/>
    </w:rPr>
  </w:style>
  <w:style w:type="character" w:styleId="Emphasis">
    <w:name w:val="Emphasis"/>
    <w:basedOn w:val="DefaultParagraphFont"/>
    <w:qFormat/>
    <w:rsid w:val="00940A50"/>
    <w:rPr>
      <w:i/>
      <w:iCs/>
    </w:rPr>
  </w:style>
  <w:style w:type="paragraph" w:styleId="FootnoteText">
    <w:name w:val="footnote text"/>
    <w:basedOn w:val="Normal"/>
    <w:link w:val="FootnoteTextChar"/>
    <w:semiHidden/>
    <w:rsid w:val="00940A50"/>
    <w:rPr>
      <w:sz w:val="20"/>
      <w:szCs w:val="20"/>
    </w:rPr>
  </w:style>
  <w:style w:type="character" w:styleId="FootnoteReference">
    <w:name w:val="footnote reference"/>
    <w:basedOn w:val="DefaultParagraphFont"/>
    <w:semiHidden/>
    <w:rsid w:val="00940A50"/>
    <w:rPr>
      <w:vertAlign w:val="superscript"/>
    </w:rPr>
  </w:style>
  <w:style w:type="table" w:styleId="TableGrid">
    <w:name w:val="Table Grid"/>
    <w:basedOn w:val="TableNormal"/>
    <w:rsid w:val="001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al"/>
    <w:link w:val="AODocTxtCharCharChar"/>
    <w:rsid w:val="00B05EA2"/>
    <w:pPr>
      <w:numPr>
        <w:numId w:val="2"/>
      </w:numPr>
      <w:spacing w:before="240" w:line="260" w:lineRule="atLeast"/>
    </w:pPr>
    <w:rPr>
      <w:rFonts w:eastAsia="SimSun"/>
      <w:sz w:val="22"/>
      <w:szCs w:val="22"/>
      <w:lang w:val="en-GB" w:eastAsia="en-US"/>
    </w:rPr>
  </w:style>
  <w:style w:type="character" w:customStyle="1" w:styleId="AODocTxtCharCharChar">
    <w:name w:val="AODocTxt Char Char Char"/>
    <w:basedOn w:val="DefaultParagraphFont"/>
    <w:link w:val="AODocTxtCharChar"/>
    <w:rsid w:val="00B05EA2"/>
    <w:rPr>
      <w:rFonts w:eastAsia="SimSun"/>
      <w:sz w:val="22"/>
      <w:szCs w:val="22"/>
      <w:lang w:val="en-GB" w:eastAsia="en-US"/>
    </w:rPr>
  </w:style>
  <w:style w:type="paragraph" w:customStyle="1" w:styleId="AODocTxtL1">
    <w:name w:val="AODocTxtL1"/>
    <w:basedOn w:val="AODocTxtCharChar"/>
    <w:rsid w:val="00B05EA2"/>
    <w:pPr>
      <w:numPr>
        <w:ilvl w:val="1"/>
      </w:numPr>
      <w:tabs>
        <w:tab w:val="num" w:pos="643"/>
      </w:tabs>
      <w:ind w:left="643" w:hanging="360"/>
    </w:pPr>
  </w:style>
  <w:style w:type="paragraph" w:customStyle="1" w:styleId="AODocTxtL2">
    <w:name w:val="AODocTxtL2"/>
    <w:basedOn w:val="AODocTxtCharChar"/>
    <w:rsid w:val="00B05EA2"/>
    <w:pPr>
      <w:numPr>
        <w:ilvl w:val="2"/>
      </w:numPr>
      <w:tabs>
        <w:tab w:val="num" w:pos="643"/>
      </w:tabs>
      <w:ind w:left="643" w:hanging="360"/>
    </w:pPr>
  </w:style>
  <w:style w:type="paragraph" w:customStyle="1" w:styleId="AODocTxtL3">
    <w:name w:val="AODocTxtL3"/>
    <w:basedOn w:val="AODocTxtCharChar"/>
    <w:rsid w:val="00B05EA2"/>
    <w:pPr>
      <w:numPr>
        <w:numId w:val="0"/>
      </w:numPr>
      <w:tabs>
        <w:tab w:val="num" w:pos="643"/>
      </w:tabs>
      <w:ind w:left="643" w:hanging="360"/>
    </w:pPr>
  </w:style>
  <w:style w:type="paragraph" w:customStyle="1" w:styleId="AODocTxtL4">
    <w:name w:val="AODocTxtL4"/>
    <w:basedOn w:val="AODocTxtCharChar"/>
    <w:rsid w:val="00B05EA2"/>
    <w:pPr>
      <w:numPr>
        <w:numId w:val="0"/>
      </w:numPr>
      <w:tabs>
        <w:tab w:val="num" w:pos="643"/>
      </w:tabs>
      <w:ind w:left="643" w:hanging="360"/>
    </w:pPr>
  </w:style>
  <w:style w:type="paragraph" w:customStyle="1" w:styleId="AODocTxtL5">
    <w:name w:val="AODocTxtL5"/>
    <w:basedOn w:val="AODocTxtCharChar"/>
    <w:rsid w:val="00B05EA2"/>
    <w:pPr>
      <w:numPr>
        <w:numId w:val="0"/>
      </w:numPr>
      <w:tabs>
        <w:tab w:val="num" w:pos="643"/>
      </w:tabs>
      <w:ind w:left="643" w:hanging="360"/>
    </w:pPr>
  </w:style>
  <w:style w:type="paragraph" w:customStyle="1" w:styleId="AODocTxtL6">
    <w:name w:val="AODocTxtL6"/>
    <w:basedOn w:val="AODocTxtCharChar"/>
    <w:rsid w:val="00B05EA2"/>
    <w:pPr>
      <w:numPr>
        <w:numId w:val="0"/>
      </w:numPr>
      <w:tabs>
        <w:tab w:val="num" w:pos="643"/>
      </w:tabs>
      <w:ind w:left="643" w:hanging="360"/>
    </w:pPr>
  </w:style>
  <w:style w:type="paragraph" w:customStyle="1" w:styleId="AODocTxtL7">
    <w:name w:val="AODocTxtL7"/>
    <w:basedOn w:val="AODocTxtCharChar"/>
    <w:rsid w:val="00B05EA2"/>
    <w:pPr>
      <w:numPr>
        <w:numId w:val="0"/>
      </w:numPr>
      <w:tabs>
        <w:tab w:val="num" w:pos="643"/>
      </w:tabs>
      <w:ind w:left="643" w:hanging="360"/>
    </w:pPr>
  </w:style>
  <w:style w:type="paragraph" w:customStyle="1" w:styleId="AODocTxtL8">
    <w:name w:val="AODocTxtL8"/>
    <w:basedOn w:val="AODocTxtCharChar"/>
    <w:rsid w:val="00B05EA2"/>
    <w:pPr>
      <w:numPr>
        <w:numId w:val="0"/>
      </w:numPr>
      <w:tabs>
        <w:tab w:val="num" w:pos="643"/>
      </w:tabs>
      <w:ind w:left="643" w:hanging="360"/>
    </w:pPr>
  </w:style>
  <w:style w:type="paragraph" w:customStyle="1" w:styleId="AOHeading2">
    <w:name w:val="AOHeading2"/>
    <w:basedOn w:val="Normal"/>
    <w:next w:val="Normal"/>
    <w:rsid w:val="00133FEF"/>
    <w:pPr>
      <w:keepNext/>
      <w:spacing w:before="240" w:line="260" w:lineRule="atLeast"/>
      <w:outlineLvl w:val="1"/>
    </w:pPr>
    <w:rPr>
      <w:rFonts w:eastAsia="SimSun"/>
      <w:b/>
      <w:sz w:val="22"/>
      <w:szCs w:val="22"/>
      <w:lang w:val="en-GB" w:eastAsia="en-US"/>
    </w:rPr>
  </w:style>
  <w:style w:type="paragraph" w:customStyle="1" w:styleId="AOHeading6">
    <w:name w:val="AOHeading6"/>
    <w:basedOn w:val="Normal"/>
    <w:next w:val="Normal"/>
    <w:rsid w:val="00133FEF"/>
    <w:pPr>
      <w:keepNext/>
      <w:spacing w:before="240" w:line="260" w:lineRule="atLeast"/>
      <w:outlineLvl w:val="5"/>
    </w:pPr>
    <w:rPr>
      <w:rFonts w:eastAsia="SimSun"/>
      <w:b/>
      <w:i/>
      <w:sz w:val="22"/>
      <w:szCs w:val="22"/>
      <w:lang w:val="en-GB" w:eastAsia="en-US"/>
    </w:rPr>
  </w:style>
  <w:style w:type="paragraph" w:customStyle="1" w:styleId="AODocTxt">
    <w:name w:val="AODocTxt"/>
    <w:basedOn w:val="Normal"/>
    <w:rsid w:val="00963AA8"/>
    <w:pPr>
      <w:spacing w:before="240" w:line="260" w:lineRule="atLeast"/>
    </w:pPr>
    <w:rPr>
      <w:rFonts w:eastAsia="SimSun"/>
      <w:sz w:val="22"/>
      <w:szCs w:val="22"/>
      <w:lang w:val="en-GB" w:eastAsia="en-US"/>
    </w:rPr>
  </w:style>
  <w:style w:type="paragraph" w:customStyle="1" w:styleId="AONormal">
    <w:name w:val="AONormal"/>
    <w:rsid w:val="00A37475"/>
    <w:pPr>
      <w:spacing w:line="260" w:lineRule="atLeast"/>
    </w:pPr>
    <w:rPr>
      <w:rFonts w:eastAsia="SimSun"/>
      <w:sz w:val="22"/>
      <w:szCs w:val="22"/>
      <w:lang w:val="en-GB" w:eastAsia="en-US"/>
    </w:rPr>
  </w:style>
  <w:style w:type="paragraph" w:customStyle="1" w:styleId="AOListNumber">
    <w:name w:val="AOListNumber"/>
    <w:basedOn w:val="Normal"/>
    <w:rsid w:val="002478FB"/>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al"/>
    <w:rsid w:val="00317ACD"/>
    <w:pPr>
      <w:numPr>
        <w:numId w:val="4"/>
      </w:numPr>
      <w:spacing w:before="240" w:line="260" w:lineRule="atLeast"/>
    </w:pPr>
    <w:rPr>
      <w:rFonts w:eastAsia="SimSun"/>
      <w:sz w:val="22"/>
      <w:szCs w:val="22"/>
      <w:lang w:val="en-GB" w:eastAsia="en-US"/>
    </w:rPr>
  </w:style>
  <w:style w:type="paragraph" w:customStyle="1" w:styleId="AOHeading4">
    <w:name w:val="AOHeading4"/>
    <w:basedOn w:val="Normal"/>
    <w:next w:val="AODocTxt"/>
    <w:rsid w:val="00317ACD"/>
    <w:pPr>
      <w:keepNext/>
      <w:spacing w:before="240" w:line="260" w:lineRule="atLeast"/>
      <w:outlineLvl w:val="3"/>
    </w:pPr>
    <w:rPr>
      <w:rFonts w:eastAsia="SimSun"/>
      <w:i/>
      <w:sz w:val="22"/>
      <w:szCs w:val="22"/>
      <w:lang w:val="en-GB" w:eastAsia="en-US"/>
    </w:rPr>
  </w:style>
  <w:style w:type="paragraph" w:styleId="TOC4">
    <w:name w:val="toc 4"/>
    <w:basedOn w:val="Normal"/>
    <w:next w:val="Normal"/>
    <w:autoRedefine/>
    <w:uiPriority w:val="39"/>
    <w:rsid w:val="003C4C6F"/>
    <w:pPr>
      <w:ind w:left="720"/>
    </w:pPr>
  </w:style>
  <w:style w:type="character" w:customStyle="1" w:styleId="platne1">
    <w:name w:val="platne1"/>
    <w:basedOn w:val="DefaultParagraphFont"/>
    <w:rsid w:val="00374B50"/>
  </w:style>
  <w:style w:type="paragraph" w:styleId="BodyText">
    <w:name w:val="Body Text"/>
    <w:basedOn w:val="Normal"/>
    <w:rsid w:val="00131B3A"/>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paragraph" w:customStyle="1" w:styleId="euroheading">
    <w:name w:val="euro heading"/>
    <w:basedOn w:val="Normal"/>
    <w:rsid w:val="003322AB"/>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al"/>
    <w:rsid w:val="003322AB"/>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al"/>
    <w:rsid w:val="003322AB"/>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al"/>
    <w:rsid w:val="003322AB"/>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al"/>
    <w:rsid w:val="003322AB"/>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Header">
    <w:name w:val="header"/>
    <w:basedOn w:val="Normal"/>
    <w:link w:val="HeaderChar"/>
    <w:rsid w:val="003322AB"/>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paragraph" w:styleId="BodyTextIndent">
    <w:name w:val="Body Text Indent"/>
    <w:basedOn w:val="Normal"/>
    <w:rsid w:val="00FF3348"/>
    <w:pPr>
      <w:spacing w:after="120"/>
      <w:ind w:left="283"/>
    </w:pPr>
  </w:style>
  <w:style w:type="paragraph" w:customStyle="1" w:styleId="Ne1">
    <w:name w:val="Ne1"/>
    <w:basedOn w:val="Normal"/>
    <w:next w:val="Ne2"/>
    <w:autoRedefine/>
    <w:rsid w:val="00FF3348"/>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FF3348"/>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FF3348"/>
    <w:pPr>
      <w:tabs>
        <w:tab w:val="clear" w:pos="851"/>
        <w:tab w:val="left" w:pos="-108"/>
      </w:tabs>
      <w:ind w:left="851"/>
    </w:pPr>
  </w:style>
  <w:style w:type="character" w:customStyle="1" w:styleId="Ne2Char">
    <w:name w:val="Ne2 Char"/>
    <w:basedOn w:val="DefaultParagraphFont"/>
    <w:link w:val="Ne2"/>
    <w:rsid w:val="00FF3348"/>
    <w:rPr>
      <w:rFonts w:cs="Arial"/>
      <w:sz w:val="22"/>
      <w:szCs w:val="24"/>
      <w:lang w:val="cs-CZ" w:eastAsia="en-US" w:bidi="ar-SA"/>
    </w:rPr>
  </w:style>
  <w:style w:type="paragraph" w:customStyle="1" w:styleId="Ne4">
    <w:name w:val="Ne4"/>
    <w:basedOn w:val="Ne2"/>
    <w:next w:val="Ne2"/>
    <w:rsid w:val="00FF3348"/>
    <w:pPr>
      <w:spacing w:before="240"/>
    </w:pPr>
    <w:rPr>
      <w:i/>
      <w:iCs/>
    </w:rPr>
  </w:style>
  <w:style w:type="paragraph" w:customStyle="1" w:styleId="Ne0">
    <w:name w:val="Ne 0"/>
    <w:basedOn w:val="Ne1"/>
    <w:next w:val="Ne2"/>
    <w:autoRedefine/>
    <w:rsid w:val="00FF3348"/>
    <w:pPr>
      <w:keepNext w:val="0"/>
      <w:keepLines w:val="0"/>
      <w:tabs>
        <w:tab w:val="clear" w:pos="540"/>
        <w:tab w:val="left" w:pos="480"/>
      </w:tabs>
      <w:spacing w:before="120"/>
    </w:pPr>
    <w:rPr>
      <w:bCs/>
    </w:rPr>
  </w:style>
  <w:style w:type="paragraph" w:styleId="BodyTextIndent2">
    <w:name w:val="Body Text Indent 2"/>
    <w:basedOn w:val="Normal"/>
    <w:rsid w:val="00FF3348"/>
    <w:pPr>
      <w:overflowPunct w:val="0"/>
      <w:autoSpaceDE w:val="0"/>
      <w:autoSpaceDN w:val="0"/>
      <w:adjustRightInd w:val="0"/>
      <w:spacing w:before="120"/>
      <w:ind w:left="425"/>
      <w:textAlignment w:val="baseline"/>
    </w:pPr>
    <w:rPr>
      <w:rFonts w:ascii="Times" w:hAnsi="Times"/>
      <w:sz w:val="22"/>
      <w:szCs w:val="20"/>
      <w:lang w:val="en-GB" w:eastAsia="en-US"/>
    </w:rPr>
  </w:style>
  <w:style w:type="paragraph" w:styleId="BodyTextIndent3">
    <w:name w:val="Body Text Indent 3"/>
    <w:basedOn w:val="Normal"/>
    <w:rsid w:val="00FF3348"/>
    <w:pPr>
      <w:spacing w:before="120" w:line="240" w:lineRule="atLeast"/>
      <w:ind w:left="426"/>
    </w:pPr>
    <w:rPr>
      <w:szCs w:val="20"/>
      <w:lang w:eastAsia="en-US"/>
    </w:rPr>
  </w:style>
  <w:style w:type="paragraph" w:customStyle="1" w:styleId="CVtextheader1">
    <w:name w:val="CV text  header 1"/>
    <w:link w:val="CVtextheader1Char"/>
    <w:rsid w:val="00FF3348"/>
    <w:pPr>
      <w:spacing w:before="120" w:line="280" w:lineRule="atLeast"/>
      <w:ind w:left="567"/>
      <w:jc w:val="both"/>
    </w:pPr>
    <w:rPr>
      <w:sz w:val="22"/>
      <w:szCs w:val="24"/>
      <w:lang w:eastAsia="en-US"/>
    </w:rPr>
  </w:style>
  <w:style w:type="character" w:customStyle="1" w:styleId="CVtextheader1Char">
    <w:name w:val="CV text  header 1 Char"/>
    <w:basedOn w:val="DefaultParagraphFont"/>
    <w:link w:val="CVtextheader1"/>
    <w:rsid w:val="00FF3348"/>
    <w:rPr>
      <w:sz w:val="22"/>
      <w:szCs w:val="24"/>
      <w:lang w:val="cs-CZ" w:eastAsia="en-US" w:bidi="ar-SA"/>
    </w:rPr>
  </w:style>
  <w:style w:type="table" w:customStyle="1" w:styleId="CVtable1header1">
    <w:name w:val="CV table 1 header 1"/>
    <w:basedOn w:val="TableNormal"/>
    <w:rsid w:val="00FF334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FF3348"/>
    <w:rPr>
      <w:sz w:val="18"/>
      <w:szCs w:val="18"/>
      <w:lang w:eastAsia="en-US"/>
    </w:rPr>
  </w:style>
  <w:style w:type="paragraph" w:customStyle="1" w:styleId="CVbodytablerowheader">
    <w:name w:val="CV body table row header"/>
    <w:rsid w:val="00FF3348"/>
    <w:pPr>
      <w:jc w:val="right"/>
    </w:pPr>
    <w:rPr>
      <w:sz w:val="18"/>
      <w:szCs w:val="18"/>
      <w:lang w:eastAsia="en-US"/>
    </w:rPr>
  </w:style>
  <w:style w:type="paragraph" w:styleId="CommentText">
    <w:name w:val="annotation text"/>
    <w:basedOn w:val="Normal"/>
    <w:link w:val="CommentTextChar"/>
    <w:uiPriority w:val="99"/>
    <w:semiHidden/>
    <w:rsid w:val="00FF3348"/>
    <w:rPr>
      <w:sz w:val="20"/>
      <w:szCs w:val="20"/>
    </w:rPr>
  </w:style>
  <w:style w:type="paragraph" w:customStyle="1" w:styleId="SPPbasic">
    <w:name w:val="SPP_basic"/>
    <w:basedOn w:val="Normal"/>
    <w:rsid w:val="00FF3348"/>
    <w:pPr>
      <w:suppressAutoHyphens/>
      <w:spacing w:before="240"/>
      <w:ind w:left="567"/>
    </w:pPr>
    <w:rPr>
      <w:sz w:val="22"/>
      <w:szCs w:val="22"/>
      <w:lang w:eastAsia="en-US"/>
    </w:rPr>
  </w:style>
  <w:style w:type="paragraph" w:customStyle="1" w:styleId="BodyText31">
    <w:name w:val="Body Text 31"/>
    <w:basedOn w:val="Normal"/>
    <w:link w:val="BodyText31Char"/>
    <w:rsid w:val="00FF3348"/>
    <w:pPr>
      <w:overflowPunct w:val="0"/>
      <w:autoSpaceDE w:val="0"/>
      <w:autoSpaceDN w:val="0"/>
      <w:adjustRightInd w:val="0"/>
      <w:spacing w:before="120" w:line="240" w:lineRule="atLeast"/>
      <w:textAlignment w:val="baseline"/>
    </w:pPr>
    <w:rPr>
      <w:rFonts w:ascii="Arial" w:hAnsi="Arial"/>
    </w:rPr>
  </w:style>
  <w:style w:type="character" w:customStyle="1" w:styleId="BodyText31Char">
    <w:name w:val="Body Text 31 Char"/>
    <w:basedOn w:val="DefaultParagraphFont"/>
    <w:link w:val="BodyText31"/>
    <w:rsid w:val="00FF3348"/>
    <w:rPr>
      <w:rFonts w:ascii="Arial" w:hAnsi="Arial"/>
      <w:sz w:val="24"/>
      <w:szCs w:val="24"/>
      <w:lang w:val="cs-CZ" w:eastAsia="cs-CZ" w:bidi="ar-SA"/>
    </w:rPr>
  </w:style>
  <w:style w:type="character" w:styleId="CommentReference">
    <w:name w:val="annotation reference"/>
    <w:basedOn w:val="DefaultParagraphFont"/>
    <w:semiHidden/>
    <w:rsid w:val="00FF3348"/>
    <w:rPr>
      <w:sz w:val="16"/>
      <w:szCs w:val="16"/>
    </w:rPr>
  </w:style>
  <w:style w:type="character" w:customStyle="1" w:styleId="editace2">
    <w:name w:val="editace2"/>
    <w:basedOn w:val="DefaultParagraphFont"/>
    <w:rsid w:val="00FF3348"/>
    <w:rPr>
      <w:b/>
      <w:bCs/>
      <w:strike/>
      <w:dstrike w:val="0"/>
      <w:color w:val="FF0000"/>
      <w:vertAlign w:val="baseline"/>
      <w:lang w:val="en-GB"/>
    </w:rPr>
  </w:style>
  <w:style w:type="paragraph" w:customStyle="1" w:styleId="Style1">
    <w:name w:val="Style1"/>
    <w:basedOn w:val="Normal"/>
    <w:next w:val="Normal"/>
    <w:rsid w:val="00FF3348"/>
    <w:pPr>
      <w:ind w:left="600"/>
    </w:pPr>
    <w:rPr>
      <w:rFonts w:cs="Arial"/>
      <w:color w:val="000080"/>
      <w:u w:val="single"/>
      <w:lang w:val="en-GB" w:eastAsia="en-US"/>
    </w:rPr>
  </w:style>
  <w:style w:type="paragraph" w:customStyle="1" w:styleId="CVtextheader2italics">
    <w:name w:val="CV text header 2 italics"/>
    <w:rsid w:val="00FF3348"/>
    <w:pPr>
      <w:spacing w:before="120" w:line="280" w:lineRule="atLeast"/>
      <w:ind w:left="1134"/>
      <w:jc w:val="both"/>
    </w:pPr>
    <w:rPr>
      <w:i/>
      <w:sz w:val="22"/>
      <w:lang w:eastAsia="en-US"/>
    </w:rPr>
  </w:style>
  <w:style w:type="paragraph" w:styleId="CommentSubject">
    <w:name w:val="annotation subject"/>
    <w:basedOn w:val="CommentText"/>
    <w:next w:val="CommentText"/>
    <w:semiHidden/>
    <w:rsid w:val="00BD690A"/>
    <w:rPr>
      <w:b/>
      <w:bCs/>
      <w:lang w:val="en-US" w:eastAsia="en-US"/>
    </w:rPr>
  </w:style>
  <w:style w:type="paragraph" w:customStyle="1" w:styleId="AODocTxtChar">
    <w:name w:val="AODocTxt Char"/>
    <w:basedOn w:val="Normal"/>
    <w:rsid w:val="00D27E52"/>
    <w:pPr>
      <w:spacing w:before="240" w:line="260" w:lineRule="atLeast"/>
    </w:pPr>
    <w:rPr>
      <w:rFonts w:eastAsia="SimSun"/>
      <w:sz w:val="22"/>
      <w:szCs w:val="22"/>
      <w:lang w:val="en-GB" w:eastAsia="en-US"/>
    </w:rPr>
  </w:style>
  <w:style w:type="table" w:styleId="TableGrid8">
    <w:name w:val="Table Grid 8"/>
    <w:basedOn w:val="TableNormal"/>
    <w:rsid w:val="00B520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al"/>
    <w:next w:val="AODocTxt"/>
    <w:rsid w:val="00DD5D2E"/>
    <w:pPr>
      <w:numPr>
        <w:numId w:val="6"/>
      </w:numPr>
      <w:spacing w:before="240" w:line="260" w:lineRule="atLeast"/>
    </w:pPr>
    <w:rPr>
      <w:rFonts w:eastAsia="SimSun"/>
      <w:sz w:val="22"/>
      <w:szCs w:val="22"/>
      <w:lang w:val="fr-FR" w:eastAsia="en-US"/>
    </w:rPr>
  </w:style>
  <w:style w:type="paragraph" w:customStyle="1" w:styleId="AOHead1">
    <w:name w:val="AOHead1"/>
    <w:basedOn w:val="Normal"/>
    <w:next w:val="AODocTxtL1"/>
    <w:rsid w:val="004863AD"/>
    <w:pPr>
      <w:keepNext/>
      <w:numPr>
        <w:numId w:val="7"/>
      </w:numPr>
      <w:spacing w:before="240" w:line="260" w:lineRule="atLeast"/>
      <w:outlineLvl w:val="0"/>
    </w:pPr>
    <w:rPr>
      <w:rFonts w:eastAsia="SimSun"/>
      <w:b/>
      <w:caps/>
      <w:kern w:val="28"/>
      <w:sz w:val="22"/>
      <w:szCs w:val="22"/>
      <w:lang w:val="fr-FR" w:eastAsia="en-US"/>
    </w:rPr>
  </w:style>
  <w:style w:type="paragraph" w:customStyle="1" w:styleId="AOHead2">
    <w:name w:val="AOHead2"/>
    <w:basedOn w:val="Normal"/>
    <w:next w:val="AODocTxtL1"/>
    <w:rsid w:val="004863AD"/>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al"/>
    <w:next w:val="AODocTxtL2"/>
    <w:rsid w:val="004863AD"/>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al"/>
    <w:next w:val="AODocTxtL3"/>
    <w:rsid w:val="004863AD"/>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al"/>
    <w:next w:val="AODocTxtL4"/>
    <w:rsid w:val="004863AD"/>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al"/>
    <w:next w:val="AODocTxtL5"/>
    <w:rsid w:val="004863AD"/>
    <w:pPr>
      <w:tabs>
        <w:tab w:val="num" w:pos="3600"/>
      </w:tabs>
      <w:spacing w:before="240" w:line="260" w:lineRule="atLeast"/>
      <w:ind w:left="3600" w:hanging="720"/>
      <w:outlineLvl w:val="5"/>
    </w:pPr>
    <w:rPr>
      <w:rFonts w:eastAsia="SimSun"/>
      <w:sz w:val="22"/>
      <w:szCs w:val="22"/>
      <w:lang w:val="fr-FR" w:eastAsia="en-US"/>
    </w:rPr>
  </w:style>
  <w:style w:type="paragraph" w:styleId="DocumentMap">
    <w:name w:val="Document Map"/>
    <w:basedOn w:val="Normal"/>
    <w:semiHidden/>
    <w:rsid w:val="00A219DB"/>
    <w:pPr>
      <w:shd w:val="clear" w:color="auto" w:fill="000080"/>
    </w:pPr>
    <w:rPr>
      <w:rFonts w:ascii="Tahoma" w:hAnsi="Tahoma" w:cs="Tahoma"/>
    </w:rPr>
  </w:style>
  <w:style w:type="paragraph" w:customStyle="1" w:styleId="aodoctxt0">
    <w:name w:val="aodoctxt"/>
    <w:basedOn w:val="Normal"/>
    <w:rsid w:val="007D3921"/>
  </w:style>
  <w:style w:type="paragraph" w:styleId="z-TopofForm">
    <w:name w:val="HTML Top of Form"/>
    <w:basedOn w:val="Normal"/>
    <w:next w:val="Normal"/>
    <w:hidden/>
    <w:rsid w:val="0004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C4B"/>
    <w:pPr>
      <w:pBdr>
        <w:top w:val="single" w:sz="6" w:space="1" w:color="auto"/>
      </w:pBdr>
      <w:jc w:val="center"/>
    </w:pPr>
    <w:rPr>
      <w:rFonts w:ascii="Arial" w:hAnsi="Arial" w:cs="Arial"/>
      <w:vanish/>
      <w:sz w:val="16"/>
      <w:szCs w:val="16"/>
    </w:rPr>
  </w:style>
  <w:style w:type="character" w:customStyle="1" w:styleId="vcblt1">
    <w:name w:val="vcb_lt1"/>
    <w:basedOn w:val="DefaultParagraphFont"/>
    <w:rsid w:val="00967059"/>
    <w:rPr>
      <w:rFonts w:ascii="Arial" w:hAnsi="Arial" w:cs="Arial" w:hint="default"/>
      <w:b w:val="0"/>
      <w:bCs w:val="0"/>
      <w:strike w:val="0"/>
      <w:dstrike w:val="0"/>
      <w:color w:val="0000FF"/>
      <w:sz w:val="20"/>
      <w:szCs w:val="20"/>
      <w:u w:val="none"/>
      <w:effect w:val="none"/>
    </w:rPr>
  </w:style>
  <w:style w:type="character" w:customStyle="1" w:styleId="vcbrt1">
    <w:name w:val="vcb_rt1"/>
    <w:basedOn w:val="DefaultParagraphFont"/>
    <w:rsid w:val="00967059"/>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284831"/>
    <w:rPr>
      <w:color w:val="0000FF"/>
      <w:spacing w:val="0"/>
      <w:u w:val="double"/>
    </w:rPr>
  </w:style>
  <w:style w:type="paragraph" w:customStyle="1" w:styleId="CM38">
    <w:name w:val="CM38"/>
    <w:basedOn w:val="Normal"/>
    <w:next w:val="Normal"/>
    <w:uiPriority w:val="99"/>
    <w:rsid w:val="008E60DA"/>
    <w:pPr>
      <w:widowControl w:val="0"/>
      <w:autoSpaceDE w:val="0"/>
      <w:autoSpaceDN w:val="0"/>
      <w:adjustRightInd w:val="0"/>
    </w:pPr>
    <w:rPr>
      <w:rFonts w:ascii="EurostileTEEBla" w:hAnsi="EurostileTEEBla"/>
    </w:rPr>
  </w:style>
  <w:style w:type="paragraph" w:customStyle="1" w:styleId="CM42">
    <w:name w:val="CM42"/>
    <w:basedOn w:val="Normal"/>
    <w:next w:val="Normal"/>
    <w:uiPriority w:val="99"/>
    <w:rsid w:val="008E60DA"/>
    <w:pPr>
      <w:widowControl w:val="0"/>
      <w:autoSpaceDE w:val="0"/>
      <w:autoSpaceDN w:val="0"/>
      <w:adjustRightInd w:val="0"/>
    </w:pPr>
    <w:rPr>
      <w:rFonts w:ascii="EurostileTEEBla" w:hAnsi="EurostileTEEBla"/>
    </w:rPr>
  </w:style>
  <w:style w:type="character" w:styleId="FollowedHyperlink">
    <w:name w:val="FollowedHyperlink"/>
    <w:basedOn w:val="DefaultParagraphFont"/>
    <w:rsid w:val="00875F2A"/>
    <w:rPr>
      <w:color w:val="800080"/>
      <w:u w:val="single"/>
    </w:rPr>
  </w:style>
  <w:style w:type="paragraph" w:customStyle="1" w:styleId="Odstavecseseznamem1">
    <w:name w:val="Odstavec se seznamem1"/>
    <w:basedOn w:val="Normal"/>
    <w:rsid w:val="008F2F2C"/>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39"/>
    <w:unhideWhenUsed/>
    <w:qFormat/>
    <w:rsid w:val="009843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oSpacing">
    <w:name w:val="No Spacing"/>
    <w:link w:val="NoSpacingChar"/>
    <w:uiPriority w:val="1"/>
    <w:qFormat/>
    <w:rsid w:val="009843D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843D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825A9"/>
    <w:pPr>
      <w:ind w:left="720"/>
      <w:contextualSpacing/>
    </w:pPr>
  </w:style>
  <w:style w:type="character" w:customStyle="1" w:styleId="HeaderChar">
    <w:name w:val="Header Char"/>
    <w:basedOn w:val="DefaultParagraphFont"/>
    <w:link w:val="Header"/>
    <w:rsid w:val="00A33834"/>
    <w:rPr>
      <w:lang w:val="en-GB" w:eastAsia="en-US"/>
    </w:rPr>
  </w:style>
  <w:style w:type="character" w:customStyle="1" w:styleId="FootnoteTextChar">
    <w:name w:val="Footnote Text Char"/>
    <w:basedOn w:val="DefaultParagraphFont"/>
    <w:link w:val="FootnoteText"/>
    <w:semiHidden/>
    <w:rsid w:val="00A33834"/>
  </w:style>
  <w:style w:type="paragraph" w:styleId="Revision">
    <w:name w:val="Revision"/>
    <w:hidden/>
    <w:uiPriority w:val="99"/>
    <w:semiHidden/>
    <w:rsid w:val="00014BFE"/>
    <w:rPr>
      <w:sz w:val="24"/>
      <w:szCs w:val="24"/>
    </w:rPr>
  </w:style>
  <w:style w:type="character" w:customStyle="1" w:styleId="CommentTextChar">
    <w:name w:val="Comment Text Char"/>
    <w:basedOn w:val="DefaultParagraphFont"/>
    <w:link w:val="CommentText"/>
    <w:uiPriority w:val="99"/>
    <w:semiHidden/>
    <w:rsid w:val="00A83C9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749"/>
    <w:pPr>
      <w:spacing w:before="100" w:beforeAutospacing="1" w:after="100" w:afterAutospacing="1"/>
      <w:jc w:val="both"/>
    </w:pPr>
    <w:rPr>
      <w:rFonts w:asciiTheme="minorHAnsi" w:hAnsiTheme="minorHAnsi"/>
      <w:sz w:val="24"/>
      <w:szCs w:val="24"/>
    </w:rPr>
  </w:style>
  <w:style w:type="paragraph" w:styleId="Heading1">
    <w:name w:val="heading 1"/>
    <w:basedOn w:val="Normal"/>
    <w:next w:val="Normal"/>
    <w:qFormat/>
    <w:rsid w:val="00396F0C"/>
    <w:pPr>
      <w:keepNext/>
      <w:spacing w:before="0" w:beforeAutospacing="0" w:after="120" w:afterAutospacing="0"/>
      <w:outlineLvl w:val="0"/>
    </w:pPr>
    <w:rPr>
      <w:b/>
      <w:bCs/>
      <w:kern w:val="32"/>
      <w:sz w:val="48"/>
      <w:szCs w:val="48"/>
    </w:rPr>
  </w:style>
  <w:style w:type="paragraph" w:styleId="Heading2">
    <w:name w:val="heading 2"/>
    <w:basedOn w:val="Heading1"/>
    <w:next w:val="Normal"/>
    <w:qFormat/>
    <w:rsid w:val="002C2EF0"/>
    <w:pPr>
      <w:outlineLvl w:val="1"/>
    </w:pPr>
    <w:rPr>
      <w:sz w:val="28"/>
      <w:szCs w:val="28"/>
    </w:rPr>
  </w:style>
  <w:style w:type="paragraph" w:styleId="Heading3">
    <w:name w:val="heading 3"/>
    <w:basedOn w:val="Normal"/>
    <w:next w:val="Normal"/>
    <w:qFormat/>
    <w:rsid w:val="002C2EF0"/>
    <w:pPr>
      <w:outlineLvl w:val="2"/>
    </w:pPr>
    <w:rPr>
      <w:b/>
      <w:color w:val="E2001C"/>
    </w:rPr>
  </w:style>
  <w:style w:type="paragraph" w:styleId="Heading4">
    <w:name w:val="heading 4"/>
    <w:basedOn w:val="Heading3"/>
    <w:next w:val="Normal"/>
    <w:qFormat/>
    <w:rsid w:val="00620C97"/>
    <w:pPr>
      <w:outlineLvl w:val="3"/>
    </w:pPr>
  </w:style>
  <w:style w:type="paragraph" w:styleId="Heading5">
    <w:name w:val="heading 5"/>
    <w:basedOn w:val="Odstavecseseznamem1"/>
    <w:next w:val="Normal"/>
    <w:qFormat/>
    <w:rsid w:val="006F6E73"/>
    <w:pPr>
      <w:numPr>
        <w:numId w:val="30"/>
      </w:numPr>
      <w:ind w:left="360"/>
      <w:outlineLvl w:val="4"/>
    </w:pPr>
    <w:rPr>
      <w:color w:val="E2001C"/>
      <w:sz w:val="24"/>
      <w:szCs w:val="24"/>
    </w:rPr>
  </w:style>
  <w:style w:type="paragraph" w:styleId="Heading6">
    <w:name w:val="heading 6"/>
    <w:basedOn w:val="Normal"/>
    <w:next w:val="Normal"/>
    <w:qFormat/>
    <w:rsid w:val="003419B5"/>
    <w:pPr>
      <w:numPr>
        <w:ilvl w:val="5"/>
        <w:numId w:val="1"/>
      </w:numPr>
      <w:spacing w:before="240" w:after="60"/>
      <w:outlineLvl w:val="5"/>
    </w:pPr>
    <w:rPr>
      <w:b/>
      <w:bCs/>
      <w:sz w:val="22"/>
      <w:szCs w:val="22"/>
    </w:rPr>
  </w:style>
  <w:style w:type="paragraph" w:styleId="Heading7">
    <w:name w:val="heading 7"/>
    <w:basedOn w:val="Normal"/>
    <w:next w:val="Normal"/>
    <w:qFormat/>
    <w:rsid w:val="003419B5"/>
    <w:pPr>
      <w:numPr>
        <w:ilvl w:val="6"/>
        <w:numId w:val="1"/>
      </w:numPr>
      <w:spacing w:before="240" w:after="60"/>
      <w:outlineLvl w:val="6"/>
    </w:pPr>
  </w:style>
  <w:style w:type="paragraph" w:styleId="Heading8">
    <w:name w:val="heading 8"/>
    <w:basedOn w:val="Normal"/>
    <w:next w:val="Normal"/>
    <w:qFormat/>
    <w:rsid w:val="003419B5"/>
    <w:pPr>
      <w:numPr>
        <w:ilvl w:val="7"/>
        <w:numId w:val="1"/>
      </w:numPr>
      <w:spacing w:before="240" w:after="60"/>
      <w:outlineLvl w:val="7"/>
    </w:pPr>
    <w:rPr>
      <w:i/>
      <w:iCs/>
    </w:rPr>
  </w:style>
  <w:style w:type="paragraph" w:styleId="Heading9">
    <w:name w:val="heading 9"/>
    <w:basedOn w:val="Normal"/>
    <w:next w:val="Normal"/>
    <w:qFormat/>
    <w:rsid w:val="003419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CC"/>
    <w:rPr>
      <w:rFonts w:ascii="Tahoma" w:hAnsi="Tahoma" w:cs="Tahoma"/>
      <w:sz w:val="16"/>
      <w:szCs w:val="16"/>
    </w:rPr>
  </w:style>
  <w:style w:type="paragraph" w:styleId="Footer">
    <w:name w:val="footer"/>
    <w:basedOn w:val="Normal"/>
    <w:rsid w:val="007C6DCC"/>
    <w:pPr>
      <w:tabs>
        <w:tab w:val="center" w:pos="4536"/>
        <w:tab w:val="right" w:pos="9072"/>
      </w:tabs>
    </w:pPr>
  </w:style>
  <w:style w:type="character" w:styleId="PageNumber">
    <w:name w:val="page number"/>
    <w:basedOn w:val="DefaultParagraphFont"/>
    <w:rsid w:val="007C6DCC"/>
  </w:style>
  <w:style w:type="character" w:styleId="Hyperlink">
    <w:name w:val="Hyperlink"/>
    <w:basedOn w:val="DefaultParagraphFont"/>
    <w:uiPriority w:val="99"/>
    <w:rsid w:val="007C6DCC"/>
    <w:rPr>
      <w:color w:val="0000FF"/>
      <w:u w:val="single"/>
    </w:rPr>
  </w:style>
  <w:style w:type="paragraph" w:styleId="TOC1">
    <w:name w:val="toc 1"/>
    <w:basedOn w:val="Normal"/>
    <w:next w:val="Normal"/>
    <w:autoRedefine/>
    <w:uiPriority w:val="39"/>
    <w:rsid w:val="008D1E82"/>
    <w:pPr>
      <w:tabs>
        <w:tab w:val="left" w:pos="480"/>
        <w:tab w:val="right" w:leader="dot" w:pos="9062"/>
      </w:tabs>
    </w:pPr>
    <w:rPr>
      <w:b/>
      <w:noProof/>
      <w:lang w:val="en-GB"/>
    </w:rPr>
  </w:style>
  <w:style w:type="paragraph" w:styleId="TOC2">
    <w:name w:val="toc 2"/>
    <w:basedOn w:val="Normal"/>
    <w:next w:val="Normal"/>
    <w:autoRedefine/>
    <w:uiPriority w:val="39"/>
    <w:rsid w:val="007C64FB"/>
    <w:pPr>
      <w:ind w:left="240"/>
    </w:pPr>
  </w:style>
  <w:style w:type="paragraph" w:styleId="TOC3">
    <w:name w:val="toc 3"/>
    <w:basedOn w:val="Normal"/>
    <w:next w:val="Normal"/>
    <w:autoRedefine/>
    <w:uiPriority w:val="39"/>
    <w:rsid w:val="00E116AB"/>
    <w:pPr>
      <w:ind w:left="480"/>
    </w:pPr>
  </w:style>
  <w:style w:type="paragraph" w:styleId="NormalWeb">
    <w:name w:val="Normal (Web)"/>
    <w:basedOn w:val="Normal"/>
    <w:link w:val="NormalWebChar"/>
    <w:rsid w:val="00940A50"/>
  </w:style>
  <w:style w:type="character" w:customStyle="1" w:styleId="NormalWebChar">
    <w:name w:val="Normal (Web) Char"/>
    <w:basedOn w:val="DefaultParagraphFont"/>
    <w:link w:val="NormalWeb"/>
    <w:rsid w:val="007A5006"/>
    <w:rPr>
      <w:sz w:val="24"/>
      <w:szCs w:val="24"/>
      <w:lang w:val="cs-CZ" w:eastAsia="cs-CZ" w:bidi="ar-SA"/>
    </w:rPr>
  </w:style>
  <w:style w:type="character" w:styleId="Strong">
    <w:name w:val="Strong"/>
    <w:basedOn w:val="DefaultParagraphFont"/>
    <w:qFormat/>
    <w:rsid w:val="00940A50"/>
    <w:rPr>
      <w:b/>
      <w:bCs/>
    </w:rPr>
  </w:style>
  <w:style w:type="character" w:styleId="Emphasis">
    <w:name w:val="Emphasis"/>
    <w:basedOn w:val="DefaultParagraphFont"/>
    <w:qFormat/>
    <w:rsid w:val="00940A50"/>
    <w:rPr>
      <w:i/>
      <w:iCs/>
    </w:rPr>
  </w:style>
  <w:style w:type="paragraph" w:styleId="FootnoteText">
    <w:name w:val="footnote text"/>
    <w:basedOn w:val="Normal"/>
    <w:link w:val="FootnoteTextChar"/>
    <w:semiHidden/>
    <w:rsid w:val="00940A50"/>
    <w:rPr>
      <w:sz w:val="20"/>
      <w:szCs w:val="20"/>
    </w:rPr>
  </w:style>
  <w:style w:type="character" w:styleId="FootnoteReference">
    <w:name w:val="footnote reference"/>
    <w:basedOn w:val="DefaultParagraphFont"/>
    <w:semiHidden/>
    <w:rsid w:val="00940A50"/>
    <w:rPr>
      <w:vertAlign w:val="superscript"/>
    </w:rPr>
  </w:style>
  <w:style w:type="table" w:styleId="TableGrid">
    <w:name w:val="Table Grid"/>
    <w:basedOn w:val="TableNormal"/>
    <w:rsid w:val="001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al"/>
    <w:link w:val="AODocTxtCharCharChar"/>
    <w:rsid w:val="00B05EA2"/>
    <w:pPr>
      <w:numPr>
        <w:numId w:val="2"/>
      </w:numPr>
      <w:spacing w:before="240" w:line="260" w:lineRule="atLeast"/>
    </w:pPr>
    <w:rPr>
      <w:rFonts w:eastAsia="SimSun"/>
      <w:sz w:val="22"/>
      <w:szCs w:val="22"/>
      <w:lang w:val="en-GB" w:eastAsia="en-US"/>
    </w:rPr>
  </w:style>
  <w:style w:type="character" w:customStyle="1" w:styleId="AODocTxtCharCharChar">
    <w:name w:val="AODocTxt Char Char Char"/>
    <w:basedOn w:val="DefaultParagraphFont"/>
    <w:link w:val="AODocTxtCharChar"/>
    <w:rsid w:val="00B05EA2"/>
    <w:rPr>
      <w:rFonts w:eastAsia="SimSun"/>
      <w:sz w:val="22"/>
      <w:szCs w:val="22"/>
      <w:lang w:val="en-GB" w:eastAsia="en-US"/>
    </w:rPr>
  </w:style>
  <w:style w:type="paragraph" w:customStyle="1" w:styleId="AODocTxtL1">
    <w:name w:val="AODocTxtL1"/>
    <w:basedOn w:val="AODocTxtCharChar"/>
    <w:rsid w:val="00B05EA2"/>
    <w:pPr>
      <w:numPr>
        <w:ilvl w:val="1"/>
      </w:numPr>
      <w:tabs>
        <w:tab w:val="num" w:pos="643"/>
      </w:tabs>
      <w:ind w:left="643" w:hanging="360"/>
    </w:pPr>
  </w:style>
  <w:style w:type="paragraph" w:customStyle="1" w:styleId="AODocTxtL2">
    <w:name w:val="AODocTxtL2"/>
    <w:basedOn w:val="AODocTxtCharChar"/>
    <w:rsid w:val="00B05EA2"/>
    <w:pPr>
      <w:numPr>
        <w:ilvl w:val="2"/>
      </w:numPr>
      <w:tabs>
        <w:tab w:val="num" w:pos="643"/>
      </w:tabs>
      <w:ind w:left="643" w:hanging="360"/>
    </w:pPr>
  </w:style>
  <w:style w:type="paragraph" w:customStyle="1" w:styleId="AODocTxtL3">
    <w:name w:val="AODocTxtL3"/>
    <w:basedOn w:val="AODocTxtCharChar"/>
    <w:rsid w:val="00B05EA2"/>
    <w:pPr>
      <w:numPr>
        <w:numId w:val="0"/>
      </w:numPr>
      <w:tabs>
        <w:tab w:val="num" w:pos="643"/>
      </w:tabs>
      <w:ind w:left="643" w:hanging="360"/>
    </w:pPr>
  </w:style>
  <w:style w:type="paragraph" w:customStyle="1" w:styleId="AODocTxtL4">
    <w:name w:val="AODocTxtL4"/>
    <w:basedOn w:val="AODocTxtCharChar"/>
    <w:rsid w:val="00B05EA2"/>
    <w:pPr>
      <w:numPr>
        <w:numId w:val="0"/>
      </w:numPr>
      <w:tabs>
        <w:tab w:val="num" w:pos="643"/>
      </w:tabs>
      <w:ind w:left="643" w:hanging="360"/>
    </w:pPr>
  </w:style>
  <w:style w:type="paragraph" w:customStyle="1" w:styleId="AODocTxtL5">
    <w:name w:val="AODocTxtL5"/>
    <w:basedOn w:val="AODocTxtCharChar"/>
    <w:rsid w:val="00B05EA2"/>
    <w:pPr>
      <w:numPr>
        <w:numId w:val="0"/>
      </w:numPr>
      <w:tabs>
        <w:tab w:val="num" w:pos="643"/>
      </w:tabs>
      <w:ind w:left="643" w:hanging="360"/>
    </w:pPr>
  </w:style>
  <w:style w:type="paragraph" w:customStyle="1" w:styleId="AODocTxtL6">
    <w:name w:val="AODocTxtL6"/>
    <w:basedOn w:val="AODocTxtCharChar"/>
    <w:rsid w:val="00B05EA2"/>
    <w:pPr>
      <w:numPr>
        <w:numId w:val="0"/>
      </w:numPr>
      <w:tabs>
        <w:tab w:val="num" w:pos="643"/>
      </w:tabs>
      <w:ind w:left="643" w:hanging="360"/>
    </w:pPr>
  </w:style>
  <w:style w:type="paragraph" w:customStyle="1" w:styleId="AODocTxtL7">
    <w:name w:val="AODocTxtL7"/>
    <w:basedOn w:val="AODocTxtCharChar"/>
    <w:rsid w:val="00B05EA2"/>
    <w:pPr>
      <w:numPr>
        <w:numId w:val="0"/>
      </w:numPr>
      <w:tabs>
        <w:tab w:val="num" w:pos="643"/>
      </w:tabs>
      <w:ind w:left="643" w:hanging="360"/>
    </w:pPr>
  </w:style>
  <w:style w:type="paragraph" w:customStyle="1" w:styleId="AODocTxtL8">
    <w:name w:val="AODocTxtL8"/>
    <w:basedOn w:val="AODocTxtCharChar"/>
    <w:rsid w:val="00B05EA2"/>
    <w:pPr>
      <w:numPr>
        <w:numId w:val="0"/>
      </w:numPr>
      <w:tabs>
        <w:tab w:val="num" w:pos="643"/>
      </w:tabs>
      <w:ind w:left="643" w:hanging="360"/>
    </w:pPr>
  </w:style>
  <w:style w:type="paragraph" w:customStyle="1" w:styleId="AOHeading2">
    <w:name w:val="AOHeading2"/>
    <w:basedOn w:val="Normal"/>
    <w:next w:val="Normal"/>
    <w:rsid w:val="00133FEF"/>
    <w:pPr>
      <w:keepNext/>
      <w:spacing w:before="240" w:line="260" w:lineRule="atLeast"/>
      <w:outlineLvl w:val="1"/>
    </w:pPr>
    <w:rPr>
      <w:rFonts w:eastAsia="SimSun"/>
      <w:b/>
      <w:sz w:val="22"/>
      <w:szCs w:val="22"/>
      <w:lang w:val="en-GB" w:eastAsia="en-US"/>
    </w:rPr>
  </w:style>
  <w:style w:type="paragraph" w:customStyle="1" w:styleId="AOHeading6">
    <w:name w:val="AOHeading6"/>
    <w:basedOn w:val="Normal"/>
    <w:next w:val="Normal"/>
    <w:rsid w:val="00133FEF"/>
    <w:pPr>
      <w:keepNext/>
      <w:spacing w:before="240" w:line="260" w:lineRule="atLeast"/>
      <w:outlineLvl w:val="5"/>
    </w:pPr>
    <w:rPr>
      <w:rFonts w:eastAsia="SimSun"/>
      <w:b/>
      <w:i/>
      <w:sz w:val="22"/>
      <w:szCs w:val="22"/>
      <w:lang w:val="en-GB" w:eastAsia="en-US"/>
    </w:rPr>
  </w:style>
  <w:style w:type="paragraph" w:customStyle="1" w:styleId="AODocTxt">
    <w:name w:val="AODocTxt"/>
    <w:basedOn w:val="Normal"/>
    <w:rsid w:val="00963AA8"/>
    <w:pPr>
      <w:spacing w:before="240" w:line="260" w:lineRule="atLeast"/>
    </w:pPr>
    <w:rPr>
      <w:rFonts w:eastAsia="SimSun"/>
      <w:sz w:val="22"/>
      <w:szCs w:val="22"/>
      <w:lang w:val="en-GB" w:eastAsia="en-US"/>
    </w:rPr>
  </w:style>
  <w:style w:type="paragraph" w:customStyle="1" w:styleId="AONormal">
    <w:name w:val="AONormal"/>
    <w:rsid w:val="00A37475"/>
    <w:pPr>
      <w:spacing w:line="260" w:lineRule="atLeast"/>
    </w:pPr>
    <w:rPr>
      <w:rFonts w:eastAsia="SimSun"/>
      <w:sz w:val="22"/>
      <w:szCs w:val="22"/>
      <w:lang w:val="en-GB" w:eastAsia="en-US"/>
    </w:rPr>
  </w:style>
  <w:style w:type="paragraph" w:customStyle="1" w:styleId="AOListNumber">
    <w:name w:val="AOListNumber"/>
    <w:basedOn w:val="Normal"/>
    <w:rsid w:val="002478FB"/>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al"/>
    <w:rsid w:val="00317ACD"/>
    <w:pPr>
      <w:numPr>
        <w:numId w:val="4"/>
      </w:numPr>
      <w:spacing w:before="240" w:line="260" w:lineRule="atLeast"/>
    </w:pPr>
    <w:rPr>
      <w:rFonts w:eastAsia="SimSun"/>
      <w:sz w:val="22"/>
      <w:szCs w:val="22"/>
      <w:lang w:val="en-GB" w:eastAsia="en-US"/>
    </w:rPr>
  </w:style>
  <w:style w:type="paragraph" w:customStyle="1" w:styleId="AOHeading4">
    <w:name w:val="AOHeading4"/>
    <w:basedOn w:val="Normal"/>
    <w:next w:val="AODocTxt"/>
    <w:rsid w:val="00317ACD"/>
    <w:pPr>
      <w:keepNext/>
      <w:spacing w:before="240" w:line="260" w:lineRule="atLeast"/>
      <w:outlineLvl w:val="3"/>
    </w:pPr>
    <w:rPr>
      <w:rFonts w:eastAsia="SimSun"/>
      <w:i/>
      <w:sz w:val="22"/>
      <w:szCs w:val="22"/>
      <w:lang w:val="en-GB" w:eastAsia="en-US"/>
    </w:rPr>
  </w:style>
  <w:style w:type="paragraph" w:styleId="TOC4">
    <w:name w:val="toc 4"/>
    <w:basedOn w:val="Normal"/>
    <w:next w:val="Normal"/>
    <w:autoRedefine/>
    <w:uiPriority w:val="39"/>
    <w:rsid w:val="003C4C6F"/>
    <w:pPr>
      <w:ind w:left="720"/>
    </w:pPr>
  </w:style>
  <w:style w:type="character" w:customStyle="1" w:styleId="platne1">
    <w:name w:val="platne1"/>
    <w:basedOn w:val="DefaultParagraphFont"/>
    <w:rsid w:val="00374B50"/>
  </w:style>
  <w:style w:type="paragraph" w:styleId="BodyText">
    <w:name w:val="Body Text"/>
    <w:basedOn w:val="Normal"/>
    <w:rsid w:val="00131B3A"/>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paragraph" w:customStyle="1" w:styleId="euroheading">
    <w:name w:val="euro heading"/>
    <w:basedOn w:val="Normal"/>
    <w:rsid w:val="003322AB"/>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al"/>
    <w:rsid w:val="003322AB"/>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al"/>
    <w:rsid w:val="003322AB"/>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al"/>
    <w:rsid w:val="003322AB"/>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al"/>
    <w:rsid w:val="003322AB"/>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Header">
    <w:name w:val="header"/>
    <w:basedOn w:val="Normal"/>
    <w:link w:val="HeaderChar"/>
    <w:rsid w:val="003322AB"/>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paragraph" w:styleId="BodyTextIndent">
    <w:name w:val="Body Text Indent"/>
    <w:basedOn w:val="Normal"/>
    <w:rsid w:val="00FF3348"/>
    <w:pPr>
      <w:spacing w:after="120"/>
      <w:ind w:left="283"/>
    </w:pPr>
  </w:style>
  <w:style w:type="paragraph" w:customStyle="1" w:styleId="Ne1">
    <w:name w:val="Ne1"/>
    <w:basedOn w:val="Normal"/>
    <w:next w:val="Ne2"/>
    <w:autoRedefine/>
    <w:rsid w:val="00FF3348"/>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FF3348"/>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FF3348"/>
    <w:pPr>
      <w:tabs>
        <w:tab w:val="clear" w:pos="851"/>
        <w:tab w:val="left" w:pos="-108"/>
      </w:tabs>
      <w:ind w:left="851"/>
    </w:pPr>
  </w:style>
  <w:style w:type="character" w:customStyle="1" w:styleId="Ne2Char">
    <w:name w:val="Ne2 Char"/>
    <w:basedOn w:val="DefaultParagraphFont"/>
    <w:link w:val="Ne2"/>
    <w:rsid w:val="00FF3348"/>
    <w:rPr>
      <w:rFonts w:cs="Arial"/>
      <w:sz w:val="22"/>
      <w:szCs w:val="24"/>
      <w:lang w:val="cs-CZ" w:eastAsia="en-US" w:bidi="ar-SA"/>
    </w:rPr>
  </w:style>
  <w:style w:type="paragraph" w:customStyle="1" w:styleId="Ne4">
    <w:name w:val="Ne4"/>
    <w:basedOn w:val="Ne2"/>
    <w:next w:val="Ne2"/>
    <w:rsid w:val="00FF3348"/>
    <w:pPr>
      <w:spacing w:before="240"/>
    </w:pPr>
    <w:rPr>
      <w:i/>
      <w:iCs/>
    </w:rPr>
  </w:style>
  <w:style w:type="paragraph" w:customStyle="1" w:styleId="Ne0">
    <w:name w:val="Ne 0"/>
    <w:basedOn w:val="Ne1"/>
    <w:next w:val="Ne2"/>
    <w:autoRedefine/>
    <w:rsid w:val="00FF3348"/>
    <w:pPr>
      <w:keepNext w:val="0"/>
      <w:keepLines w:val="0"/>
      <w:tabs>
        <w:tab w:val="clear" w:pos="540"/>
        <w:tab w:val="left" w:pos="480"/>
      </w:tabs>
      <w:spacing w:before="120"/>
    </w:pPr>
    <w:rPr>
      <w:bCs/>
    </w:rPr>
  </w:style>
  <w:style w:type="paragraph" w:styleId="BodyTextIndent2">
    <w:name w:val="Body Text Indent 2"/>
    <w:basedOn w:val="Normal"/>
    <w:rsid w:val="00FF3348"/>
    <w:pPr>
      <w:overflowPunct w:val="0"/>
      <w:autoSpaceDE w:val="0"/>
      <w:autoSpaceDN w:val="0"/>
      <w:adjustRightInd w:val="0"/>
      <w:spacing w:before="120"/>
      <w:ind w:left="425"/>
      <w:textAlignment w:val="baseline"/>
    </w:pPr>
    <w:rPr>
      <w:rFonts w:ascii="Times" w:hAnsi="Times"/>
      <w:sz w:val="22"/>
      <w:szCs w:val="20"/>
      <w:lang w:val="en-GB" w:eastAsia="en-US"/>
    </w:rPr>
  </w:style>
  <w:style w:type="paragraph" w:styleId="BodyTextIndent3">
    <w:name w:val="Body Text Indent 3"/>
    <w:basedOn w:val="Normal"/>
    <w:rsid w:val="00FF3348"/>
    <w:pPr>
      <w:spacing w:before="120" w:line="240" w:lineRule="atLeast"/>
      <w:ind w:left="426"/>
    </w:pPr>
    <w:rPr>
      <w:szCs w:val="20"/>
      <w:lang w:eastAsia="en-US"/>
    </w:rPr>
  </w:style>
  <w:style w:type="paragraph" w:customStyle="1" w:styleId="CVtextheader1">
    <w:name w:val="CV text  header 1"/>
    <w:link w:val="CVtextheader1Char"/>
    <w:rsid w:val="00FF3348"/>
    <w:pPr>
      <w:spacing w:before="120" w:line="280" w:lineRule="atLeast"/>
      <w:ind w:left="567"/>
      <w:jc w:val="both"/>
    </w:pPr>
    <w:rPr>
      <w:sz w:val="22"/>
      <w:szCs w:val="24"/>
      <w:lang w:eastAsia="en-US"/>
    </w:rPr>
  </w:style>
  <w:style w:type="character" w:customStyle="1" w:styleId="CVtextheader1Char">
    <w:name w:val="CV text  header 1 Char"/>
    <w:basedOn w:val="DefaultParagraphFont"/>
    <w:link w:val="CVtextheader1"/>
    <w:rsid w:val="00FF3348"/>
    <w:rPr>
      <w:sz w:val="22"/>
      <w:szCs w:val="24"/>
      <w:lang w:val="cs-CZ" w:eastAsia="en-US" w:bidi="ar-SA"/>
    </w:rPr>
  </w:style>
  <w:style w:type="table" w:customStyle="1" w:styleId="CVtable1header1">
    <w:name w:val="CV table 1 header 1"/>
    <w:basedOn w:val="TableNormal"/>
    <w:rsid w:val="00FF334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FF3348"/>
    <w:rPr>
      <w:sz w:val="18"/>
      <w:szCs w:val="18"/>
      <w:lang w:eastAsia="en-US"/>
    </w:rPr>
  </w:style>
  <w:style w:type="paragraph" w:customStyle="1" w:styleId="CVbodytablerowheader">
    <w:name w:val="CV body table row header"/>
    <w:rsid w:val="00FF3348"/>
    <w:pPr>
      <w:jc w:val="right"/>
    </w:pPr>
    <w:rPr>
      <w:sz w:val="18"/>
      <w:szCs w:val="18"/>
      <w:lang w:eastAsia="en-US"/>
    </w:rPr>
  </w:style>
  <w:style w:type="paragraph" w:styleId="CommentText">
    <w:name w:val="annotation text"/>
    <w:basedOn w:val="Normal"/>
    <w:link w:val="CommentTextChar"/>
    <w:uiPriority w:val="99"/>
    <w:semiHidden/>
    <w:rsid w:val="00FF3348"/>
    <w:rPr>
      <w:sz w:val="20"/>
      <w:szCs w:val="20"/>
    </w:rPr>
  </w:style>
  <w:style w:type="paragraph" w:customStyle="1" w:styleId="SPPbasic">
    <w:name w:val="SPP_basic"/>
    <w:basedOn w:val="Normal"/>
    <w:rsid w:val="00FF3348"/>
    <w:pPr>
      <w:suppressAutoHyphens/>
      <w:spacing w:before="240"/>
      <w:ind w:left="567"/>
    </w:pPr>
    <w:rPr>
      <w:sz w:val="22"/>
      <w:szCs w:val="22"/>
      <w:lang w:eastAsia="en-US"/>
    </w:rPr>
  </w:style>
  <w:style w:type="paragraph" w:customStyle="1" w:styleId="BodyText31">
    <w:name w:val="Body Text 31"/>
    <w:basedOn w:val="Normal"/>
    <w:link w:val="BodyText31Char"/>
    <w:rsid w:val="00FF3348"/>
    <w:pPr>
      <w:overflowPunct w:val="0"/>
      <w:autoSpaceDE w:val="0"/>
      <w:autoSpaceDN w:val="0"/>
      <w:adjustRightInd w:val="0"/>
      <w:spacing w:before="120" w:line="240" w:lineRule="atLeast"/>
      <w:textAlignment w:val="baseline"/>
    </w:pPr>
    <w:rPr>
      <w:rFonts w:ascii="Arial" w:hAnsi="Arial"/>
    </w:rPr>
  </w:style>
  <w:style w:type="character" w:customStyle="1" w:styleId="BodyText31Char">
    <w:name w:val="Body Text 31 Char"/>
    <w:basedOn w:val="DefaultParagraphFont"/>
    <w:link w:val="BodyText31"/>
    <w:rsid w:val="00FF3348"/>
    <w:rPr>
      <w:rFonts w:ascii="Arial" w:hAnsi="Arial"/>
      <w:sz w:val="24"/>
      <w:szCs w:val="24"/>
      <w:lang w:val="cs-CZ" w:eastAsia="cs-CZ" w:bidi="ar-SA"/>
    </w:rPr>
  </w:style>
  <w:style w:type="character" w:styleId="CommentReference">
    <w:name w:val="annotation reference"/>
    <w:basedOn w:val="DefaultParagraphFont"/>
    <w:semiHidden/>
    <w:rsid w:val="00FF3348"/>
    <w:rPr>
      <w:sz w:val="16"/>
      <w:szCs w:val="16"/>
    </w:rPr>
  </w:style>
  <w:style w:type="character" w:customStyle="1" w:styleId="editace2">
    <w:name w:val="editace2"/>
    <w:basedOn w:val="DefaultParagraphFont"/>
    <w:rsid w:val="00FF3348"/>
    <w:rPr>
      <w:b/>
      <w:bCs/>
      <w:strike/>
      <w:dstrike w:val="0"/>
      <w:color w:val="FF0000"/>
      <w:vertAlign w:val="baseline"/>
      <w:lang w:val="en-GB"/>
    </w:rPr>
  </w:style>
  <w:style w:type="paragraph" w:customStyle="1" w:styleId="Style1">
    <w:name w:val="Style1"/>
    <w:basedOn w:val="Normal"/>
    <w:next w:val="Normal"/>
    <w:rsid w:val="00FF3348"/>
    <w:pPr>
      <w:ind w:left="600"/>
    </w:pPr>
    <w:rPr>
      <w:rFonts w:cs="Arial"/>
      <w:color w:val="000080"/>
      <w:u w:val="single"/>
      <w:lang w:val="en-GB" w:eastAsia="en-US"/>
    </w:rPr>
  </w:style>
  <w:style w:type="paragraph" w:customStyle="1" w:styleId="CVtextheader2italics">
    <w:name w:val="CV text header 2 italics"/>
    <w:rsid w:val="00FF3348"/>
    <w:pPr>
      <w:spacing w:before="120" w:line="280" w:lineRule="atLeast"/>
      <w:ind w:left="1134"/>
      <w:jc w:val="both"/>
    </w:pPr>
    <w:rPr>
      <w:i/>
      <w:sz w:val="22"/>
      <w:lang w:eastAsia="en-US"/>
    </w:rPr>
  </w:style>
  <w:style w:type="paragraph" w:styleId="CommentSubject">
    <w:name w:val="annotation subject"/>
    <w:basedOn w:val="CommentText"/>
    <w:next w:val="CommentText"/>
    <w:semiHidden/>
    <w:rsid w:val="00BD690A"/>
    <w:rPr>
      <w:b/>
      <w:bCs/>
      <w:lang w:val="en-US" w:eastAsia="en-US"/>
    </w:rPr>
  </w:style>
  <w:style w:type="paragraph" w:customStyle="1" w:styleId="AODocTxtChar">
    <w:name w:val="AODocTxt Char"/>
    <w:basedOn w:val="Normal"/>
    <w:rsid w:val="00D27E52"/>
    <w:pPr>
      <w:spacing w:before="240" w:line="260" w:lineRule="atLeast"/>
    </w:pPr>
    <w:rPr>
      <w:rFonts w:eastAsia="SimSun"/>
      <w:sz w:val="22"/>
      <w:szCs w:val="22"/>
      <w:lang w:val="en-GB" w:eastAsia="en-US"/>
    </w:rPr>
  </w:style>
  <w:style w:type="table" w:styleId="TableGrid8">
    <w:name w:val="Table Grid 8"/>
    <w:basedOn w:val="TableNormal"/>
    <w:rsid w:val="00B520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al"/>
    <w:next w:val="AODocTxt"/>
    <w:rsid w:val="00DD5D2E"/>
    <w:pPr>
      <w:numPr>
        <w:numId w:val="6"/>
      </w:numPr>
      <w:spacing w:before="240" w:line="260" w:lineRule="atLeast"/>
    </w:pPr>
    <w:rPr>
      <w:rFonts w:eastAsia="SimSun"/>
      <w:sz w:val="22"/>
      <w:szCs w:val="22"/>
      <w:lang w:val="fr-FR" w:eastAsia="en-US"/>
    </w:rPr>
  </w:style>
  <w:style w:type="paragraph" w:customStyle="1" w:styleId="AOHead1">
    <w:name w:val="AOHead1"/>
    <w:basedOn w:val="Normal"/>
    <w:next w:val="AODocTxtL1"/>
    <w:rsid w:val="004863AD"/>
    <w:pPr>
      <w:keepNext/>
      <w:numPr>
        <w:numId w:val="7"/>
      </w:numPr>
      <w:spacing w:before="240" w:line="260" w:lineRule="atLeast"/>
      <w:outlineLvl w:val="0"/>
    </w:pPr>
    <w:rPr>
      <w:rFonts w:eastAsia="SimSun"/>
      <w:b/>
      <w:caps/>
      <w:kern w:val="28"/>
      <w:sz w:val="22"/>
      <w:szCs w:val="22"/>
      <w:lang w:val="fr-FR" w:eastAsia="en-US"/>
    </w:rPr>
  </w:style>
  <w:style w:type="paragraph" w:customStyle="1" w:styleId="AOHead2">
    <w:name w:val="AOHead2"/>
    <w:basedOn w:val="Normal"/>
    <w:next w:val="AODocTxtL1"/>
    <w:rsid w:val="004863AD"/>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al"/>
    <w:next w:val="AODocTxtL2"/>
    <w:rsid w:val="004863AD"/>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al"/>
    <w:next w:val="AODocTxtL3"/>
    <w:rsid w:val="004863AD"/>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al"/>
    <w:next w:val="AODocTxtL4"/>
    <w:rsid w:val="004863AD"/>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al"/>
    <w:next w:val="AODocTxtL5"/>
    <w:rsid w:val="004863AD"/>
    <w:pPr>
      <w:tabs>
        <w:tab w:val="num" w:pos="3600"/>
      </w:tabs>
      <w:spacing w:before="240" w:line="260" w:lineRule="atLeast"/>
      <w:ind w:left="3600" w:hanging="720"/>
      <w:outlineLvl w:val="5"/>
    </w:pPr>
    <w:rPr>
      <w:rFonts w:eastAsia="SimSun"/>
      <w:sz w:val="22"/>
      <w:szCs w:val="22"/>
      <w:lang w:val="fr-FR" w:eastAsia="en-US"/>
    </w:rPr>
  </w:style>
  <w:style w:type="paragraph" w:styleId="DocumentMap">
    <w:name w:val="Document Map"/>
    <w:basedOn w:val="Normal"/>
    <w:semiHidden/>
    <w:rsid w:val="00A219DB"/>
    <w:pPr>
      <w:shd w:val="clear" w:color="auto" w:fill="000080"/>
    </w:pPr>
    <w:rPr>
      <w:rFonts w:ascii="Tahoma" w:hAnsi="Tahoma" w:cs="Tahoma"/>
    </w:rPr>
  </w:style>
  <w:style w:type="paragraph" w:customStyle="1" w:styleId="aodoctxt0">
    <w:name w:val="aodoctxt"/>
    <w:basedOn w:val="Normal"/>
    <w:rsid w:val="007D3921"/>
  </w:style>
  <w:style w:type="paragraph" w:styleId="z-TopofForm">
    <w:name w:val="HTML Top of Form"/>
    <w:basedOn w:val="Normal"/>
    <w:next w:val="Normal"/>
    <w:hidden/>
    <w:rsid w:val="0004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C4B"/>
    <w:pPr>
      <w:pBdr>
        <w:top w:val="single" w:sz="6" w:space="1" w:color="auto"/>
      </w:pBdr>
      <w:jc w:val="center"/>
    </w:pPr>
    <w:rPr>
      <w:rFonts w:ascii="Arial" w:hAnsi="Arial" w:cs="Arial"/>
      <w:vanish/>
      <w:sz w:val="16"/>
      <w:szCs w:val="16"/>
    </w:rPr>
  </w:style>
  <w:style w:type="character" w:customStyle="1" w:styleId="vcblt1">
    <w:name w:val="vcb_lt1"/>
    <w:basedOn w:val="DefaultParagraphFont"/>
    <w:rsid w:val="00967059"/>
    <w:rPr>
      <w:rFonts w:ascii="Arial" w:hAnsi="Arial" w:cs="Arial" w:hint="default"/>
      <w:b w:val="0"/>
      <w:bCs w:val="0"/>
      <w:strike w:val="0"/>
      <w:dstrike w:val="0"/>
      <w:color w:val="0000FF"/>
      <w:sz w:val="20"/>
      <w:szCs w:val="20"/>
      <w:u w:val="none"/>
      <w:effect w:val="none"/>
    </w:rPr>
  </w:style>
  <w:style w:type="character" w:customStyle="1" w:styleId="vcbrt1">
    <w:name w:val="vcb_rt1"/>
    <w:basedOn w:val="DefaultParagraphFont"/>
    <w:rsid w:val="00967059"/>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284831"/>
    <w:rPr>
      <w:color w:val="0000FF"/>
      <w:spacing w:val="0"/>
      <w:u w:val="double"/>
    </w:rPr>
  </w:style>
  <w:style w:type="paragraph" w:customStyle="1" w:styleId="CM38">
    <w:name w:val="CM38"/>
    <w:basedOn w:val="Normal"/>
    <w:next w:val="Normal"/>
    <w:uiPriority w:val="99"/>
    <w:rsid w:val="008E60DA"/>
    <w:pPr>
      <w:widowControl w:val="0"/>
      <w:autoSpaceDE w:val="0"/>
      <w:autoSpaceDN w:val="0"/>
      <w:adjustRightInd w:val="0"/>
    </w:pPr>
    <w:rPr>
      <w:rFonts w:ascii="EurostileTEEBla" w:hAnsi="EurostileTEEBla"/>
    </w:rPr>
  </w:style>
  <w:style w:type="paragraph" w:customStyle="1" w:styleId="CM42">
    <w:name w:val="CM42"/>
    <w:basedOn w:val="Normal"/>
    <w:next w:val="Normal"/>
    <w:uiPriority w:val="99"/>
    <w:rsid w:val="008E60DA"/>
    <w:pPr>
      <w:widowControl w:val="0"/>
      <w:autoSpaceDE w:val="0"/>
      <w:autoSpaceDN w:val="0"/>
      <w:adjustRightInd w:val="0"/>
    </w:pPr>
    <w:rPr>
      <w:rFonts w:ascii="EurostileTEEBla" w:hAnsi="EurostileTEEBla"/>
    </w:rPr>
  </w:style>
  <w:style w:type="character" w:styleId="FollowedHyperlink">
    <w:name w:val="FollowedHyperlink"/>
    <w:basedOn w:val="DefaultParagraphFont"/>
    <w:rsid w:val="00875F2A"/>
    <w:rPr>
      <w:color w:val="800080"/>
      <w:u w:val="single"/>
    </w:rPr>
  </w:style>
  <w:style w:type="paragraph" w:customStyle="1" w:styleId="Odstavecseseznamem1">
    <w:name w:val="Odstavec se seznamem1"/>
    <w:basedOn w:val="Normal"/>
    <w:rsid w:val="008F2F2C"/>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39"/>
    <w:unhideWhenUsed/>
    <w:qFormat/>
    <w:rsid w:val="009843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oSpacing">
    <w:name w:val="No Spacing"/>
    <w:link w:val="NoSpacingChar"/>
    <w:uiPriority w:val="1"/>
    <w:qFormat/>
    <w:rsid w:val="009843D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843D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825A9"/>
    <w:pPr>
      <w:ind w:left="720"/>
      <w:contextualSpacing/>
    </w:pPr>
  </w:style>
  <w:style w:type="character" w:customStyle="1" w:styleId="HeaderChar">
    <w:name w:val="Header Char"/>
    <w:basedOn w:val="DefaultParagraphFont"/>
    <w:link w:val="Header"/>
    <w:rsid w:val="00A33834"/>
    <w:rPr>
      <w:lang w:val="en-GB" w:eastAsia="en-US"/>
    </w:rPr>
  </w:style>
  <w:style w:type="character" w:customStyle="1" w:styleId="FootnoteTextChar">
    <w:name w:val="Footnote Text Char"/>
    <w:basedOn w:val="DefaultParagraphFont"/>
    <w:link w:val="FootnoteText"/>
    <w:semiHidden/>
    <w:rsid w:val="00A33834"/>
  </w:style>
  <w:style w:type="paragraph" w:styleId="Revision">
    <w:name w:val="Revision"/>
    <w:hidden/>
    <w:uiPriority w:val="99"/>
    <w:semiHidden/>
    <w:rsid w:val="00014BFE"/>
    <w:rPr>
      <w:sz w:val="24"/>
      <w:szCs w:val="24"/>
    </w:rPr>
  </w:style>
  <w:style w:type="character" w:customStyle="1" w:styleId="CommentTextChar">
    <w:name w:val="Comment Text Char"/>
    <w:basedOn w:val="DefaultParagraphFont"/>
    <w:link w:val="CommentText"/>
    <w:uiPriority w:val="99"/>
    <w:semiHidden/>
    <w:rsid w:val="00A83C9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960">
      <w:bodyDiv w:val="1"/>
      <w:marLeft w:val="0"/>
      <w:marRight w:val="0"/>
      <w:marTop w:val="0"/>
      <w:marBottom w:val="0"/>
      <w:divBdr>
        <w:top w:val="none" w:sz="0" w:space="0" w:color="auto"/>
        <w:left w:val="none" w:sz="0" w:space="0" w:color="auto"/>
        <w:bottom w:val="none" w:sz="0" w:space="0" w:color="auto"/>
        <w:right w:val="none" w:sz="0" w:space="0" w:color="auto"/>
      </w:divBdr>
    </w:div>
    <w:div w:id="48115764">
      <w:bodyDiv w:val="1"/>
      <w:marLeft w:val="0"/>
      <w:marRight w:val="0"/>
      <w:marTop w:val="0"/>
      <w:marBottom w:val="0"/>
      <w:divBdr>
        <w:top w:val="none" w:sz="0" w:space="0" w:color="auto"/>
        <w:left w:val="none" w:sz="0" w:space="0" w:color="auto"/>
        <w:bottom w:val="none" w:sz="0" w:space="0" w:color="auto"/>
        <w:right w:val="none" w:sz="0" w:space="0" w:color="auto"/>
      </w:divBdr>
    </w:div>
    <w:div w:id="136847958">
      <w:bodyDiv w:val="1"/>
      <w:marLeft w:val="0"/>
      <w:marRight w:val="0"/>
      <w:marTop w:val="0"/>
      <w:marBottom w:val="0"/>
      <w:divBdr>
        <w:top w:val="none" w:sz="0" w:space="0" w:color="auto"/>
        <w:left w:val="none" w:sz="0" w:space="0" w:color="auto"/>
        <w:bottom w:val="none" w:sz="0" w:space="0" w:color="auto"/>
        <w:right w:val="none" w:sz="0" w:space="0" w:color="auto"/>
      </w:divBdr>
    </w:div>
    <w:div w:id="150415169">
      <w:bodyDiv w:val="1"/>
      <w:marLeft w:val="0"/>
      <w:marRight w:val="0"/>
      <w:marTop w:val="0"/>
      <w:marBottom w:val="0"/>
      <w:divBdr>
        <w:top w:val="none" w:sz="0" w:space="0" w:color="auto"/>
        <w:left w:val="none" w:sz="0" w:space="0" w:color="auto"/>
        <w:bottom w:val="none" w:sz="0" w:space="0" w:color="auto"/>
        <w:right w:val="none" w:sz="0" w:space="0" w:color="auto"/>
      </w:divBdr>
    </w:div>
    <w:div w:id="211888193">
      <w:bodyDiv w:val="1"/>
      <w:marLeft w:val="0"/>
      <w:marRight w:val="0"/>
      <w:marTop w:val="0"/>
      <w:marBottom w:val="0"/>
      <w:divBdr>
        <w:top w:val="none" w:sz="0" w:space="0" w:color="auto"/>
        <w:left w:val="none" w:sz="0" w:space="0" w:color="auto"/>
        <w:bottom w:val="none" w:sz="0" w:space="0" w:color="auto"/>
        <w:right w:val="none" w:sz="0" w:space="0" w:color="auto"/>
      </w:divBdr>
    </w:div>
    <w:div w:id="269241097">
      <w:bodyDiv w:val="1"/>
      <w:marLeft w:val="0"/>
      <w:marRight w:val="0"/>
      <w:marTop w:val="0"/>
      <w:marBottom w:val="0"/>
      <w:divBdr>
        <w:top w:val="none" w:sz="0" w:space="0" w:color="auto"/>
        <w:left w:val="none" w:sz="0" w:space="0" w:color="auto"/>
        <w:bottom w:val="none" w:sz="0" w:space="0" w:color="auto"/>
        <w:right w:val="none" w:sz="0" w:space="0" w:color="auto"/>
      </w:divBdr>
    </w:div>
    <w:div w:id="292752752">
      <w:bodyDiv w:val="1"/>
      <w:marLeft w:val="0"/>
      <w:marRight w:val="0"/>
      <w:marTop w:val="0"/>
      <w:marBottom w:val="0"/>
      <w:divBdr>
        <w:top w:val="none" w:sz="0" w:space="0" w:color="auto"/>
        <w:left w:val="none" w:sz="0" w:space="0" w:color="auto"/>
        <w:bottom w:val="none" w:sz="0" w:space="0" w:color="auto"/>
        <w:right w:val="none" w:sz="0" w:space="0" w:color="auto"/>
      </w:divBdr>
    </w:div>
    <w:div w:id="351345142">
      <w:bodyDiv w:val="1"/>
      <w:marLeft w:val="0"/>
      <w:marRight w:val="0"/>
      <w:marTop w:val="0"/>
      <w:marBottom w:val="0"/>
      <w:divBdr>
        <w:top w:val="none" w:sz="0" w:space="0" w:color="auto"/>
        <w:left w:val="none" w:sz="0" w:space="0" w:color="auto"/>
        <w:bottom w:val="none" w:sz="0" w:space="0" w:color="auto"/>
        <w:right w:val="none" w:sz="0" w:space="0" w:color="auto"/>
      </w:divBdr>
    </w:div>
    <w:div w:id="470757466">
      <w:bodyDiv w:val="1"/>
      <w:marLeft w:val="0"/>
      <w:marRight w:val="0"/>
      <w:marTop w:val="0"/>
      <w:marBottom w:val="0"/>
      <w:divBdr>
        <w:top w:val="none" w:sz="0" w:space="0" w:color="auto"/>
        <w:left w:val="none" w:sz="0" w:space="0" w:color="auto"/>
        <w:bottom w:val="none" w:sz="0" w:space="0" w:color="auto"/>
        <w:right w:val="none" w:sz="0" w:space="0" w:color="auto"/>
      </w:divBdr>
    </w:div>
    <w:div w:id="490291527">
      <w:bodyDiv w:val="1"/>
      <w:marLeft w:val="0"/>
      <w:marRight w:val="0"/>
      <w:marTop w:val="0"/>
      <w:marBottom w:val="0"/>
      <w:divBdr>
        <w:top w:val="none" w:sz="0" w:space="0" w:color="auto"/>
        <w:left w:val="none" w:sz="0" w:space="0" w:color="auto"/>
        <w:bottom w:val="none" w:sz="0" w:space="0" w:color="auto"/>
        <w:right w:val="none" w:sz="0" w:space="0" w:color="auto"/>
      </w:divBdr>
    </w:div>
    <w:div w:id="496379762">
      <w:bodyDiv w:val="1"/>
      <w:marLeft w:val="0"/>
      <w:marRight w:val="0"/>
      <w:marTop w:val="0"/>
      <w:marBottom w:val="0"/>
      <w:divBdr>
        <w:top w:val="none" w:sz="0" w:space="0" w:color="auto"/>
        <w:left w:val="none" w:sz="0" w:space="0" w:color="auto"/>
        <w:bottom w:val="none" w:sz="0" w:space="0" w:color="auto"/>
        <w:right w:val="none" w:sz="0" w:space="0" w:color="auto"/>
      </w:divBdr>
    </w:div>
    <w:div w:id="501167855">
      <w:bodyDiv w:val="1"/>
      <w:marLeft w:val="0"/>
      <w:marRight w:val="0"/>
      <w:marTop w:val="0"/>
      <w:marBottom w:val="0"/>
      <w:divBdr>
        <w:top w:val="none" w:sz="0" w:space="0" w:color="auto"/>
        <w:left w:val="none" w:sz="0" w:space="0" w:color="auto"/>
        <w:bottom w:val="none" w:sz="0" w:space="0" w:color="auto"/>
        <w:right w:val="none" w:sz="0" w:space="0" w:color="auto"/>
      </w:divBdr>
    </w:div>
    <w:div w:id="574894915">
      <w:bodyDiv w:val="1"/>
      <w:marLeft w:val="0"/>
      <w:marRight w:val="0"/>
      <w:marTop w:val="0"/>
      <w:marBottom w:val="0"/>
      <w:divBdr>
        <w:top w:val="none" w:sz="0" w:space="0" w:color="auto"/>
        <w:left w:val="none" w:sz="0" w:space="0" w:color="auto"/>
        <w:bottom w:val="none" w:sz="0" w:space="0" w:color="auto"/>
        <w:right w:val="none" w:sz="0" w:space="0" w:color="auto"/>
      </w:divBdr>
    </w:div>
    <w:div w:id="577860034">
      <w:bodyDiv w:val="1"/>
      <w:marLeft w:val="0"/>
      <w:marRight w:val="0"/>
      <w:marTop w:val="0"/>
      <w:marBottom w:val="0"/>
      <w:divBdr>
        <w:top w:val="none" w:sz="0" w:space="0" w:color="auto"/>
        <w:left w:val="none" w:sz="0" w:space="0" w:color="auto"/>
        <w:bottom w:val="none" w:sz="0" w:space="0" w:color="auto"/>
        <w:right w:val="none" w:sz="0" w:space="0" w:color="auto"/>
      </w:divBdr>
    </w:div>
    <w:div w:id="593365886">
      <w:bodyDiv w:val="1"/>
      <w:marLeft w:val="0"/>
      <w:marRight w:val="0"/>
      <w:marTop w:val="0"/>
      <w:marBottom w:val="0"/>
      <w:divBdr>
        <w:top w:val="none" w:sz="0" w:space="0" w:color="auto"/>
        <w:left w:val="none" w:sz="0" w:space="0" w:color="auto"/>
        <w:bottom w:val="none" w:sz="0" w:space="0" w:color="auto"/>
        <w:right w:val="none" w:sz="0" w:space="0" w:color="auto"/>
      </w:divBdr>
    </w:div>
    <w:div w:id="610010471">
      <w:bodyDiv w:val="1"/>
      <w:marLeft w:val="0"/>
      <w:marRight w:val="0"/>
      <w:marTop w:val="0"/>
      <w:marBottom w:val="0"/>
      <w:divBdr>
        <w:top w:val="none" w:sz="0" w:space="0" w:color="auto"/>
        <w:left w:val="none" w:sz="0" w:space="0" w:color="auto"/>
        <w:bottom w:val="none" w:sz="0" w:space="0" w:color="auto"/>
        <w:right w:val="none" w:sz="0" w:space="0" w:color="auto"/>
      </w:divBdr>
    </w:div>
    <w:div w:id="654727847">
      <w:bodyDiv w:val="1"/>
      <w:marLeft w:val="0"/>
      <w:marRight w:val="0"/>
      <w:marTop w:val="0"/>
      <w:marBottom w:val="0"/>
      <w:divBdr>
        <w:top w:val="none" w:sz="0" w:space="0" w:color="auto"/>
        <w:left w:val="none" w:sz="0" w:space="0" w:color="auto"/>
        <w:bottom w:val="none" w:sz="0" w:space="0" w:color="auto"/>
        <w:right w:val="none" w:sz="0" w:space="0" w:color="auto"/>
      </w:divBdr>
      <w:divsChild>
        <w:div w:id="2111974067">
          <w:marLeft w:val="0"/>
          <w:marRight w:val="0"/>
          <w:marTop w:val="0"/>
          <w:marBottom w:val="0"/>
          <w:divBdr>
            <w:top w:val="none" w:sz="0" w:space="0" w:color="auto"/>
            <w:left w:val="none" w:sz="0" w:space="0" w:color="auto"/>
            <w:bottom w:val="none" w:sz="0" w:space="0" w:color="auto"/>
            <w:right w:val="none" w:sz="0" w:space="0" w:color="auto"/>
          </w:divBdr>
        </w:div>
      </w:divsChild>
    </w:div>
    <w:div w:id="667557110">
      <w:bodyDiv w:val="1"/>
      <w:marLeft w:val="0"/>
      <w:marRight w:val="0"/>
      <w:marTop w:val="0"/>
      <w:marBottom w:val="0"/>
      <w:divBdr>
        <w:top w:val="none" w:sz="0" w:space="0" w:color="auto"/>
        <w:left w:val="none" w:sz="0" w:space="0" w:color="auto"/>
        <w:bottom w:val="none" w:sz="0" w:space="0" w:color="auto"/>
        <w:right w:val="none" w:sz="0" w:space="0" w:color="auto"/>
      </w:divBdr>
      <w:divsChild>
        <w:div w:id="1828285932">
          <w:marLeft w:val="0"/>
          <w:marRight w:val="0"/>
          <w:marTop w:val="100"/>
          <w:marBottom w:val="100"/>
          <w:divBdr>
            <w:top w:val="none" w:sz="0" w:space="0" w:color="auto"/>
            <w:left w:val="none" w:sz="0" w:space="0" w:color="auto"/>
            <w:bottom w:val="none" w:sz="0" w:space="0" w:color="auto"/>
            <w:right w:val="none" w:sz="0" w:space="0" w:color="auto"/>
          </w:divBdr>
          <w:divsChild>
            <w:div w:id="2039768684">
              <w:marLeft w:val="0"/>
              <w:marRight w:val="0"/>
              <w:marTop w:val="0"/>
              <w:marBottom w:val="0"/>
              <w:divBdr>
                <w:top w:val="none" w:sz="0" w:space="0" w:color="auto"/>
                <w:left w:val="none" w:sz="0" w:space="0" w:color="auto"/>
                <w:bottom w:val="none" w:sz="0" w:space="0" w:color="auto"/>
                <w:right w:val="none" w:sz="0" w:space="0" w:color="auto"/>
              </w:divBdr>
              <w:divsChild>
                <w:div w:id="2073889879">
                  <w:marLeft w:val="0"/>
                  <w:marRight w:val="0"/>
                  <w:marTop w:val="153"/>
                  <w:marBottom w:val="0"/>
                  <w:divBdr>
                    <w:top w:val="single" w:sz="6" w:space="4" w:color="CCCCCC"/>
                    <w:left w:val="none" w:sz="0" w:space="0" w:color="auto"/>
                    <w:bottom w:val="none" w:sz="0" w:space="0" w:color="auto"/>
                    <w:right w:val="none" w:sz="0" w:space="0" w:color="auto"/>
                  </w:divBdr>
                  <w:divsChild>
                    <w:div w:id="1712025511">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664">
      <w:bodyDiv w:val="1"/>
      <w:marLeft w:val="0"/>
      <w:marRight w:val="0"/>
      <w:marTop w:val="0"/>
      <w:marBottom w:val="0"/>
      <w:divBdr>
        <w:top w:val="none" w:sz="0" w:space="0" w:color="auto"/>
        <w:left w:val="none" w:sz="0" w:space="0" w:color="auto"/>
        <w:bottom w:val="none" w:sz="0" w:space="0" w:color="auto"/>
        <w:right w:val="none" w:sz="0" w:space="0" w:color="auto"/>
      </w:divBdr>
    </w:div>
    <w:div w:id="674381215">
      <w:bodyDiv w:val="1"/>
      <w:marLeft w:val="0"/>
      <w:marRight w:val="0"/>
      <w:marTop w:val="0"/>
      <w:marBottom w:val="0"/>
      <w:divBdr>
        <w:top w:val="none" w:sz="0" w:space="0" w:color="auto"/>
        <w:left w:val="none" w:sz="0" w:space="0" w:color="auto"/>
        <w:bottom w:val="none" w:sz="0" w:space="0" w:color="auto"/>
        <w:right w:val="none" w:sz="0" w:space="0" w:color="auto"/>
      </w:divBdr>
    </w:div>
    <w:div w:id="680474434">
      <w:bodyDiv w:val="1"/>
      <w:marLeft w:val="0"/>
      <w:marRight w:val="0"/>
      <w:marTop w:val="0"/>
      <w:marBottom w:val="0"/>
      <w:divBdr>
        <w:top w:val="none" w:sz="0" w:space="0" w:color="auto"/>
        <w:left w:val="none" w:sz="0" w:space="0" w:color="auto"/>
        <w:bottom w:val="none" w:sz="0" w:space="0" w:color="auto"/>
        <w:right w:val="none" w:sz="0" w:space="0" w:color="auto"/>
      </w:divBdr>
    </w:div>
    <w:div w:id="756286376">
      <w:bodyDiv w:val="1"/>
      <w:marLeft w:val="0"/>
      <w:marRight w:val="0"/>
      <w:marTop w:val="0"/>
      <w:marBottom w:val="0"/>
      <w:divBdr>
        <w:top w:val="none" w:sz="0" w:space="0" w:color="auto"/>
        <w:left w:val="none" w:sz="0" w:space="0" w:color="auto"/>
        <w:bottom w:val="none" w:sz="0" w:space="0" w:color="auto"/>
        <w:right w:val="none" w:sz="0" w:space="0" w:color="auto"/>
      </w:divBdr>
    </w:div>
    <w:div w:id="768231983">
      <w:bodyDiv w:val="1"/>
      <w:marLeft w:val="0"/>
      <w:marRight w:val="0"/>
      <w:marTop w:val="0"/>
      <w:marBottom w:val="0"/>
      <w:divBdr>
        <w:top w:val="none" w:sz="0" w:space="0" w:color="auto"/>
        <w:left w:val="none" w:sz="0" w:space="0" w:color="auto"/>
        <w:bottom w:val="none" w:sz="0" w:space="0" w:color="auto"/>
        <w:right w:val="none" w:sz="0" w:space="0" w:color="auto"/>
      </w:divBdr>
    </w:div>
    <w:div w:id="769471078">
      <w:bodyDiv w:val="1"/>
      <w:marLeft w:val="0"/>
      <w:marRight w:val="0"/>
      <w:marTop w:val="0"/>
      <w:marBottom w:val="0"/>
      <w:divBdr>
        <w:top w:val="none" w:sz="0" w:space="0" w:color="auto"/>
        <w:left w:val="none" w:sz="0" w:space="0" w:color="auto"/>
        <w:bottom w:val="none" w:sz="0" w:space="0" w:color="auto"/>
        <w:right w:val="none" w:sz="0" w:space="0" w:color="auto"/>
      </w:divBdr>
    </w:div>
    <w:div w:id="806975629">
      <w:bodyDiv w:val="1"/>
      <w:marLeft w:val="0"/>
      <w:marRight w:val="0"/>
      <w:marTop w:val="0"/>
      <w:marBottom w:val="0"/>
      <w:divBdr>
        <w:top w:val="none" w:sz="0" w:space="0" w:color="auto"/>
        <w:left w:val="none" w:sz="0" w:space="0" w:color="auto"/>
        <w:bottom w:val="none" w:sz="0" w:space="0" w:color="auto"/>
        <w:right w:val="none" w:sz="0" w:space="0" w:color="auto"/>
      </w:divBdr>
    </w:div>
    <w:div w:id="844247088">
      <w:bodyDiv w:val="1"/>
      <w:marLeft w:val="0"/>
      <w:marRight w:val="0"/>
      <w:marTop w:val="0"/>
      <w:marBottom w:val="0"/>
      <w:divBdr>
        <w:top w:val="none" w:sz="0" w:space="0" w:color="auto"/>
        <w:left w:val="none" w:sz="0" w:space="0" w:color="auto"/>
        <w:bottom w:val="none" w:sz="0" w:space="0" w:color="auto"/>
        <w:right w:val="none" w:sz="0" w:space="0" w:color="auto"/>
      </w:divBdr>
    </w:div>
    <w:div w:id="884678166">
      <w:bodyDiv w:val="1"/>
      <w:marLeft w:val="0"/>
      <w:marRight w:val="0"/>
      <w:marTop w:val="0"/>
      <w:marBottom w:val="0"/>
      <w:divBdr>
        <w:top w:val="none" w:sz="0" w:space="0" w:color="auto"/>
        <w:left w:val="none" w:sz="0" w:space="0" w:color="auto"/>
        <w:bottom w:val="none" w:sz="0" w:space="0" w:color="auto"/>
        <w:right w:val="none" w:sz="0" w:space="0" w:color="auto"/>
      </w:divBdr>
    </w:div>
    <w:div w:id="898856502">
      <w:bodyDiv w:val="1"/>
      <w:marLeft w:val="0"/>
      <w:marRight w:val="0"/>
      <w:marTop w:val="0"/>
      <w:marBottom w:val="0"/>
      <w:divBdr>
        <w:top w:val="none" w:sz="0" w:space="0" w:color="auto"/>
        <w:left w:val="none" w:sz="0" w:space="0" w:color="auto"/>
        <w:bottom w:val="none" w:sz="0" w:space="0" w:color="auto"/>
        <w:right w:val="none" w:sz="0" w:space="0" w:color="auto"/>
      </w:divBdr>
    </w:div>
    <w:div w:id="928927109">
      <w:bodyDiv w:val="1"/>
      <w:marLeft w:val="0"/>
      <w:marRight w:val="0"/>
      <w:marTop w:val="0"/>
      <w:marBottom w:val="0"/>
      <w:divBdr>
        <w:top w:val="none" w:sz="0" w:space="0" w:color="auto"/>
        <w:left w:val="none" w:sz="0" w:space="0" w:color="auto"/>
        <w:bottom w:val="none" w:sz="0" w:space="0" w:color="auto"/>
        <w:right w:val="none" w:sz="0" w:space="0" w:color="auto"/>
      </w:divBdr>
    </w:div>
    <w:div w:id="969823056">
      <w:bodyDiv w:val="1"/>
      <w:marLeft w:val="0"/>
      <w:marRight w:val="0"/>
      <w:marTop w:val="0"/>
      <w:marBottom w:val="0"/>
      <w:divBdr>
        <w:top w:val="none" w:sz="0" w:space="0" w:color="auto"/>
        <w:left w:val="none" w:sz="0" w:space="0" w:color="auto"/>
        <w:bottom w:val="none" w:sz="0" w:space="0" w:color="auto"/>
        <w:right w:val="none" w:sz="0" w:space="0" w:color="auto"/>
      </w:divBdr>
    </w:div>
    <w:div w:id="1019621467">
      <w:bodyDiv w:val="1"/>
      <w:marLeft w:val="0"/>
      <w:marRight w:val="0"/>
      <w:marTop w:val="0"/>
      <w:marBottom w:val="0"/>
      <w:divBdr>
        <w:top w:val="none" w:sz="0" w:space="0" w:color="auto"/>
        <w:left w:val="none" w:sz="0" w:space="0" w:color="auto"/>
        <w:bottom w:val="none" w:sz="0" w:space="0" w:color="auto"/>
        <w:right w:val="none" w:sz="0" w:space="0" w:color="auto"/>
      </w:divBdr>
      <w:divsChild>
        <w:div w:id="339743043">
          <w:marLeft w:val="0"/>
          <w:marRight w:val="0"/>
          <w:marTop w:val="0"/>
          <w:marBottom w:val="0"/>
          <w:divBdr>
            <w:top w:val="none" w:sz="0" w:space="0" w:color="auto"/>
            <w:left w:val="none" w:sz="0" w:space="0" w:color="auto"/>
            <w:bottom w:val="none" w:sz="0" w:space="0" w:color="auto"/>
            <w:right w:val="none" w:sz="0" w:space="0" w:color="auto"/>
          </w:divBdr>
        </w:div>
      </w:divsChild>
    </w:div>
    <w:div w:id="1059327856">
      <w:bodyDiv w:val="1"/>
      <w:marLeft w:val="0"/>
      <w:marRight w:val="0"/>
      <w:marTop w:val="0"/>
      <w:marBottom w:val="0"/>
      <w:divBdr>
        <w:top w:val="none" w:sz="0" w:space="0" w:color="auto"/>
        <w:left w:val="none" w:sz="0" w:space="0" w:color="auto"/>
        <w:bottom w:val="none" w:sz="0" w:space="0" w:color="auto"/>
        <w:right w:val="none" w:sz="0" w:space="0" w:color="auto"/>
      </w:divBdr>
    </w:div>
    <w:div w:id="1117410336">
      <w:bodyDiv w:val="1"/>
      <w:marLeft w:val="0"/>
      <w:marRight w:val="0"/>
      <w:marTop w:val="0"/>
      <w:marBottom w:val="0"/>
      <w:divBdr>
        <w:top w:val="none" w:sz="0" w:space="0" w:color="auto"/>
        <w:left w:val="none" w:sz="0" w:space="0" w:color="auto"/>
        <w:bottom w:val="none" w:sz="0" w:space="0" w:color="auto"/>
        <w:right w:val="none" w:sz="0" w:space="0" w:color="auto"/>
      </w:divBdr>
    </w:div>
    <w:div w:id="1144396698">
      <w:bodyDiv w:val="1"/>
      <w:marLeft w:val="0"/>
      <w:marRight w:val="0"/>
      <w:marTop w:val="0"/>
      <w:marBottom w:val="0"/>
      <w:divBdr>
        <w:top w:val="none" w:sz="0" w:space="0" w:color="auto"/>
        <w:left w:val="none" w:sz="0" w:space="0" w:color="auto"/>
        <w:bottom w:val="none" w:sz="0" w:space="0" w:color="auto"/>
        <w:right w:val="none" w:sz="0" w:space="0" w:color="auto"/>
      </w:divBdr>
    </w:div>
    <w:div w:id="1154561477">
      <w:bodyDiv w:val="1"/>
      <w:marLeft w:val="0"/>
      <w:marRight w:val="0"/>
      <w:marTop w:val="0"/>
      <w:marBottom w:val="0"/>
      <w:divBdr>
        <w:top w:val="none" w:sz="0" w:space="0" w:color="auto"/>
        <w:left w:val="none" w:sz="0" w:space="0" w:color="auto"/>
        <w:bottom w:val="none" w:sz="0" w:space="0" w:color="auto"/>
        <w:right w:val="none" w:sz="0" w:space="0" w:color="auto"/>
      </w:divBdr>
    </w:div>
    <w:div w:id="1208688762">
      <w:bodyDiv w:val="1"/>
      <w:marLeft w:val="0"/>
      <w:marRight w:val="0"/>
      <w:marTop w:val="0"/>
      <w:marBottom w:val="0"/>
      <w:divBdr>
        <w:top w:val="none" w:sz="0" w:space="0" w:color="auto"/>
        <w:left w:val="none" w:sz="0" w:space="0" w:color="auto"/>
        <w:bottom w:val="none" w:sz="0" w:space="0" w:color="auto"/>
        <w:right w:val="none" w:sz="0" w:space="0" w:color="auto"/>
      </w:divBdr>
    </w:div>
    <w:div w:id="1223641580">
      <w:bodyDiv w:val="1"/>
      <w:marLeft w:val="0"/>
      <w:marRight w:val="0"/>
      <w:marTop w:val="0"/>
      <w:marBottom w:val="0"/>
      <w:divBdr>
        <w:top w:val="none" w:sz="0" w:space="0" w:color="auto"/>
        <w:left w:val="none" w:sz="0" w:space="0" w:color="auto"/>
        <w:bottom w:val="none" w:sz="0" w:space="0" w:color="auto"/>
        <w:right w:val="none" w:sz="0" w:space="0" w:color="auto"/>
      </w:divBdr>
    </w:div>
    <w:div w:id="1226062251">
      <w:bodyDiv w:val="1"/>
      <w:marLeft w:val="0"/>
      <w:marRight w:val="0"/>
      <w:marTop w:val="0"/>
      <w:marBottom w:val="0"/>
      <w:divBdr>
        <w:top w:val="none" w:sz="0" w:space="0" w:color="auto"/>
        <w:left w:val="none" w:sz="0" w:space="0" w:color="auto"/>
        <w:bottom w:val="none" w:sz="0" w:space="0" w:color="auto"/>
        <w:right w:val="none" w:sz="0" w:space="0" w:color="auto"/>
      </w:divBdr>
    </w:div>
    <w:div w:id="1259025532">
      <w:bodyDiv w:val="1"/>
      <w:marLeft w:val="0"/>
      <w:marRight w:val="0"/>
      <w:marTop w:val="0"/>
      <w:marBottom w:val="0"/>
      <w:divBdr>
        <w:top w:val="none" w:sz="0" w:space="0" w:color="auto"/>
        <w:left w:val="none" w:sz="0" w:space="0" w:color="auto"/>
        <w:bottom w:val="none" w:sz="0" w:space="0" w:color="auto"/>
        <w:right w:val="none" w:sz="0" w:space="0" w:color="auto"/>
      </w:divBdr>
    </w:div>
    <w:div w:id="1314143329">
      <w:bodyDiv w:val="1"/>
      <w:marLeft w:val="0"/>
      <w:marRight w:val="0"/>
      <w:marTop w:val="0"/>
      <w:marBottom w:val="0"/>
      <w:divBdr>
        <w:top w:val="none" w:sz="0" w:space="0" w:color="auto"/>
        <w:left w:val="none" w:sz="0" w:space="0" w:color="auto"/>
        <w:bottom w:val="none" w:sz="0" w:space="0" w:color="auto"/>
        <w:right w:val="none" w:sz="0" w:space="0" w:color="auto"/>
      </w:divBdr>
      <w:divsChild>
        <w:div w:id="1525820941">
          <w:marLeft w:val="0"/>
          <w:marRight w:val="0"/>
          <w:marTop w:val="0"/>
          <w:marBottom w:val="0"/>
          <w:divBdr>
            <w:top w:val="none" w:sz="0" w:space="0" w:color="auto"/>
            <w:left w:val="none" w:sz="0" w:space="0" w:color="auto"/>
            <w:bottom w:val="none" w:sz="0" w:space="0" w:color="auto"/>
            <w:right w:val="none" w:sz="0" w:space="0" w:color="auto"/>
          </w:divBdr>
        </w:div>
      </w:divsChild>
    </w:div>
    <w:div w:id="1337732009">
      <w:bodyDiv w:val="1"/>
      <w:marLeft w:val="0"/>
      <w:marRight w:val="0"/>
      <w:marTop w:val="0"/>
      <w:marBottom w:val="0"/>
      <w:divBdr>
        <w:top w:val="none" w:sz="0" w:space="0" w:color="auto"/>
        <w:left w:val="none" w:sz="0" w:space="0" w:color="auto"/>
        <w:bottom w:val="none" w:sz="0" w:space="0" w:color="auto"/>
        <w:right w:val="none" w:sz="0" w:space="0" w:color="auto"/>
      </w:divBdr>
    </w:div>
    <w:div w:id="1345092083">
      <w:bodyDiv w:val="1"/>
      <w:marLeft w:val="0"/>
      <w:marRight w:val="0"/>
      <w:marTop w:val="0"/>
      <w:marBottom w:val="0"/>
      <w:divBdr>
        <w:top w:val="none" w:sz="0" w:space="0" w:color="auto"/>
        <w:left w:val="none" w:sz="0" w:space="0" w:color="auto"/>
        <w:bottom w:val="none" w:sz="0" w:space="0" w:color="auto"/>
        <w:right w:val="none" w:sz="0" w:space="0" w:color="auto"/>
      </w:divBdr>
    </w:div>
    <w:div w:id="1426226430">
      <w:bodyDiv w:val="1"/>
      <w:marLeft w:val="0"/>
      <w:marRight w:val="0"/>
      <w:marTop w:val="0"/>
      <w:marBottom w:val="0"/>
      <w:divBdr>
        <w:top w:val="none" w:sz="0" w:space="0" w:color="auto"/>
        <w:left w:val="none" w:sz="0" w:space="0" w:color="auto"/>
        <w:bottom w:val="none" w:sz="0" w:space="0" w:color="auto"/>
        <w:right w:val="none" w:sz="0" w:space="0" w:color="auto"/>
      </w:divBdr>
    </w:div>
    <w:div w:id="1472669413">
      <w:bodyDiv w:val="1"/>
      <w:marLeft w:val="0"/>
      <w:marRight w:val="0"/>
      <w:marTop w:val="0"/>
      <w:marBottom w:val="0"/>
      <w:divBdr>
        <w:top w:val="none" w:sz="0" w:space="0" w:color="auto"/>
        <w:left w:val="none" w:sz="0" w:space="0" w:color="auto"/>
        <w:bottom w:val="none" w:sz="0" w:space="0" w:color="auto"/>
        <w:right w:val="none" w:sz="0" w:space="0" w:color="auto"/>
      </w:divBdr>
    </w:div>
    <w:div w:id="1574047700">
      <w:bodyDiv w:val="1"/>
      <w:marLeft w:val="0"/>
      <w:marRight w:val="0"/>
      <w:marTop w:val="0"/>
      <w:marBottom w:val="0"/>
      <w:divBdr>
        <w:top w:val="none" w:sz="0" w:space="0" w:color="auto"/>
        <w:left w:val="none" w:sz="0" w:space="0" w:color="auto"/>
        <w:bottom w:val="none" w:sz="0" w:space="0" w:color="auto"/>
        <w:right w:val="none" w:sz="0" w:space="0" w:color="auto"/>
      </w:divBdr>
    </w:div>
    <w:div w:id="1587376844">
      <w:bodyDiv w:val="1"/>
      <w:marLeft w:val="0"/>
      <w:marRight w:val="0"/>
      <w:marTop w:val="0"/>
      <w:marBottom w:val="0"/>
      <w:divBdr>
        <w:top w:val="none" w:sz="0" w:space="0" w:color="auto"/>
        <w:left w:val="none" w:sz="0" w:space="0" w:color="auto"/>
        <w:bottom w:val="none" w:sz="0" w:space="0" w:color="auto"/>
        <w:right w:val="none" w:sz="0" w:space="0" w:color="auto"/>
      </w:divBdr>
    </w:div>
    <w:div w:id="1637027516">
      <w:bodyDiv w:val="1"/>
      <w:marLeft w:val="0"/>
      <w:marRight w:val="0"/>
      <w:marTop w:val="0"/>
      <w:marBottom w:val="0"/>
      <w:divBdr>
        <w:top w:val="none" w:sz="0" w:space="0" w:color="auto"/>
        <w:left w:val="none" w:sz="0" w:space="0" w:color="auto"/>
        <w:bottom w:val="none" w:sz="0" w:space="0" w:color="auto"/>
        <w:right w:val="none" w:sz="0" w:space="0" w:color="auto"/>
      </w:divBdr>
    </w:div>
    <w:div w:id="1690375886">
      <w:bodyDiv w:val="1"/>
      <w:marLeft w:val="0"/>
      <w:marRight w:val="0"/>
      <w:marTop w:val="0"/>
      <w:marBottom w:val="0"/>
      <w:divBdr>
        <w:top w:val="none" w:sz="0" w:space="0" w:color="auto"/>
        <w:left w:val="none" w:sz="0" w:space="0" w:color="auto"/>
        <w:bottom w:val="none" w:sz="0" w:space="0" w:color="auto"/>
        <w:right w:val="none" w:sz="0" w:space="0" w:color="auto"/>
      </w:divBdr>
    </w:div>
    <w:div w:id="1744373126">
      <w:bodyDiv w:val="1"/>
      <w:marLeft w:val="0"/>
      <w:marRight w:val="0"/>
      <w:marTop w:val="0"/>
      <w:marBottom w:val="0"/>
      <w:divBdr>
        <w:top w:val="none" w:sz="0" w:space="0" w:color="auto"/>
        <w:left w:val="none" w:sz="0" w:space="0" w:color="auto"/>
        <w:bottom w:val="none" w:sz="0" w:space="0" w:color="auto"/>
        <w:right w:val="none" w:sz="0" w:space="0" w:color="auto"/>
      </w:divBdr>
      <w:divsChild>
        <w:div w:id="189489285">
          <w:marLeft w:val="0"/>
          <w:marRight w:val="0"/>
          <w:marTop w:val="0"/>
          <w:marBottom w:val="0"/>
          <w:divBdr>
            <w:top w:val="none" w:sz="0" w:space="0" w:color="auto"/>
            <w:left w:val="none" w:sz="0" w:space="0" w:color="auto"/>
            <w:bottom w:val="none" w:sz="0" w:space="0" w:color="auto"/>
            <w:right w:val="none" w:sz="0" w:space="0" w:color="auto"/>
          </w:divBdr>
          <w:divsChild>
            <w:div w:id="2000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0295">
      <w:bodyDiv w:val="1"/>
      <w:marLeft w:val="0"/>
      <w:marRight w:val="0"/>
      <w:marTop w:val="0"/>
      <w:marBottom w:val="0"/>
      <w:divBdr>
        <w:top w:val="none" w:sz="0" w:space="0" w:color="auto"/>
        <w:left w:val="none" w:sz="0" w:space="0" w:color="auto"/>
        <w:bottom w:val="none" w:sz="0" w:space="0" w:color="auto"/>
        <w:right w:val="none" w:sz="0" w:space="0" w:color="auto"/>
      </w:divBdr>
    </w:div>
    <w:div w:id="1789660449">
      <w:bodyDiv w:val="1"/>
      <w:marLeft w:val="0"/>
      <w:marRight w:val="0"/>
      <w:marTop w:val="0"/>
      <w:marBottom w:val="0"/>
      <w:divBdr>
        <w:top w:val="none" w:sz="0" w:space="0" w:color="auto"/>
        <w:left w:val="none" w:sz="0" w:space="0" w:color="auto"/>
        <w:bottom w:val="none" w:sz="0" w:space="0" w:color="auto"/>
        <w:right w:val="none" w:sz="0" w:space="0" w:color="auto"/>
      </w:divBdr>
    </w:div>
    <w:div w:id="1844785242">
      <w:bodyDiv w:val="1"/>
      <w:marLeft w:val="0"/>
      <w:marRight w:val="0"/>
      <w:marTop w:val="0"/>
      <w:marBottom w:val="0"/>
      <w:divBdr>
        <w:top w:val="none" w:sz="0" w:space="0" w:color="auto"/>
        <w:left w:val="none" w:sz="0" w:space="0" w:color="auto"/>
        <w:bottom w:val="none" w:sz="0" w:space="0" w:color="auto"/>
        <w:right w:val="none" w:sz="0" w:space="0" w:color="auto"/>
      </w:divBdr>
    </w:div>
    <w:div w:id="1866362439">
      <w:bodyDiv w:val="1"/>
      <w:marLeft w:val="0"/>
      <w:marRight w:val="0"/>
      <w:marTop w:val="0"/>
      <w:marBottom w:val="0"/>
      <w:divBdr>
        <w:top w:val="none" w:sz="0" w:space="0" w:color="auto"/>
        <w:left w:val="none" w:sz="0" w:space="0" w:color="auto"/>
        <w:bottom w:val="none" w:sz="0" w:space="0" w:color="auto"/>
        <w:right w:val="none" w:sz="0" w:space="0" w:color="auto"/>
      </w:divBdr>
    </w:div>
    <w:div w:id="1874420904">
      <w:bodyDiv w:val="1"/>
      <w:marLeft w:val="0"/>
      <w:marRight w:val="0"/>
      <w:marTop w:val="0"/>
      <w:marBottom w:val="0"/>
      <w:divBdr>
        <w:top w:val="none" w:sz="0" w:space="0" w:color="auto"/>
        <w:left w:val="none" w:sz="0" w:space="0" w:color="auto"/>
        <w:bottom w:val="none" w:sz="0" w:space="0" w:color="auto"/>
        <w:right w:val="none" w:sz="0" w:space="0" w:color="auto"/>
      </w:divBdr>
    </w:div>
    <w:div w:id="1988509228">
      <w:bodyDiv w:val="1"/>
      <w:marLeft w:val="0"/>
      <w:marRight w:val="0"/>
      <w:marTop w:val="0"/>
      <w:marBottom w:val="0"/>
      <w:divBdr>
        <w:top w:val="none" w:sz="0" w:space="0" w:color="auto"/>
        <w:left w:val="none" w:sz="0" w:space="0" w:color="auto"/>
        <w:bottom w:val="none" w:sz="0" w:space="0" w:color="auto"/>
        <w:right w:val="none" w:sz="0" w:space="0" w:color="auto"/>
      </w:divBdr>
    </w:div>
    <w:div w:id="1997538056">
      <w:bodyDiv w:val="1"/>
      <w:marLeft w:val="0"/>
      <w:marRight w:val="0"/>
      <w:marTop w:val="0"/>
      <w:marBottom w:val="0"/>
      <w:divBdr>
        <w:top w:val="none" w:sz="0" w:space="0" w:color="auto"/>
        <w:left w:val="none" w:sz="0" w:space="0" w:color="auto"/>
        <w:bottom w:val="none" w:sz="0" w:space="0" w:color="auto"/>
        <w:right w:val="none" w:sz="0" w:space="0" w:color="auto"/>
      </w:divBdr>
    </w:div>
    <w:div w:id="2002418099">
      <w:bodyDiv w:val="1"/>
      <w:marLeft w:val="0"/>
      <w:marRight w:val="0"/>
      <w:marTop w:val="0"/>
      <w:marBottom w:val="0"/>
      <w:divBdr>
        <w:top w:val="none" w:sz="0" w:space="0" w:color="auto"/>
        <w:left w:val="none" w:sz="0" w:space="0" w:color="auto"/>
        <w:bottom w:val="none" w:sz="0" w:space="0" w:color="auto"/>
        <w:right w:val="none" w:sz="0" w:space="0" w:color="auto"/>
      </w:divBdr>
    </w:div>
    <w:div w:id="2003770448">
      <w:bodyDiv w:val="1"/>
      <w:marLeft w:val="0"/>
      <w:marRight w:val="0"/>
      <w:marTop w:val="0"/>
      <w:marBottom w:val="0"/>
      <w:divBdr>
        <w:top w:val="none" w:sz="0" w:space="0" w:color="auto"/>
        <w:left w:val="none" w:sz="0" w:space="0" w:color="auto"/>
        <w:bottom w:val="none" w:sz="0" w:space="0" w:color="auto"/>
        <w:right w:val="none" w:sz="0" w:space="0" w:color="auto"/>
      </w:divBdr>
    </w:div>
    <w:div w:id="2011592577">
      <w:bodyDiv w:val="1"/>
      <w:marLeft w:val="0"/>
      <w:marRight w:val="0"/>
      <w:marTop w:val="0"/>
      <w:marBottom w:val="0"/>
      <w:divBdr>
        <w:top w:val="none" w:sz="0" w:space="0" w:color="auto"/>
        <w:left w:val="none" w:sz="0" w:space="0" w:color="auto"/>
        <w:bottom w:val="none" w:sz="0" w:space="0" w:color="auto"/>
        <w:right w:val="none" w:sz="0" w:space="0" w:color="auto"/>
      </w:divBdr>
    </w:div>
    <w:div w:id="2066445018">
      <w:bodyDiv w:val="1"/>
      <w:marLeft w:val="0"/>
      <w:marRight w:val="0"/>
      <w:marTop w:val="0"/>
      <w:marBottom w:val="0"/>
      <w:divBdr>
        <w:top w:val="none" w:sz="0" w:space="0" w:color="auto"/>
        <w:left w:val="none" w:sz="0" w:space="0" w:color="auto"/>
        <w:bottom w:val="none" w:sz="0" w:space="0" w:color="auto"/>
        <w:right w:val="none" w:sz="0" w:space="0" w:color="auto"/>
      </w:divBdr>
    </w:div>
    <w:div w:id="2135519289">
      <w:bodyDiv w:val="1"/>
      <w:marLeft w:val="0"/>
      <w:marRight w:val="0"/>
      <w:marTop w:val="0"/>
      <w:marBottom w:val="0"/>
      <w:divBdr>
        <w:top w:val="none" w:sz="0" w:space="0" w:color="auto"/>
        <w:left w:val="none" w:sz="0" w:space="0" w:color="auto"/>
        <w:bottom w:val="none" w:sz="0" w:space="0" w:color="auto"/>
        <w:right w:val="none" w:sz="0" w:space="0" w:color="auto"/>
      </w:divBdr>
      <w:divsChild>
        <w:div w:id="75979224">
          <w:marLeft w:val="0"/>
          <w:marRight w:val="0"/>
          <w:marTop w:val="0"/>
          <w:marBottom w:val="0"/>
          <w:divBdr>
            <w:top w:val="none" w:sz="0" w:space="0" w:color="auto"/>
            <w:left w:val="none" w:sz="0" w:space="0" w:color="auto"/>
            <w:bottom w:val="none" w:sz="0" w:space="0" w:color="auto"/>
            <w:right w:val="none" w:sz="0" w:space="0" w:color="auto"/>
          </w:divBdr>
        </w:div>
        <w:div w:id="116418698">
          <w:marLeft w:val="0"/>
          <w:marRight w:val="0"/>
          <w:marTop w:val="0"/>
          <w:marBottom w:val="0"/>
          <w:divBdr>
            <w:top w:val="none" w:sz="0" w:space="0" w:color="auto"/>
            <w:left w:val="none" w:sz="0" w:space="0" w:color="auto"/>
            <w:bottom w:val="none" w:sz="0" w:space="0" w:color="auto"/>
            <w:right w:val="none" w:sz="0" w:space="0" w:color="auto"/>
          </w:divBdr>
        </w:div>
        <w:div w:id="180125587">
          <w:marLeft w:val="0"/>
          <w:marRight w:val="0"/>
          <w:marTop w:val="0"/>
          <w:marBottom w:val="0"/>
          <w:divBdr>
            <w:top w:val="none" w:sz="0" w:space="0" w:color="auto"/>
            <w:left w:val="none" w:sz="0" w:space="0" w:color="auto"/>
            <w:bottom w:val="none" w:sz="0" w:space="0" w:color="auto"/>
            <w:right w:val="none" w:sz="0" w:space="0" w:color="auto"/>
          </w:divBdr>
        </w:div>
        <w:div w:id="188029735">
          <w:marLeft w:val="0"/>
          <w:marRight w:val="0"/>
          <w:marTop w:val="0"/>
          <w:marBottom w:val="0"/>
          <w:divBdr>
            <w:top w:val="none" w:sz="0" w:space="0" w:color="auto"/>
            <w:left w:val="none" w:sz="0" w:space="0" w:color="auto"/>
            <w:bottom w:val="none" w:sz="0" w:space="0" w:color="auto"/>
            <w:right w:val="none" w:sz="0" w:space="0" w:color="auto"/>
          </w:divBdr>
        </w:div>
        <w:div w:id="219096457">
          <w:marLeft w:val="0"/>
          <w:marRight w:val="0"/>
          <w:marTop w:val="0"/>
          <w:marBottom w:val="0"/>
          <w:divBdr>
            <w:top w:val="none" w:sz="0" w:space="0" w:color="auto"/>
            <w:left w:val="none" w:sz="0" w:space="0" w:color="auto"/>
            <w:bottom w:val="none" w:sz="0" w:space="0" w:color="auto"/>
            <w:right w:val="none" w:sz="0" w:space="0" w:color="auto"/>
          </w:divBdr>
        </w:div>
        <w:div w:id="243224968">
          <w:marLeft w:val="0"/>
          <w:marRight w:val="0"/>
          <w:marTop w:val="0"/>
          <w:marBottom w:val="0"/>
          <w:divBdr>
            <w:top w:val="none" w:sz="0" w:space="0" w:color="auto"/>
            <w:left w:val="none" w:sz="0" w:space="0" w:color="auto"/>
            <w:bottom w:val="none" w:sz="0" w:space="0" w:color="auto"/>
            <w:right w:val="none" w:sz="0" w:space="0" w:color="auto"/>
          </w:divBdr>
        </w:div>
        <w:div w:id="327443379">
          <w:marLeft w:val="0"/>
          <w:marRight w:val="0"/>
          <w:marTop w:val="0"/>
          <w:marBottom w:val="0"/>
          <w:divBdr>
            <w:top w:val="none" w:sz="0" w:space="0" w:color="auto"/>
            <w:left w:val="none" w:sz="0" w:space="0" w:color="auto"/>
            <w:bottom w:val="none" w:sz="0" w:space="0" w:color="auto"/>
            <w:right w:val="none" w:sz="0" w:space="0" w:color="auto"/>
          </w:divBdr>
        </w:div>
        <w:div w:id="361397594">
          <w:marLeft w:val="0"/>
          <w:marRight w:val="0"/>
          <w:marTop w:val="0"/>
          <w:marBottom w:val="0"/>
          <w:divBdr>
            <w:top w:val="none" w:sz="0" w:space="0" w:color="auto"/>
            <w:left w:val="none" w:sz="0" w:space="0" w:color="auto"/>
            <w:bottom w:val="none" w:sz="0" w:space="0" w:color="auto"/>
            <w:right w:val="none" w:sz="0" w:space="0" w:color="auto"/>
          </w:divBdr>
        </w:div>
        <w:div w:id="413236746">
          <w:marLeft w:val="0"/>
          <w:marRight w:val="0"/>
          <w:marTop w:val="0"/>
          <w:marBottom w:val="0"/>
          <w:divBdr>
            <w:top w:val="none" w:sz="0" w:space="0" w:color="auto"/>
            <w:left w:val="none" w:sz="0" w:space="0" w:color="auto"/>
            <w:bottom w:val="none" w:sz="0" w:space="0" w:color="auto"/>
            <w:right w:val="none" w:sz="0" w:space="0" w:color="auto"/>
          </w:divBdr>
        </w:div>
        <w:div w:id="421030334">
          <w:marLeft w:val="0"/>
          <w:marRight w:val="0"/>
          <w:marTop w:val="0"/>
          <w:marBottom w:val="0"/>
          <w:divBdr>
            <w:top w:val="none" w:sz="0" w:space="0" w:color="auto"/>
            <w:left w:val="none" w:sz="0" w:space="0" w:color="auto"/>
            <w:bottom w:val="none" w:sz="0" w:space="0" w:color="auto"/>
            <w:right w:val="none" w:sz="0" w:space="0" w:color="auto"/>
          </w:divBdr>
        </w:div>
        <w:div w:id="459227578">
          <w:marLeft w:val="0"/>
          <w:marRight w:val="0"/>
          <w:marTop w:val="0"/>
          <w:marBottom w:val="0"/>
          <w:divBdr>
            <w:top w:val="none" w:sz="0" w:space="0" w:color="auto"/>
            <w:left w:val="none" w:sz="0" w:space="0" w:color="auto"/>
            <w:bottom w:val="none" w:sz="0" w:space="0" w:color="auto"/>
            <w:right w:val="none" w:sz="0" w:space="0" w:color="auto"/>
          </w:divBdr>
        </w:div>
        <w:div w:id="468591065">
          <w:marLeft w:val="0"/>
          <w:marRight w:val="0"/>
          <w:marTop w:val="0"/>
          <w:marBottom w:val="0"/>
          <w:divBdr>
            <w:top w:val="none" w:sz="0" w:space="0" w:color="auto"/>
            <w:left w:val="none" w:sz="0" w:space="0" w:color="auto"/>
            <w:bottom w:val="none" w:sz="0" w:space="0" w:color="auto"/>
            <w:right w:val="none" w:sz="0" w:space="0" w:color="auto"/>
          </w:divBdr>
        </w:div>
        <w:div w:id="500464358">
          <w:marLeft w:val="0"/>
          <w:marRight w:val="0"/>
          <w:marTop w:val="0"/>
          <w:marBottom w:val="0"/>
          <w:divBdr>
            <w:top w:val="none" w:sz="0" w:space="0" w:color="auto"/>
            <w:left w:val="none" w:sz="0" w:space="0" w:color="auto"/>
            <w:bottom w:val="none" w:sz="0" w:space="0" w:color="auto"/>
            <w:right w:val="none" w:sz="0" w:space="0" w:color="auto"/>
          </w:divBdr>
        </w:div>
        <w:div w:id="518202612">
          <w:marLeft w:val="0"/>
          <w:marRight w:val="0"/>
          <w:marTop w:val="0"/>
          <w:marBottom w:val="0"/>
          <w:divBdr>
            <w:top w:val="none" w:sz="0" w:space="0" w:color="auto"/>
            <w:left w:val="none" w:sz="0" w:space="0" w:color="auto"/>
            <w:bottom w:val="none" w:sz="0" w:space="0" w:color="auto"/>
            <w:right w:val="none" w:sz="0" w:space="0" w:color="auto"/>
          </w:divBdr>
        </w:div>
        <w:div w:id="524515067">
          <w:marLeft w:val="0"/>
          <w:marRight w:val="0"/>
          <w:marTop w:val="0"/>
          <w:marBottom w:val="0"/>
          <w:divBdr>
            <w:top w:val="none" w:sz="0" w:space="0" w:color="auto"/>
            <w:left w:val="none" w:sz="0" w:space="0" w:color="auto"/>
            <w:bottom w:val="none" w:sz="0" w:space="0" w:color="auto"/>
            <w:right w:val="none" w:sz="0" w:space="0" w:color="auto"/>
          </w:divBdr>
        </w:div>
        <w:div w:id="644512422">
          <w:marLeft w:val="0"/>
          <w:marRight w:val="0"/>
          <w:marTop w:val="0"/>
          <w:marBottom w:val="0"/>
          <w:divBdr>
            <w:top w:val="none" w:sz="0" w:space="0" w:color="auto"/>
            <w:left w:val="none" w:sz="0" w:space="0" w:color="auto"/>
            <w:bottom w:val="none" w:sz="0" w:space="0" w:color="auto"/>
            <w:right w:val="none" w:sz="0" w:space="0" w:color="auto"/>
          </w:divBdr>
        </w:div>
        <w:div w:id="659892108">
          <w:marLeft w:val="0"/>
          <w:marRight w:val="0"/>
          <w:marTop w:val="0"/>
          <w:marBottom w:val="0"/>
          <w:divBdr>
            <w:top w:val="none" w:sz="0" w:space="0" w:color="auto"/>
            <w:left w:val="none" w:sz="0" w:space="0" w:color="auto"/>
            <w:bottom w:val="none" w:sz="0" w:space="0" w:color="auto"/>
            <w:right w:val="none" w:sz="0" w:space="0" w:color="auto"/>
          </w:divBdr>
        </w:div>
        <w:div w:id="707025641">
          <w:marLeft w:val="0"/>
          <w:marRight w:val="0"/>
          <w:marTop w:val="0"/>
          <w:marBottom w:val="0"/>
          <w:divBdr>
            <w:top w:val="none" w:sz="0" w:space="0" w:color="auto"/>
            <w:left w:val="none" w:sz="0" w:space="0" w:color="auto"/>
            <w:bottom w:val="none" w:sz="0" w:space="0" w:color="auto"/>
            <w:right w:val="none" w:sz="0" w:space="0" w:color="auto"/>
          </w:divBdr>
        </w:div>
        <w:div w:id="727534359">
          <w:marLeft w:val="0"/>
          <w:marRight w:val="0"/>
          <w:marTop w:val="0"/>
          <w:marBottom w:val="0"/>
          <w:divBdr>
            <w:top w:val="none" w:sz="0" w:space="0" w:color="auto"/>
            <w:left w:val="none" w:sz="0" w:space="0" w:color="auto"/>
            <w:bottom w:val="none" w:sz="0" w:space="0" w:color="auto"/>
            <w:right w:val="none" w:sz="0" w:space="0" w:color="auto"/>
          </w:divBdr>
        </w:div>
        <w:div w:id="739444680">
          <w:marLeft w:val="0"/>
          <w:marRight w:val="0"/>
          <w:marTop w:val="0"/>
          <w:marBottom w:val="0"/>
          <w:divBdr>
            <w:top w:val="none" w:sz="0" w:space="0" w:color="auto"/>
            <w:left w:val="none" w:sz="0" w:space="0" w:color="auto"/>
            <w:bottom w:val="none" w:sz="0" w:space="0" w:color="auto"/>
            <w:right w:val="none" w:sz="0" w:space="0" w:color="auto"/>
          </w:divBdr>
        </w:div>
        <w:div w:id="835919819">
          <w:marLeft w:val="0"/>
          <w:marRight w:val="0"/>
          <w:marTop w:val="0"/>
          <w:marBottom w:val="0"/>
          <w:divBdr>
            <w:top w:val="none" w:sz="0" w:space="0" w:color="auto"/>
            <w:left w:val="none" w:sz="0" w:space="0" w:color="auto"/>
            <w:bottom w:val="none" w:sz="0" w:space="0" w:color="auto"/>
            <w:right w:val="none" w:sz="0" w:space="0" w:color="auto"/>
          </w:divBdr>
        </w:div>
        <w:div w:id="914166444">
          <w:marLeft w:val="0"/>
          <w:marRight w:val="0"/>
          <w:marTop w:val="0"/>
          <w:marBottom w:val="0"/>
          <w:divBdr>
            <w:top w:val="none" w:sz="0" w:space="0" w:color="auto"/>
            <w:left w:val="none" w:sz="0" w:space="0" w:color="auto"/>
            <w:bottom w:val="none" w:sz="0" w:space="0" w:color="auto"/>
            <w:right w:val="none" w:sz="0" w:space="0" w:color="auto"/>
          </w:divBdr>
        </w:div>
        <w:div w:id="920483346">
          <w:marLeft w:val="0"/>
          <w:marRight w:val="0"/>
          <w:marTop w:val="0"/>
          <w:marBottom w:val="0"/>
          <w:divBdr>
            <w:top w:val="none" w:sz="0" w:space="0" w:color="auto"/>
            <w:left w:val="none" w:sz="0" w:space="0" w:color="auto"/>
            <w:bottom w:val="none" w:sz="0" w:space="0" w:color="auto"/>
            <w:right w:val="none" w:sz="0" w:space="0" w:color="auto"/>
          </w:divBdr>
        </w:div>
        <w:div w:id="939409306">
          <w:marLeft w:val="0"/>
          <w:marRight w:val="0"/>
          <w:marTop w:val="0"/>
          <w:marBottom w:val="0"/>
          <w:divBdr>
            <w:top w:val="none" w:sz="0" w:space="0" w:color="auto"/>
            <w:left w:val="none" w:sz="0" w:space="0" w:color="auto"/>
            <w:bottom w:val="none" w:sz="0" w:space="0" w:color="auto"/>
            <w:right w:val="none" w:sz="0" w:space="0" w:color="auto"/>
          </w:divBdr>
        </w:div>
        <w:div w:id="962999499">
          <w:marLeft w:val="0"/>
          <w:marRight w:val="0"/>
          <w:marTop w:val="0"/>
          <w:marBottom w:val="0"/>
          <w:divBdr>
            <w:top w:val="none" w:sz="0" w:space="0" w:color="auto"/>
            <w:left w:val="none" w:sz="0" w:space="0" w:color="auto"/>
            <w:bottom w:val="none" w:sz="0" w:space="0" w:color="auto"/>
            <w:right w:val="none" w:sz="0" w:space="0" w:color="auto"/>
          </w:divBdr>
        </w:div>
        <w:div w:id="1014964654">
          <w:marLeft w:val="0"/>
          <w:marRight w:val="0"/>
          <w:marTop w:val="0"/>
          <w:marBottom w:val="0"/>
          <w:divBdr>
            <w:top w:val="none" w:sz="0" w:space="0" w:color="auto"/>
            <w:left w:val="none" w:sz="0" w:space="0" w:color="auto"/>
            <w:bottom w:val="none" w:sz="0" w:space="0" w:color="auto"/>
            <w:right w:val="none" w:sz="0" w:space="0" w:color="auto"/>
          </w:divBdr>
        </w:div>
        <w:div w:id="1037505465">
          <w:marLeft w:val="0"/>
          <w:marRight w:val="0"/>
          <w:marTop w:val="0"/>
          <w:marBottom w:val="0"/>
          <w:divBdr>
            <w:top w:val="none" w:sz="0" w:space="0" w:color="auto"/>
            <w:left w:val="none" w:sz="0" w:space="0" w:color="auto"/>
            <w:bottom w:val="none" w:sz="0" w:space="0" w:color="auto"/>
            <w:right w:val="none" w:sz="0" w:space="0" w:color="auto"/>
          </w:divBdr>
        </w:div>
        <w:div w:id="1071737653">
          <w:marLeft w:val="0"/>
          <w:marRight w:val="0"/>
          <w:marTop w:val="0"/>
          <w:marBottom w:val="0"/>
          <w:divBdr>
            <w:top w:val="none" w:sz="0" w:space="0" w:color="auto"/>
            <w:left w:val="none" w:sz="0" w:space="0" w:color="auto"/>
            <w:bottom w:val="none" w:sz="0" w:space="0" w:color="auto"/>
            <w:right w:val="none" w:sz="0" w:space="0" w:color="auto"/>
          </w:divBdr>
        </w:div>
        <w:div w:id="1096100767">
          <w:marLeft w:val="0"/>
          <w:marRight w:val="0"/>
          <w:marTop w:val="0"/>
          <w:marBottom w:val="0"/>
          <w:divBdr>
            <w:top w:val="none" w:sz="0" w:space="0" w:color="auto"/>
            <w:left w:val="none" w:sz="0" w:space="0" w:color="auto"/>
            <w:bottom w:val="none" w:sz="0" w:space="0" w:color="auto"/>
            <w:right w:val="none" w:sz="0" w:space="0" w:color="auto"/>
          </w:divBdr>
        </w:div>
        <w:div w:id="1104420279">
          <w:marLeft w:val="0"/>
          <w:marRight w:val="0"/>
          <w:marTop w:val="0"/>
          <w:marBottom w:val="0"/>
          <w:divBdr>
            <w:top w:val="none" w:sz="0" w:space="0" w:color="auto"/>
            <w:left w:val="none" w:sz="0" w:space="0" w:color="auto"/>
            <w:bottom w:val="none" w:sz="0" w:space="0" w:color="auto"/>
            <w:right w:val="none" w:sz="0" w:space="0" w:color="auto"/>
          </w:divBdr>
        </w:div>
        <w:div w:id="1104762711">
          <w:marLeft w:val="0"/>
          <w:marRight w:val="0"/>
          <w:marTop w:val="0"/>
          <w:marBottom w:val="0"/>
          <w:divBdr>
            <w:top w:val="none" w:sz="0" w:space="0" w:color="auto"/>
            <w:left w:val="none" w:sz="0" w:space="0" w:color="auto"/>
            <w:bottom w:val="none" w:sz="0" w:space="0" w:color="auto"/>
            <w:right w:val="none" w:sz="0" w:space="0" w:color="auto"/>
          </w:divBdr>
        </w:div>
        <w:div w:id="1199659673">
          <w:marLeft w:val="0"/>
          <w:marRight w:val="0"/>
          <w:marTop w:val="0"/>
          <w:marBottom w:val="0"/>
          <w:divBdr>
            <w:top w:val="none" w:sz="0" w:space="0" w:color="auto"/>
            <w:left w:val="none" w:sz="0" w:space="0" w:color="auto"/>
            <w:bottom w:val="none" w:sz="0" w:space="0" w:color="auto"/>
            <w:right w:val="none" w:sz="0" w:space="0" w:color="auto"/>
          </w:divBdr>
        </w:div>
        <w:div w:id="1201627908">
          <w:marLeft w:val="0"/>
          <w:marRight w:val="0"/>
          <w:marTop w:val="0"/>
          <w:marBottom w:val="0"/>
          <w:divBdr>
            <w:top w:val="none" w:sz="0" w:space="0" w:color="auto"/>
            <w:left w:val="none" w:sz="0" w:space="0" w:color="auto"/>
            <w:bottom w:val="none" w:sz="0" w:space="0" w:color="auto"/>
            <w:right w:val="none" w:sz="0" w:space="0" w:color="auto"/>
          </w:divBdr>
        </w:div>
        <w:div w:id="1280649440">
          <w:marLeft w:val="0"/>
          <w:marRight w:val="0"/>
          <w:marTop w:val="0"/>
          <w:marBottom w:val="0"/>
          <w:divBdr>
            <w:top w:val="none" w:sz="0" w:space="0" w:color="auto"/>
            <w:left w:val="none" w:sz="0" w:space="0" w:color="auto"/>
            <w:bottom w:val="none" w:sz="0" w:space="0" w:color="auto"/>
            <w:right w:val="none" w:sz="0" w:space="0" w:color="auto"/>
          </w:divBdr>
        </w:div>
        <w:div w:id="1321689411">
          <w:marLeft w:val="0"/>
          <w:marRight w:val="0"/>
          <w:marTop w:val="0"/>
          <w:marBottom w:val="0"/>
          <w:divBdr>
            <w:top w:val="none" w:sz="0" w:space="0" w:color="auto"/>
            <w:left w:val="none" w:sz="0" w:space="0" w:color="auto"/>
            <w:bottom w:val="none" w:sz="0" w:space="0" w:color="auto"/>
            <w:right w:val="none" w:sz="0" w:space="0" w:color="auto"/>
          </w:divBdr>
        </w:div>
        <w:div w:id="1333609061">
          <w:marLeft w:val="0"/>
          <w:marRight w:val="0"/>
          <w:marTop w:val="0"/>
          <w:marBottom w:val="0"/>
          <w:divBdr>
            <w:top w:val="none" w:sz="0" w:space="0" w:color="auto"/>
            <w:left w:val="none" w:sz="0" w:space="0" w:color="auto"/>
            <w:bottom w:val="none" w:sz="0" w:space="0" w:color="auto"/>
            <w:right w:val="none" w:sz="0" w:space="0" w:color="auto"/>
          </w:divBdr>
        </w:div>
        <w:div w:id="1357584744">
          <w:marLeft w:val="0"/>
          <w:marRight w:val="0"/>
          <w:marTop w:val="0"/>
          <w:marBottom w:val="0"/>
          <w:divBdr>
            <w:top w:val="none" w:sz="0" w:space="0" w:color="auto"/>
            <w:left w:val="none" w:sz="0" w:space="0" w:color="auto"/>
            <w:bottom w:val="none" w:sz="0" w:space="0" w:color="auto"/>
            <w:right w:val="none" w:sz="0" w:space="0" w:color="auto"/>
          </w:divBdr>
        </w:div>
        <w:div w:id="1375351377">
          <w:marLeft w:val="0"/>
          <w:marRight w:val="0"/>
          <w:marTop w:val="0"/>
          <w:marBottom w:val="0"/>
          <w:divBdr>
            <w:top w:val="none" w:sz="0" w:space="0" w:color="auto"/>
            <w:left w:val="none" w:sz="0" w:space="0" w:color="auto"/>
            <w:bottom w:val="none" w:sz="0" w:space="0" w:color="auto"/>
            <w:right w:val="none" w:sz="0" w:space="0" w:color="auto"/>
          </w:divBdr>
        </w:div>
        <w:div w:id="1432044798">
          <w:marLeft w:val="0"/>
          <w:marRight w:val="0"/>
          <w:marTop w:val="0"/>
          <w:marBottom w:val="0"/>
          <w:divBdr>
            <w:top w:val="none" w:sz="0" w:space="0" w:color="auto"/>
            <w:left w:val="none" w:sz="0" w:space="0" w:color="auto"/>
            <w:bottom w:val="none" w:sz="0" w:space="0" w:color="auto"/>
            <w:right w:val="none" w:sz="0" w:space="0" w:color="auto"/>
          </w:divBdr>
        </w:div>
        <w:div w:id="1432893594">
          <w:marLeft w:val="0"/>
          <w:marRight w:val="0"/>
          <w:marTop w:val="0"/>
          <w:marBottom w:val="0"/>
          <w:divBdr>
            <w:top w:val="none" w:sz="0" w:space="0" w:color="auto"/>
            <w:left w:val="none" w:sz="0" w:space="0" w:color="auto"/>
            <w:bottom w:val="none" w:sz="0" w:space="0" w:color="auto"/>
            <w:right w:val="none" w:sz="0" w:space="0" w:color="auto"/>
          </w:divBdr>
        </w:div>
        <w:div w:id="1464350216">
          <w:marLeft w:val="0"/>
          <w:marRight w:val="0"/>
          <w:marTop w:val="0"/>
          <w:marBottom w:val="0"/>
          <w:divBdr>
            <w:top w:val="none" w:sz="0" w:space="0" w:color="auto"/>
            <w:left w:val="none" w:sz="0" w:space="0" w:color="auto"/>
            <w:bottom w:val="none" w:sz="0" w:space="0" w:color="auto"/>
            <w:right w:val="none" w:sz="0" w:space="0" w:color="auto"/>
          </w:divBdr>
        </w:div>
        <w:div w:id="1504006943">
          <w:marLeft w:val="0"/>
          <w:marRight w:val="0"/>
          <w:marTop w:val="0"/>
          <w:marBottom w:val="0"/>
          <w:divBdr>
            <w:top w:val="none" w:sz="0" w:space="0" w:color="auto"/>
            <w:left w:val="none" w:sz="0" w:space="0" w:color="auto"/>
            <w:bottom w:val="none" w:sz="0" w:space="0" w:color="auto"/>
            <w:right w:val="none" w:sz="0" w:space="0" w:color="auto"/>
          </w:divBdr>
        </w:div>
        <w:div w:id="1524435032">
          <w:marLeft w:val="0"/>
          <w:marRight w:val="0"/>
          <w:marTop w:val="0"/>
          <w:marBottom w:val="0"/>
          <w:divBdr>
            <w:top w:val="none" w:sz="0" w:space="0" w:color="auto"/>
            <w:left w:val="none" w:sz="0" w:space="0" w:color="auto"/>
            <w:bottom w:val="none" w:sz="0" w:space="0" w:color="auto"/>
            <w:right w:val="none" w:sz="0" w:space="0" w:color="auto"/>
          </w:divBdr>
        </w:div>
        <w:div w:id="1549024110">
          <w:marLeft w:val="0"/>
          <w:marRight w:val="0"/>
          <w:marTop w:val="0"/>
          <w:marBottom w:val="0"/>
          <w:divBdr>
            <w:top w:val="none" w:sz="0" w:space="0" w:color="auto"/>
            <w:left w:val="none" w:sz="0" w:space="0" w:color="auto"/>
            <w:bottom w:val="none" w:sz="0" w:space="0" w:color="auto"/>
            <w:right w:val="none" w:sz="0" w:space="0" w:color="auto"/>
          </w:divBdr>
        </w:div>
        <w:div w:id="1554999034">
          <w:marLeft w:val="0"/>
          <w:marRight w:val="0"/>
          <w:marTop w:val="0"/>
          <w:marBottom w:val="0"/>
          <w:divBdr>
            <w:top w:val="none" w:sz="0" w:space="0" w:color="auto"/>
            <w:left w:val="none" w:sz="0" w:space="0" w:color="auto"/>
            <w:bottom w:val="none" w:sz="0" w:space="0" w:color="auto"/>
            <w:right w:val="none" w:sz="0" w:space="0" w:color="auto"/>
          </w:divBdr>
        </w:div>
        <w:div w:id="1727140817">
          <w:marLeft w:val="0"/>
          <w:marRight w:val="0"/>
          <w:marTop w:val="0"/>
          <w:marBottom w:val="0"/>
          <w:divBdr>
            <w:top w:val="none" w:sz="0" w:space="0" w:color="auto"/>
            <w:left w:val="none" w:sz="0" w:space="0" w:color="auto"/>
            <w:bottom w:val="none" w:sz="0" w:space="0" w:color="auto"/>
            <w:right w:val="none" w:sz="0" w:space="0" w:color="auto"/>
          </w:divBdr>
        </w:div>
        <w:div w:id="1745300451">
          <w:marLeft w:val="0"/>
          <w:marRight w:val="0"/>
          <w:marTop w:val="0"/>
          <w:marBottom w:val="0"/>
          <w:divBdr>
            <w:top w:val="none" w:sz="0" w:space="0" w:color="auto"/>
            <w:left w:val="none" w:sz="0" w:space="0" w:color="auto"/>
            <w:bottom w:val="none" w:sz="0" w:space="0" w:color="auto"/>
            <w:right w:val="none" w:sz="0" w:space="0" w:color="auto"/>
          </w:divBdr>
        </w:div>
        <w:div w:id="1781728780">
          <w:marLeft w:val="0"/>
          <w:marRight w:val="0"/>
          <w:marTop w:val="0"/>
          <w:marBottom w:val="0"/>
          <w:divBdr>
            <w:top w:val="none" w:sz="0" w:space="0" w:color="auto"/>
            <w:left w:val="none" w:sz="0" w:space="0" w:color="auto"/>
            <w:bottom w:val="none" w:sz="0" w:space="0" w:color="auto"/>
            <w:right w:val="none" w:sz="0" w:space="0" w:color="auto"/>
          </w:divBdr>
        </w:div>
        <w:div w:id="1870140174">
          <w:marLeft w:val="0"/>
          <w:marRight w:val="0"/>
          <w:marTop w:val="0"/>
          <w:marBottom w:val="0"/>
          <w:divBdr>
            <w:top w:val="none" w:sz="0" w:space="0" w:color="auto"/>
            <w:left w:val="none" w:sz="0" w:space="0" w:color="auto"/>
            <w:bottom w:val="none" w:sz="0" w:space="0" w:color="auto"/>
            <w:right w:val="none" w:sz="0" w:space="0" w:color="auto"/>
          </w:divBdr>
        </w:div>
        <w:div w:id="1879733193">
          <w:marLeft w:val="0"/>
          <w:marRight w:val="0"/>
          <w:marTop w:val="0"/>
          <w:marBottom w:val="0"/>
          <w:divBdr>
            <w:top w:val="none" w:sz="0" w:space="0" w:color="auto"/>
            <w:left w:val="none" w:sz="0" w:space="0" w:color="auto"/>
            <w:bottom w:val="none" w:sz="0" w:space="0" w:color="auto"/>
            <w:right w:val="none" w:sz="0" w:space="0" w:color="auto"/>
          </w:divBdr>
        </w:div>
        <w:div w:id="1910655027">
          <w:marLeft w:val="0"/>
          <w:marRight w:val="0"/>
          <w:marTop w:val="0"/>
          <w:marBottom w:val="0"/>
          <w:divBdr>
            <w:top w:val="none" w:sz="0" w:space="0" w:color="auto"/>
            <w:left w:val="none" w:sz="0" w:space="0" w:color="auto"/>
            <w:bottom w:val="none" w:sz="0" w:space="0" w:color="auto"/>
            <w:right w:val="none" w:sz="0" w:space="0" w:color="auto"/>
          </w:divBdr>
        </w:div>
        <w:div w:id="1927104849">
          <w:marLeft w:val="0"/>
          <w:marRight w:val="0"/>
          <w:marTop w:val="0"/>
          <w:marBottom w:val="0"/>
          <w:divBdr>
            <w:top w:val="none" w:sz="0" w:space="0" w:color="auto"/>
            <w:left w:val="none" w:sz="0" w:space="0" w:color="auto"/>
            <w:bottom w:val="none" w:sz="0" w:space="0" w:color="auto"/>
            <w:right w:val="none" w:sz="0" w:space="0" w:color="auto"/>
          </w:divBdr>
        </w:div>
        <w:div w:id="1932396022">
          <w:marLeft w:val="0"/>
          <w:marRight w:val="0"/>
          <w:marTop w:val="0"/>
          <w:marBottom w:val="0"/>
          <w:divBdr>
            <w:top w:val="none" w:sz="0" w:space="0" w:color="auto"/>
            <w:left w:val="none" w:sz="0" w:space="0" w:color="auto"/>
            <w:bottom w:val="none" w:sz="0" w:space="0" w:color="auto"/>
            <w:right w:val="none" w:sz="0" w:space="0" w:color="auto"/>
          </w:divBdr>
        </w:div>
        <w:div w:id="1934821871">
          <w:marLeft w:val="0"/>
          <w:marRight w:val="0"/>
          <w:marTop w:val="0"/>
          <w:marBottom w:val="0"/>
          <w:divBdr>
            <w:top w:val="none" w:sz="0" w:space="0" w:color="auto"/>
            <w:left w:val="none" w:sz="0" w:space="0" w:color="auto"/>
            <w:bottom w:val="none" w:sz="0" w:space="0" w:color="auto"/>
            <w:right w:val="none" w:sz="0" w:space="0" w:color="auto"/>
          </w:divBdr>
        </w:div>
        <w:div w:id="1947611103">
          <w:marLeft w:val="0"/>
          <w:marRight w:val="0"/>
          <w:marTop w:val="0"/>
          <w:marBottom w:val="0"/>
          <w:divBdr>
            <w:top w:val="none" w:sz="0" w:space="0" w:color="auto"/>
            <w:left w:val="none" w:sz="0" w:space="0" w:color="auto"/>
            <w:bottom w:val="none" w:sz="0" w:space="0" w:color="auto"/>
            <w:right w:val="none" w:sz="0" w:space="0" w:color="auto"/>
          </w:divBdr>
        </w:div>
        <w:div w:id="1987778470">
          <w:marLeft w:val="0"/>
          <w:marRight w:val="0"/>
          <w:marTop w:val="0"/>
          <w:marBottom w:val="0"/>
          <w:divBdr>
            <w:top w:val="none" w:sz="0" w:space="0" w:color="auto"/>
            <w:left w:val="none" w:sz="0" w:space="0" w:color="auto"/>
            <w:bottom w:val="none" w:sz="0" w:space="0" w:color="auto"/>
            <w:right w:val="none" w:sz="0" w:space="0" w:color="auto"/>
          </w:divBdr>
        </w:div>
        <w:div w:id="2014141677">
          <w:marLeft w:val="0"/>
          <w:marRight w:val="0"/>
          <w:marTop w:val="0"/>
          <w:marBottom w:val="0"/>
          <w:divBdr>
            <w:top w:val="none" w:sz="0" w:space="0" w:color="auto"/>
            <w:left w:val="none" w:sz="0" w:space="0" w:color="auto"/>
            <w:bottom w:val="none" w:sz="0" w:space="0" w:color="auto"/>
            <w:right w:val="none" w:sz="0" w:space="0" w:color="auto"/>
          </w:divBdr>
        </w:div>
        <w:div w:id="2041127688">
          <w:marLeft w:val="0"/>
          <w:marRight w:val="0"/>
          <w:marTop w:val="0"/>
          <w:marBottom w:val="0"/>
          <w:divBdr>
            <w:top w:val="none" w:sz="0" w:space="0" w:color="auto"/>
            <w:left w:val="none" w:sz="0" w:space="0" w:color="auto"/>
            <w:bottom w:val="none" w:sz="0" w:space="0" w:color="auto"/>
            <w:right w:val="none" w:sz="0" w:space="0" w:color="auto"/>
          </w:divBdr>
        </w:div>
        <w:div w:id="2063282816">
          <w:marLeft w:val="0"/>
          <w:marRight w:val="0"/>
          <w:marTop w:val="0"/>
          <w:marBottom w:val="0"/>
          <w:divBdr>
            <w:top w:val="none" w:sz="0" w:space="0" w:color="auto"/>
            <w:left w:val="none" w:sz="0" w:space="0" w:color="auto"/>
            <w:bottom w:val="none" w:sz="0" w:space="0" w:color="auto"/>
            <w:right w:val="none" w:sz="0" w:space="0" w:color="auto"/>
          </w:divBdr>
        </w:div>
        <w:div w:id="207100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E921C-D96F-4046-8AE6-06A7D534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45</Pages>
  <Words>12197</Words>
  <Characters>70782</Characters>
  <Application>Microsoft Office Word</Application>
  <DocSecurity>0</DocSecurity>
  <Lines>589</Lines>
  <Paragraphs>165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Pololetní zpráva 2015</vt:lpstr>
      <vt:lpstr>Pololetní zpráva 2015</vt:lpstr>
    </vt:vector>
  </TitlesOfParts>
  <Company>PEGAS NONWOVENS SA</Company>
  <LinksUpToDate>false</LinksUpToDate>
  <CharactersWithSpaces>82814</CharactersWithSpaces>
  <SharedDoc>false</SharedDoc>
  <HLinks>
    <vt:vector size="150" baseType="variant">
      <vt:variant>
        <vt:i4>6488146</vt:i4>
      </vt:variant>
      <vt:variant>
        <vt:i4>153</vt:i4>
      </vt:variant>
      <vt:variant>
        <vt:i4>0</vt:i4>
      </vt:variant>
      <vt:variant>
        <vt:i4>5</vt:i4>
      </vt:variant>
      <vt:variant>
        <vt:lpwstr>mailto:iro@pegas.cz</vt:lpwstr>
      </vt:variant>
      <vt:variant>
        <vt:lpwstr/>
      </vt:variant>
      <vt:variant>
        <vt:i4>2031678</vt:i4>
      </vt:variant>
      <vt:variant>
        <vt:i4>140</vt:i4>
      </vt:variant>
      <vt:variant>
        <vt:i4>0</vt:i4>
      </vt:variant>
      <vt:variant>
        <vt:i4>5</vt:i4>
      </vt:variant>
      <vt:variant>
        <vt:lpwstr/>
      </vt:variant>
      <vt:variant>
        <vt:lpwstr>_Toc269907507</vt:lpwstr>
      </vt:variant>
      <vt:variant>
        <vt:i4>2031678</vt:i4>
      </vt:variant>
      <vt:variant>
        <vt:i4>134</vt:i4>
      </vt:variant>
      <vt:variant>
        <vt:i4>0</vt:i4>
      </vt:variant>
      <vt:variant>
        <vt:i4>5</vt:i4>
      </vt:variant>
      <vt:variant>
        <vt:lpwstr/>
      </vt:variant>
      <vt:variant>
        <vt:lpwstr>_Toc269907506</vt:lpwstr>
      </vt:variant>
      <vt:variant>
        <vt:i4>2031678</vt:i4>
      </vt:variant>
      <vt:variant>
        <vt:i4>128</vt:i4>
      </vt:variant>
      <vt:variant>
        <vt:i4>0</vt:i4>
      </vt:variant>
      <vt:variant>
        <vt:i4>5</vt:i4>
      </vt:variant>
      <vt:variant>
        <vt:lpwstr/>
      </vt:variant>
      <vt:variant>
        <vt:lpwstr>_Toc269907505</vt:lpwstr>
      </vt:variant>
      <vt:variant>
        <vt:i4>2031678</vt:i4>
      </vt:variant>
      <vt:variant>
        <vt:i4>122</vt:i4>
      </vt:variant>
      <vt:variant>
        <vt:i4>0</vt:i4>
      </vt:variant>
      <vt:variant>
        <vt:i4>5</vt:i4>
      </vt:variant>
      <vt:variant>
        <vt:lpwstr/>
      </vt:variant>
      <vt:variant>
        <vt:lpwstr>_Toc269907504</vt:lpwstr>
      </vt:variant>
      <vt:variant>
        <vt:i4>2031678</vt:i4>
      </vt:variant>
      <vt:variant>
        <vt:i4>116</vt:i4>
      </vt:variant>
      <vt:variant>
        <vt:i4>0</vt:i4>
      </vt:variant>
      <vt:variant>
        <vt:i4>5</vt:i4>
      </vt:variant>
      <vt:variant>
        <vt:lpwstr/>
      </vt:variant>
      <vt:variant>
        <vt:lpwstr>_Toc269907503</vt:lpwstr>
      </vt:variant>
      <vt:variant>
        <vt:i4>2031678</vt:i4>
      </vt:variant>
      <vt:variant>
        <vt:i4>110</vt:i4>
      </vt:variant>
      <vt:variant>
        <vt:i4>0</vt:i4>
      </vt:variant>
      <vt:variant>
        <vt:i4>5</vt:i4>
      </vt:variant>
      <vt:variant>
        <vt:lpwstr/>
      </vt:variant>
      <vt:variant>
        <vt:lpwstr>_Toc269907502</vt:lpwstr>
      </vt:variant>
      <vt:variant>
        <vt:i4>2031678</vt:i4>
      </vt:variant>
      <vt:variant>
        <vt:i4>104</vt:i4>
      </vt:variant>
      <vt:variant>
        <vt:i4>0</vt:i4>
      </vt:variant>
      <vt:variant>
        <vt:i4>5</vt:i4>
      </vt:variant>
      <vt:variant>
        <vt:lpwstr/>
      </vt:variant>
      <vt:variant>
        <vt:lpwstr>_Toc269907501</vt:lpwstr>
      </vt:variant>
      <vt:variant>
        <vt:i4>2031678</vt:i4>
      </vt:variant>
      <vt:variant>
        <vt:i4>98</vt:i4>
      </vt:variant>
      <vt:variant>
        <vt:i4>0</vt:i4>
      </vt:variant>
      <vt:variant>
        <vt:i4>5</vt:i4>
      </vt:variant>
      <vt:variant>
        <vt:lpwstr/>
      </vt:variant>
      <vt:variant>
        <vt:lpwstr>_Toc269907500</vt:lpwstr>
      </vt:variant>
      <vt:variant>
        <vt:i4>1441855</vt:i4>
      </vt:variant>
      <vt:variant>
        <vt:i4>92</vt:i4>
      </vt:variant>
      <vt:variant>
        <vt:i4>0</vt:i4>
      </vt:variant>
      <vt:variant>
        <vt:i4>5</vt:i4>
      </vt:variant>
      <vt:variant>
        <vt:lpwstr/>
      </vt:variant>
      <vt:variant>
        <vt:lpwstr>_Toc269907499</vt:lpwstr>
      </vt:variant>
      <vt:variant>
        <vt:i4>1441855</vt:i4>
      </vt:variant>
      <vt:variant>
        <vt:i4>86</vt:i4>
      </vt:variant>
      <vt:variant>
        <vt:i4>0</vt:i4>
      </vt:variant>
      <vt:variant>
        <vt:i4>5</vt:i4>
      </vt:variant>
      <vt:variant>
        <vt:lpwstr/>
      </vt:variant>
      <vt:variant>
        <vt:lpwstr>_Toc269907498</vt:lpwstr>
      </vt:variant>
      <vt:variant>
        <vt:i4>1441855</vt:i4>
      </vt:variant>
      <vt:variant>
        <vt:i4>80</vt:i4>
      </vt:variant>
      <vt:variant>
        <vt:i4>0</vt:i4>
      </vt:variant>
      <vt:variant>
        <vt:i4>5</vt:i4>
      </vt:variant>
      <vt:variant>
        <vt:lpwstr/>
      </vt:variant>
      <vt:variant>
        <vt:lpwstr>_Toc269907497</vt:lpwstr>
      </vt:variant>
      <vt:variant>
        <vt:i4>1441855</vt:i4>
      </vt:variant>
      <vt:variant>
        <vt:i4>74</vt:i4>
      </vt:variant>
      <vt:variant>
        <vt:i4>0</vt:i4>
      </vt:variant>
      <vt:variant>
        <vt:i4>5</vt:i4>
      </vt:variant>
      <vt:variant>
        <vt:lpwstr/>
      </vt:variant>
      <vt:variant>
        <vt:lpwstr>_Toc269907496</vt:lpwstr>
      </vt:variant>
      <vt:variant>
        <vt:i4>1441855</vt:i4>
      </vt:variant>
      <vt:variant>
        <vt:i4>68</vt:i4>
      </vt:variant>
      <vt:variant>
        <vt:i4>0</vt:i4>
      </vt:variant>
      <vt:variant>
        <vt:i4>5</vt:i4>
      </vt:variant>
      <vt:variant>
        <vt:lpwstr/>
      </vt:variant>
      <vt:variant>
        <vt:lpwstr>_Toc269907495</vt:lpwstr>
      </vt:variant>
      <vt:variant>
        <vt:i4>1441855</vt:i4>
      </vt:variant>
      <vt:variant>
        <vt:i4>62</vt:i4>
      </vt:variant>
      <vt:variant>
        <vt:i4>0</vt:i4>
      </vt:variant>
      <vt:variant>
        <vt:i4>5</vt:i4>
      </vt:variant>
      <vt:variant>
        <vt:lpwstr/>
      </vt:variant>
      <vt:variant>
        <vt:lpwstr>_Toc269907494</vt:lpwstr>
      </vt:variant>
      <vt:variant>
        <vt:i4>1441855</vt:i4>
      </vt:variant>
      <vt:variant>
        <vt:i4>56</vt:i4>
      </vt:variant>
      <vt:variant>
        <vt:i4>0</vt:i4>
      </vt:variant>
      <vt:variant>
        <vt:i4>5</vt:i4>
      </vt:variant>
      <vt:variant>
        <vt:lpwstr/>
      </vt:variant>
      <vt:variant>
        <vt:lpwstr>_Toc269907493</vt:lpwstr>
      </vt:variant>
      <vt:variant>
        <vt:i4>1441855</vt:i4>
      </vt:variant>
      <vt:variant>
        <vt:i4>50</vt:i4>
      </vt:variant>
      <vt:variant>
        <vt:i4>0</vt:i4>
      </vt:variant>
      <vt:variant>
        <vt:i4>5</vt:i4>
      </vt:variant>
      <vt:variant>
        <vt:lpwstr/>
      </vt:variant>
      <vt:variant>
        <vt:lpwstr>_Toc269907492</vt:lpwstr>
      </vt:variant>
      <vt:variant>
        <vt:i4>1441855</vt:i4>
      </vt:variant>
      <vt:variant>
        <vt:i4>44</vt:i4>
      </vt:variant>
      <vt:variant>
        <vt:i4>0</vt:i4>
      </vt:variant>
      <vt:variant>
        <vt:i4>5</vt:i4>
      </vt:variant>
      <vt:variant>
        <vt:lpwstr/>
      </vt:variant>
      <vt:variant>
        <vt:lpwstr>_Toc269907491</vt:lpwstr>
      </vt:variant>
      <vt:variant>
        <vt:i4>1441855</vt:i4>
      </vt:variant>
      <vt:variant>
        <vt:i4>38</vt:i4>
      </vt:variant>
      <vt:variant>
        <vt:i4>0</vt:i4>
      </vt:variant>
      <vt:variant>
        <vt:i4>5</vt:i4>
      </vt:variant>
      <vt:variant>
        <vt:lpwstr/>
      </vt:variant>
      <vt:variant>
        <vt:lpwstr>_Toc269907490</vt:lpwstr>
      </vt:variant>
      <vt:variant>
        <vt:i4>1507391</vt:i4>
      </vt:variant>
      <vt:variant>
        <vt:i4>32</vt:i4>
      </vt:variant>
      <vt:variant>
        <vt:i4>0</vt:i4>
      </vt:variant>
      <vt:variant>
        <vt:i4>5</vt:i4>
      </vt:variant>
      <vt:variant>
        <vt:lpwstr/>
      </vt:variant>
      <vt:variant>
        <vt:lpwstr>_Toc269907489</vt:lpwstr>
      </vt:variant>
      <vt:variant>
        <vt:i4>1507391</vt:i4>
      </vt:variant>
      <vt:variant>
        <vt:i4>26</vt:i4>
      </vt:variant>
      <vt:variant>
        <vt:i4>0</vt:i4>
      </vt:variant>
      <vt:variant>
        <vt:i4>5</vt:i4>
      </vt:variant>
      <vt:variant>
        <vt:lpwstr/>
      </vt:variant>
      <vt:variant>
        <vt:lpwstr>_Toc269907488</vt:lpwstr>
      </vt:variant>
      <vt:variant>
        <vt:i4>1507391</vt:i4>
      </vt:variant>
      <vt:variant>
        <vt:i4>20</vt:i4>
      </vt:variant>
      <vt:variant>
        <vt:i4>0</vt:i4>
      </vt:variant>
      <vt:variant>
        <vt:i4>5</vt:i4>
      </vt:variant>
      <vt:variant>
        <vt:lpwstr/>
      </vt:variant>
      <vt:variant>
        <vt:lpwstr>_Toc269907487</vt:lpwstr>
      </vt:variant>
      <vt:variant>
        <vt:i4>1507391</vt:i4>
      </vt:variant>
      <vt:variant>
        <vt:i4>14</vt:i4>
      </vt:variant>
      <vt:variant>
        <vt:i4>0</vt:i4>
      </vt:variant>
      <vt:variant>
        <vt:i4>5</vt:i4>
      </vt:variant>
      <vt:variant>
        <vt:lpwstr/>
      </vt:variant>
      <vt:variant>
        <vt:lpwstr>_Toc269907486</vt:lpwstr>
      </vt:variant>
      <vt:variant>
        <vt:i4>1507391</vt:i4>
      </vt:variant>
      <vt:variant>
        <vt:i4>8</vt:i4>
      </vt:variant>
      <vt:variant>
        <vt:i4>0</vt:i4>
      </vt:variant>
      <vt:variant>
        <vt:i4>5</vt:i4>
      </vt:variant>
      <vt:variant>
        <vt:lpwstr/>
      </vt:variant>
      <vt:variant>
        <vt:lpwstr>_Toc269907485</vt:lpwstr>
      </vt:variant>
      <vt:variant>
        <vt:i4>1507391</vt:i4>
      </vt:variant>
      <vt:variant>
        <vt:i4>2</vt:i4>
      </vt:variant>
      <vt:variant>
        <vt:i4>0</vt:i4>
      </vt:variant>
      <vt:variant>
        <vt:i4>5</vt:i4>
      </vt:variant>
      <vt:variant>
        <vt:lpwstr/>
      </vt:variant>
      <vt:variant>
        <vt:lpwstr>_Toc269907484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Pololetní zpráva 2015</dc:title>
  <dc:subject>Draft</dc:subject>
  <dc:creator>Klára Klímová</dc:creator>
  <cp:lastModifiedBy>Jan Zidek</cp:lastModifiedBy>
  <cp:revision>86</cp:revision>
  <cp:lastPrinted>2017-08-23T07:31:00Z</cp:lastPrinted>
  <dcterms:created xsi:type="dcterms:W3CDTF">2015-08-21T08:58:00Z</dcterms:created>
  <dcterms:modified xsi:type="dcterms:W3CDTF">2017-08-23T19:18:00Z</dcterms:modified>
</cp:coreProperties>
</file>