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rPr>
        <w:id w:val="14554255"/>
        <w:docPartObj>
          <w:docPartGallery w:val="Cover Pages"/>
          <w:docPartUnique/>
        </w:docPartObj>
      </w:sdtPr>
      <w:sdtEndPr>
        <w:rPr>
          <w:b w:val="0"/>
          <w:bCs w:val="0"/>
        </w:rPr>
      </w:sdtEndPr>
      <w:sdtContent>
        <w:p w:rsidR="007A3749" w:rsidRDefault="00B2408D" w:rsidP="00100F32">
          <w:r>
            <w:rPr>
              <w:noProof/>
              <w:lang w:val="en-US" w:eastAsia="en-US"/>
            </w:rPr>
            <w:drawing>
              <wp:anchor distT="0" distB="0" distL="114300" distR="114300" simplePos="0" relativeHeight="251665408" behindDoc="1" locked="0" layoutInCell="1" allowOverlap="1" wp14:anchorId="7D4C171B" wp14:editId="6B1F692E">
                <wp:simplePos x="0" y="0"/>
                <wp:positionH relativeFrom="column">
                  <wp:posOffset>3916045</wp:posOffset>
                </wp:positionH>
                <wp:positionV relativeFrom="paragraph">
                  <wp:posOffset>-328295</wp:posOffset>
                </wp:positionV>
                <wp:extent cx="2162175" cy="504825"/>
                <wp:effectExtent l="0" t="0" r="9525" b="9525"/>
                <wp:wrapTight wrapText="bothSides">
                  <wp:wrapPolygon edited="0">
                    <wp:start x="0" y="0"/>
                    <wp:lineTo x="0" y="21192"/>
                    <wp:lineTo x="21505" y="21192"/>
                    <wp:lineTo x="21505" y="0"/>
                    <wp:lineTo x="0" y="0"/>
                  </wp:wrapPolygon>
                </wp:wrapTight>
                <wp:docPr id="3" name="Obrázek 2" descr="~2126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68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Default="007A3749" w:rsidP="00100F32"/>
        <w:p w:rsidR="007A3749" w:rsidRPr="00856740" w:rsidRDefault="007A3749" w:rsidP="00100F32">
          <w:pPr>
            <w:jc w:val="right"/>
            <w:rPr>
              <w:rStyle w:val="Emphasis"/>
              <w:b/>
              <w:i w:val="0"/>
              <w:sz w:val="56"/>
              <w:szCs w:val="56"/>
            </w:rPr>
          </w:pPr>
          <w:r w:rsidRPr="00856740">
            <w:rPr>
              <w:rStyle w:val="Emphasis"/>
              <w:b/>
              <w:i w:val="0"/>
              <w:sz w:val="56"/>
              <w:szCs w:val="56"/>
            </w:rPr>
            <w:t>PEGAS NONWOVENS SA</w:t>
          </w:r>
        </w:p>
        <w:p w:rsidR="007A3749" w:rsidRPr="00856740" w:rsidRDefault="007A3749" w:rsidP="00100F32">
          <w:pPr>
            <w:jc w:val="right"/>
            <w:rPr>
              <w:rStyle w:val="Emphasis"/>
              <w:b/>
              <w:i w:val="0"/>
              <w:sz w:val="40"/>
              <w:szCs w:val="40"/>
            </w:rPr>
          </w:pPr>
          <w:r w:rsidRPr="00856740">
            <w:rPr>
              <w:rStyle w:val="Emphasis"/>
              <w:b/>
              <w:i w:val="0"/>
              <w:sz w:val="40"/>
              <w:szCs w:val="40"/>
            </w:rPr>
            <w:t>POLOLETNÍ ZPRÁVA</w:t>
          </w:r>
        </w:p>
        <w:p w:rsidR="007A3749" w:rsidRPr="00856740" w:rsidRDefault="007A3749" w:rsidP="00100F32">
          <w:pPr>
            <w:jc w:val="right"/>
            <w:rPr>
              <w:rStyle w:val="Emphasis"/>
              <w:b/>
              <w:i w:val="0"/>
            </w:rPr>
          </w:pPr>
          <w:r w:rsidRPr="00856740">
            <w:rPr>
              <w:rStyle w:val="Emphasis"/>
              <w:b/>
              <w:i w:val="0"/>
              <w:sz w:val="40"/>
              <w:szCs w:val="40"/>
            </w:rPr>
            <w:t>2016</w:t>
          </w:r>
        </w:p>
        <w:p w:rsidR="007A3749" w:rsidRDefault="007A3749" w:rsidP="00100F32">
          <w:pPr>
            <w:jc w:val="right"/>
          </w:pPr>
        </w:p>
        <w:p w:rsidR="007A3749" w:rsidRDefault="007A3749" w:rsidP="00100F32">
          <w:pPr>
            <w:jc w:val="right"/>
          </w:pPr>
        </w:p>
        <w:p w:rsidR="007A3749" w:rsidRDefault="007A3749" w:rsidP="00100F32">
          <w:pPr>
            <w:jc w:val="right"/>
          </w:pPr>
        </w:p>
        <w:p w:rsidR="007A3749" w:rsidRDefault="007A3749" w:rsidP="00100F32">
          <w:pPr>
            <w:jc w:val="right"/>
          </w:pPr>
        </w:p>
        <w:p w:rsidR="00FA0E74" w:rsidRDefault="00FA0E74" w:rsidP="00100F32">
          <w:pPr>
            <w:jc w:val="right"/>
            <w:rPr>
              <w:rFonts w:cs="Arial"/>
            </w:rPr>
          </w:pPr>
        </w:p>
        <w:p w:rsidR="00FA0E74" w:rsidRDefault="00FA0E74" w:rsidP="00100F32">
          <w:pPr>
            <w:jc w:val="right"/>
            <w:rPr>
              <w:rFonts w:cs="Arial"/>
            </w:rPr>
          </w:pPr>
        </w:p>
        <w:p w:rsidR="00FA0E74" w:rsidRDefault="00FA0E74" w:rsidP="00100F32">
          <w:pPr>
            <w:jc w:val="right"/>
            <w:rPr>
              <w:rFonts w:cs="Arial"/>
            </w:rPr>
          </w:pPr>
        </w:p>
        <w:p w:rsidR="009843DC" w:rsidRPr="00781223" w:rsidRDefault="007A3749" w:rsidP="00100F32">
          <w:pPr>
            <w:jc w:val="right"/>
          </w:pPr>
          <w:r w:rsidRPr="00781223">
            <w:rPr>
              <w:rFonts w:cs="Arial"/>
            </w:rPr>
            <w:t>2</w:t>
          </w:r>
          <w:r w:rsidRPr="00781223">
            <w:t>5</w:t>
          </w:r>
          <w:r w:rsidRPr="00781223">
            <w:rPr>
              <w:rFonts w:cs="Arial"/>
            </w:rPr>
            <w:t xml:space="preserve">. </w:t>
          </w:r>
          <w:r w:rsidRPr="00781223">
            <w:t>srpna</w:t>
          </w:r>
          <w:r w:rsidRPr="00781223">
            <w:rPr>
              <w:rFonts w:cs="Arial"/>
            </w:rPr>
            <w:t xml:space="preserve"> 2016</w:t>
          </w:r>
          <w:r w:rsidR="009843DC" w:rsidRPr="00781223">
            <w:br w:type="page"/>
          </w:r>
        </w:p>
      </w:sdtContent>
    </w:sdt>
    <w:p w:rsidR="001370D9" w:rsidRPr="007A542A" w:rsidRDefault="001370D9" w:rsidP="00100F32"/>
    <w:sdt>
      <w:sdtPr>
        <w:rPr>
          <w:rFonts w:asciiTheme="minorHAnsi" w:eastAsia="Times New Roman" w:hAnsiTheme="minorHAnsi" w:cs="Times New Roman"/>
          <w:b w:val="0"/>
          <w:bCs w:val="0"/>
          <w:color w:val="auto"/>
          <w:sz w:val="24"/>
          <w:szCs w:val="24"/>
          <w:lang w:eastAsia="cs-CZ"/>
        </w:rPr>
        <w:id w:val="1866167944"/>
        <w:docPartObj>
          <w:docPartGallery w:val="Table of Contents"/>
          <w:docPartUnique/>
        </w:docPartObj>
      </w:sdtPr>
      <w:sdtEndPr>
        <w:rPr>
          <w:noProof/>
        </w:rPr>
      </w:sdtEndPr>
      <w:sdtContent>
        <w:p w:rsidR="00FA0E74" w:rsidRPr="000D4294" w:rsidRDefault="00FA0E74" w:rsidP="00396F0C">
          <w:pPr>
            <w:pStyle w:val="TOCHeading"/>
            <w:rPr>
              <w:rFonts w:asciiTheme="minorHAnsi" w:hAnsiTheme="minorHAnsi"/>
              <w:color w:val="auto"/>
              <w:sz w:val="48"/>
              <w:szCs w:val="48"/>
            </w:rPr>
          </w:pPr>
          <w:r w:rsidRPr="000D4294">
            <w:rPr>
              <w:rFonts w:asciiTheme="minorHAnsi" w:hAnsiTheme="minorHAnsi"/>
              <w:color w:val="auto"/>
              <w:sz w:val="48"/>
              <w:szCs w:val="48"/>
            </w:rPr>
            <w:t>Obsah</w:t>
          </w:r>
        </w:p>
        <w:p w:rsidR="00100F32" w:rsidRDefault="00FA0E74" w:rsidP="00100F32">
          <w:pPr>
            <w:pStyle w:val="TOC1"/>
            <w:spacing w:before="120" w:beforeAutospacing="0" w:after="0" w:afterAutospacing="0"/>
            <w:rPr>
              <w:rFonts w:eastAsiaTheme="minorEastAsia" w:cstheme="minorBidi"/>
              <w:b w:val="0"/>
              <w:sz w:val="22"/>
              <w:szCs w:val="22"/>
              <w:lang w:val="en-US" w:eastAsia="en-US"/>
            </w:rPr>
          </w:pPr>
          <w:r>
            <w:fldChar w:fldCharType="begin"/>
          </w:r>
          <w:r>
            <w:instrText xml:space="preserve"> TOC \o "1-3" \h \z \u </w:instrText>
          </w:r>
          <w:r>
            <w:fldChar w:fldCharType="separate"/>
          </w:r>
          <w:hyperlink w:anchor="_Toc458586513" w:history="1">
            <w:r w:rsidR="00100F32" w:rsidRPr="002A60B0">
              <w:rPr>
                <w:rStyle w:val="Hyperlink"/>
              </w:rPr>
              <w:t>Úvod</w:t>
            </w:r>
            <w:r w:rsidR="00100F32">
              <w:rPr>
                <w:webHidden/>
              </w:rPr>
              <w:tab/>
            </w:r>
            <w:r w:rsidR="00100F32">
              <w:rPr>
                <w:webHidden/>
              </w:rPr>
              <w:fldChar w:fldCharType="begin"/>
            </w:r>
            <w:r w:rsidR="00100F32">
              <w:rPr>
                <w:webHidden/>
              </w:rPr>
              <w:instrText xml:space="preserve"> PAGEREF _Toc458586513 \h </w:instrText>
            </w:r>
            <w:r w:rsidR="00100F32">
              <w:rPr>
                <w:webHidden/>
              </w:rPr>
            </w:r>
            <w:r w:rsidR="00100F32">
              <w:rPr>
                <w:webHidden/>
              </w:rPr>
              <w:fldChar w:fldCharType="separate"/>
            </w:r>
            <w:r w:rsidR="00391A0C">
              <w:rPr>
                <w:webHidden/>
              </w:rPr>
              <w:t>3</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14" w:history="1">
            <w:r w:rsidR="00100F32" w:rsidRPr="002A60B0">
              <w:rPr>
                <w:rStyle w:val="Hyperlink"/>
              </w:rPr>
              <w:t>Hlavní údaje za první pololetí 2016</w:t>
            </w:r>
            <w:r w:rsidR="00100F32">
              <w:rPr>
                <w:webHidden/>
              </w:rPr>
              <w:tab/>
            </w:r>
            <w:r w:rsidR="00100F32">
              <w:rPr>
                <w:webHidden/>
              </w:rPr>
              <w:fldChar w:fldCharType="begin"/>
            </w:r>
            <w:r w:rsidR="00100F32">
              <w:rPr>
                <w:webHidden/>
              </w:rPr>
              <w:instrText xml:space="preserve"> PAGEREF _Toc458586514 \h </w:instrText>
            </w:r>
            <w:r w:rsidR="00100F32">
              <w:rPr>
                <w:webHidden/>
              </w:rPr>
            </w:r>
            <w:r w:rsidR="00100F32">
              <w:rPr>
                <w:webHidden/>
              </w:rPr>
              <w:fldChar w:fldCharType="separate"/>
            </w:r>
            <w:r w:rsidR="00391A0C">
              <w:rPr>
                <w:webHidden/>
              </w:rPr>
              <w:t>4</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15" w:history="1">
            <w:r w:rsidR="00100F32" w:rsidRPr="002A60B0">
              <w:rPr>
                <w:rStyle w:val="Hyperlink"/>
              </w:rPr>
              <w:t>Mezitímní zpráva o podnikání za první pololetí 2016</w:t>
            </w:r>
            <w:r w:rsidR="00100F32">
              <w:rPr>
                <w:webHidden/>
              </w:rPr>
              <w:tab/>
            </w:r>
            <w:r w:rsidR="00100F32">
              <w:rPr>
                <w:webHidden/>
              </w:rPr>
              <w:fldChar w:fldCharType="begin"/>
            </w:r>
            <w:r w:rsidR="00100F32">
              <w:rPr>
                <w:webHidden/>
              </w:rPr>
              <w:instrText xml:space="preserve"> PAGEREF _Toc458586515 \h </w:instrText>
            </w:r>
            <w:r w:rsidR="00100F32">
              <w:rPr>
                <w:webHidden/>
              </w:rPr>
            </w:r>
            <w:r w:rsidR="00100F32">
              <w:rPr>
                <w:webHidden/>
              </w:rPr>
              <w:fldChar w:fldCharType="separate"/>
            </w:r>
            <w:r w:rsidR="00391A0C">
              <w:rPr>
                <w:webHidden/>
              </w:rPr>
              <w:t>6</w:t>
            </w:r>
            <w:r w:rsidR="00100F32">
              <w:rPr>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16" w:history="1">
            <w:r w:rsidR="00100F32" w:rsidRPr="002A60B0">
              <w:rPr>
                <w:rStyle w:val="Hyperlink"/>
                <w:noProof/>
              </w:rPr>
              <w:t>Finanční výsledky za první pololetí 2016</w:t>
            </w:r>
            <w:r w:rsidR="00100F32">
              <w:rPr>
                <w:noProof/>
                <w:webHidden/>
              </w:rPr>
              <w:tab/>
            </w:r>
            <w:r w:rsidR="00100F32">
              <w:rPr>
                <w:noProof/>
                <w:webHidden/>
              </w:rPr>
              <w:fldChar w:fldCharType="begin"/>
            </w:r>
            <w:r w:rsidR="00100F32">
              <w:rPr>
                <w:noProof/>
                <w:webHidden/>
              </w:rPr>
              <w:instrText xml:space="preserve"> PAGEREF _Toc458586516 \h </w:instrText>
            </w:r>
            <w:r w:rsidR="00100F32">
              <w:rPr>
                <w:noProof/>
                <w:webHidden/>
              </w:rPr>
            </w:r>
            <w:r w:rsidR="00100F32">
              <w:rPr>
                <w:noProof/>
                <w:webHidden/>
              </w:rPr>
              <w:fldChar w:fldCharType="separate"/>
            </w:r>
            <w:r w:rsidR="00391A0C">
              <w:rPr>
                <w:noProof/>
                <w:webHidden/>
              </w:rPr>
              <w:t>6</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17" w:history="1">
            <w:r w:rsidR="00100F32" w:rsidRPr="002A60B0">
              <w:rPr>
                <w:rStyle w:val="Hyperlink"/>
                <w:noProof/>
              </w:rPr>
              <w:t>Přehled hospodaření Společnosti v prvním pololetí 2016</w:t>
            </w:r>
            <w:r w:rsidR="00100F32">
              <w:rPr>
                <w:noProof/>
                <w:webHidden/>
              </w:rPr>
              <w:tab/>
            </w:r>
            <w:r w:rsidR="00100F32">
              <w:rPr>
                <w:noProof/>
                <w:webHidden/>
              </w:rPr>
              <w:fldChar w:fldCharType="begin"/>
            </w:r>
            <w:r w:rsidR="00100F32">
              <w:rPr>
                <w:noProof/>
                <w:webHidden/>
              </w:rPr>
              <w:instrText xml:space="preserve"> PAGEREF _Toc458586517 \h </w:instrText>
            </w:r>
            <w:r w:rsidR="00100F32">
              <w:rPr>
                <w:noProof/>
                <w:webHidden/>
              </w:rPr>
            </w:r>
            <w:r w:rsidR="00100F32">
              <w:rPr>
                <w:noProof/>
                <w:webHidden/>
              </w:rPr>
              <w:fldChar w:fldCharType="separate"/>
            </w:r>
            <w:r w:rsidR="00391A0C">
              <w:rPr>
                <w:noProof/>
                <w:webHidden/>
              </w:rPr>
              <w:t>8</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18" w:history="1">
            <w:r w:rsidR="00100F32" w:rsidRPr="002A60B0">
              <w:rPr>
                <w:rStyle w:val="Hyperlink"/>
                <w:noProof/>
              </w:rPr>
              <w:t>Výzkum a vývoj</w:t>
            </w:r>
            <w:r w:rsidR="00100F32">
              <w:rPr>
                <w:noProof/>
                <w:webHidden/>
              </w:rPr>
              <w:tab/>
            </w:r>
            <w:r w:rsidR="00100F32">
              <w:rPr>
                <w:noProof/>
                <w:webHidden/>
              </w:rPr>
              <w:fldChar w:fldCharType="begin"/>
            </w:r>
            <w:r w:rsidR="00100F32">
              <w:rPr>
                <w:noProof/>
                <w:webHidden/>
              </w:rPr>
              <w:instrText xml:space="preserve"> PAGEREF _Toc458586518 \h </w:instrText>
            </w:r>
            <w:r w:rsidR="00100F32">
              <w:rPr>
                <w:noProof/>
                <w:webHidden/>
              </w:rPr>
            </w:r>
            <w:r w:rsidR="00100F32">
              <w:rPr>
                <w:noProof/>
                <w:webHidden/>
              </w:rPr>
              <w:fldChar w:fldCharType="separate"/>
            </w:r>
            <w:r w:rsidR="00391A0C">
              <w:rPr>
                <w:noProof/>
                <w:webHidden/>
              </w:rPr>
              <w:t>9</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19" w:history="1">
            <w:r w:rsidR="00100F32" w:rsidRPr="002A60B0">
              <w:rPr>
                <w:rStyle w:val="Hyperlink"/>
                <w:noProof/>
              </w:rPr>
              <w:t>Strategie</w:t>
            </w:r>
            <w:r w:rsidR="00100F32">
              <w:rPr>
                <w:noProof/>
                <w:webHidden/>
              </w:rPr>
              <w:tab/>
            </w:r>
            <w:r w:rsidR="00100F32">
              <w:rPr>
                <w:noProof/>
                <w:webHidden/>
              </w:rPr>
              <w:fldChar w:fldCharType="begin"/>
            </w:r>
            <w:r w:rsidR="00100F32">
              <w:rPr>
                <w:noProof/>
                <w:webHidden/>
              </w:rPr>
              <w:instrText xml:space="preserve"> PAGEREF _Toc458586519 \h </w:instrText>
            </w:r>
            <w:r w:rsidR="00100F32">
              <w:rPr>
                <w:noProof/>
                <w:webHidden/>
              </w:rPr>
            </w:r>
            <w:r w:rsidR="00100F32">
              <w:rPr>
                <w:noProof/>
                <w:webHidden/>
              </w:rPr>
              <w:fldChar w:fldCharType="separate"/>
            </w:r>
            <w:r w:rsidR="00391A0C">
              <w:rPr>
                <w:noProof/>
                <w:webHidden/>
              </w:rPr>
              <w:t>10</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20" w:history="1">
            <w:r w:rsidR="00100F32" w:rsidRPr="002A60B0">
              <w:rPr>
                <w:rStyle w:val="Hyperlink"/>
                <w:noProof/>
              </w:rPr>
              <w:t>Rizikové faktory</w:t>
            </w:r>
            <w:r w:rsidR="00100F32">
              <w:rPr>
                <w:noProof/>
                <w:webHidden/>
              </w:rPr>
              <w:tab/>
            </w:r>
            <w:r w:rsidR="00100F32">
              <w:rPr>
                <w:noProof/>
                <w:webHidden/>
              </w:rPr>
              <w:fldChar w:fldCharType="begin"/>
            </w:r>
            <w:r w:rsidR="00100F32">
              <w:rPr>
                <w:noProof/>
                <w:webHidden/>
              </w:rPr>
              <w:instrText xml:space="preserve"> PAGEREF _Toc458586520 \h </w:instrText>
            </w:r>
            <w:r w:rsidR="00100F32">
              <w:rPr>
                <w:noProof/>
                <w:webHidden/>
              </w:rPr>
            </w:r>
            <w:r w:rsidR="00100F32">
              <w:rPr>
                <w:noProof/>
                <w:webHidden/>
              </w:rPr>
              <w:fldChar w:fldCharType="separate"/>
            </w:r>
            <w:r w:rsidR="00391A0C">
              <w:rPr>
                <w:noProof/>
                <w:webHidden/>
              </w:rPr>
              <w:t>11</w:t>
            </w:r>
            <w:r w:rsidR="00100F32">
              <w:rPr>
                <w:noProof/>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21" w:history="1">
            <w:r w:rsidR="00100F32" w:rsidRPr="002A60B0">
              <w:rPr>
                <w:rStyle w:val="Hyperlink"/>
              </w:rPr>
              <w:t>Akcie a akcionářská struktura</w:t>
            </w:r>
            <w:r w:rsidR="00100F32">
              <w:rPr>
                <w:webHidden/>
              </w:rPr>
              <w:tab/>
            </w:r>
            <w:r w:rsidR="00100F32">
              <w:rPr>
                <w:webHidden/>
              </w:rPr>
              <w:fldChar w:fldCharType="begin"/>
            </w:r>
            <w:r w:rsidR="00100F32">
              <w:rPr>
                <w:webHidden/>
              </w:rPr>
              <w:instrText xml:space="preserve"> PAGEREF _Toc458586521 \h </w:instrText>
            </w:r>
            <w:r w:rsidR="00100F32">
              <w:rPr>
                <w:webHidden/>
              </w:rPr>
            </w:r>
            <w:r w:rsidR="00100F32">
              <w:rPr>
                <w:webHidden/>
              </w:rPr>
              <w:fldChar w:fldCharType="separate"/>
            </w:r>
            <w:r w:rsidR="00391A0C">
              <w:rPr>
                <w:webHidden/>
              </w:rPr>
              <w:t>14</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22" w:history="1">
            <w:r w:rsidR="00100F32" w:rsidRPr="002A60B0">
              <w:rPr>
                <w:rStyle w:val="Hyperlink"/>
              </w:rPr>
              <w:t>Dividendová politika a vyhlášení dividendy</w:t>
            </w:r>
            <w:r w:rsidR="00100F32">
              <w:rPr>
                <w:webHidden/>
              </w:rPr>
              <w:tab/>
            </w:r>
            <w:r w:rsidR="00100F32">
              <w:rPr>
                <w:webHidden/>
              </w:rPr>
              <w:fldChar w:fldCharType="begin"/>
            </w:r>
            <w:r w:rsidR="00100F32">
              <w:rPr>
                <w:webHidden/>
              </w:rPr>
              <w:instrText xml:space="preserve"> PAGEREF _Toc458586522 \h </w:instrText>
            </w:r>
            <w:r w:rsidR="00100F32">
              <w:rPr>
                <w:webHidden/>
              </w:rPr>
            </w:r>
            <w:r w:rsidR="00100F32">
              <w:rPr>
                <w:webHidden/>
              </w:rPr>
              <w:fldChar w:fldCharType="separate"/>
            </w:r>
            <w:r w:rsidR="00391A0C">
              <w:rPr>
                <w:webHidden/>
              </w:rPr>
              <w:t>16</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23" w:history="1">
            <w:r w:rsidR="00100F32" w:rsidRPr="002A60B0">
              <w:rPr>
                <w:rStyle w:val="Hyperlink"/>
              </w:rPr>
              <w:t>Zpráva o vztazích</w:t>
            </w:r>
            <w:r w:rsidR="00100F32">
              <w:rPr>
                <w:webHidden/>
              </w:rPr>
              <w:tab/>
            </w:r>
            <w:r w:rsidR="00100F32">
              <w:rPr>
                <w:webHidden/>
              </w:rPr>
              <w:fldChar w:fldCharType="begin"/>
            </w:r>
            <w:r w:rsidR="00100F32">
              <w:rPr>
                <w:webHidden/>
              </w:rPr>
              <w:instrText xml:space="preserve"> PAGEREF _Toc458586523 \h </w:instrText>
            </w:r>
            <w:r w:rsidR="00100F32">
              <w:rPr>
                <w:webHidden/>
              </w:rPr>
            </w:r>
            <w:r w:rsidR="00100F32">
              <w:rPr>
                <w:webHidden/>
              </w:rPr>
              <w:fldChar w:fldCharType="separate"/>
            </w:r>
            <w:r w:rsidR="00391A0C">
              <w:rPr>
                <w:webHidden/>
              </w:rPr>
              <w:t>17</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24" w:history="1">
            <w:r w:rsidR="00100F32" w:rsidRPr="002A60B0">
              <w:rPr>
                <w:rStyle w:val="Hyperlink"/>
              </w:rPr>
              <w:t>Správa a řízení Společnosti</w:t>
            </w:r>
            <w:r w:rsidR="00100F32">
              <w:rPr>
                <w:webHidden/>
              </w:rPr>
              <w:tab/>
            </w:r>
            <w:r w:rsidR="00100F32">
              <w:rPr>
                <w:webHidden/>
              </w:rPr>
              <w:fldChar w:fldCharType="begin"/>
            </w:r>
            <w:r w:rsidR="00100F32">
              <w:rPr>
                <w:webHidden/>
              </w:rPr>
              <w:instrText xml:space="preserve"> PAGEREF _Toc458586524 \h </w:instrText>
            </w:r>
            <w:r w:rsidR="00100F32">
              <w:rPr>
                <w:webHidden/>
              </w:rPr>
            </w:r>
            <w:r w:rsidR="00100F32">
              <w:rPr>
                <w:webHidden/>
              </w:rPr>
              <w:fldChar w:fldCharType="separate"/>
            </w:r>
            <w:r w:rsidR="00391A0C">
              <w:rPr>
                <w:webHidden/>
              </w:rPr>
              <w:t>20</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25" w:history="1">
            <w:r w:rsidR="00100F32" w:rsidRPr="002A60B0">
              <w:rPr>
                <w:rStyle w:val="Hyperlink"/>
              </w:rPr>
              <w:t>Mezitímní neuauditovaná konsolidovaná účetní závěrka</w:t>
            </w:r>
            <w:r w:rsidR="00100F32">
              <w:rPr>
                <w:webHidden/>
              </w:rPr>
              <w:tab/>
            </w:r>
            <w:r w:rsidR="00100F32">
              <w:rPr>
                <w:webHidden/>
              </w:rPr>
              <w:fldChar w:fldCharType="begin"/>
            </w:r>
            <w:r w:rsidR="00100F32">
              <w:rPr>
                <w:webHidden/>
              </w:rPr>
              <w:instrText xml:space="preserve"> PAGEREF _Toc458586525 \h </w:instrText>
            </w:r>
            <w:r w:rsidR="00100F32">
              <w:rPr>
                <w:webHidden/>
              </w:rPr>
            </w:r>
            <w:r w:rsidR="00100F32">
              <w:rPr>
                <w:webHidden/>
              </w:rPr>
              <w:fldChar w:fldCharType="separate"/>
            </w:r>
            <w:r w:rsidR="00391A0C">
              <w:rPr>
                <w:webHidden/>
              </w:rPr>
              <w:t>23</w:t>
            </w:r>
            <w:r w:rsidR="00100F32">
              <w:rPr>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26" w:history="1">
            <w:r w:rsidR="00100F32" w:rsidRPr="002A60B0">
              <w:rPr>
                <w:rStyle w:val="Hyperlink"/>
                <w:noProof/>
              </w:rPr>
              <w:t>Konsolidovaný výkaz o úplném výsledku ve zkrácené podobě za období šesti měsíců</w:t>
            </w:r>
            <w:r w:rsidR="00100F32">
              <w:rPr>
                <w:noProof/>
                <w:webHidden/>
              </w:rPr>
              <w:tab/>
            </w:r>
            <w:r w:rsidR="00100F32">
              <w:rPr>
                <w:noProof/>
                <w:webHidden/>
              </w:rPr>
              <w:fldChar w:fldCharType="begin"/>
            </w:r>
            <w:r w:rsidR="00100F32">
              <w:rPr>
                <w:noProof/>
                <w:webHidden/>
              </w:rPr>
              <w:instrText xml:space="preserve"> PAGEREF _Toc458586526 \h </w:instrText>
            </w:r>
            <w:r w:rsidR="00100F32">
              <w:rPr>
                <w:noProof/>
                <w:webHidden/>
              </w:rPr>
            </w:r>
            <w:r w:rsidR="00100F32">
              <w:rPr>
                <w:noProof/>
                <w:webHidden/>
              </w:rPr>
              <w:fldChar w:fldCharType="separate"/>
            </w:r>
            <w:r w:rsidR="00391A0C">
              <w:rPr>
                <w:noProof/>
                <w:webHidden/>
              </w:rPr>
              <w:t>24</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27" w:history="1">
            <w:r w:rsidR="00100F32" w:rsidRPr="002A60B0">
              <w:rPr>
                <w:rStyle w:val="Hyperlink"/>
                <w:noProof/>
              </w:rPr>
              <w:t>Konsolidovaný výkaz o úplném výsledku ve zkrácené podobě za období tří měsíců</w:t>
            </w:r>
            <w:r w:rsidR="00100F32">
              <w:rPr>
                <w:noProof/>
                <w:webHidden/>
              </w:rPr>
              <w:tab/>
            </w:r>
            <w:r w:rsidR="00100F32">
              <w:rPr>
                <w:noProof/>
                <w:webHidden/>
              </w:rPr>
              <w:fldChar w:fldCharType="begin"/>
            </w:r>
            <w:r w:rsidR="00100F32">
              <w:rPr>
                <w:noProof/>
                <w:webHidden/>
              </w:rPr>
              <w:instrText xml:space="preserve"> PAGEREF _Toc458586527 \h </w:instrText>
            </w:r>
            <w:r w:rsidR="00100F32">
              <w:rPr>
                <w:noProof/>
                <w:webHidden/>
              </w:rPr>
            </w:r>
            <w:r w:rsidR="00100F32">
              <w:rPr>
                <w:noProof/>
                <w:webHidden/>
              </w:rPr>
              <w:fldChar w:fldCharType="separate"/>
            </w:r>
            <w:r w:rsidR="00391A0C">
              <w:rPr>
                <w:noProof/>
                <w:webHidden/>
              </w:rPr>
              <w:t>25</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28" w:history="1">
            <w:r w:rsidR="00100F32" w:rsidRPr="002A60B0">
              <w:rPr>
                <w:rStyle w:val="Hyperlink"/>
                <w:noProof/>
              </w:rPr>
              <w:t>Konsolidovaný výkaz o finanční situaci ve zkrácené podobě</w:t>
            </w:r>
            <w:r w:rsidR="00100F32">
              <w:rPr>
                <w:noProof/>
                <w:webHidden/>
              </w:rPr>
              <w:tab/>
            </w:r>
            <w:r w:rsidR="00100F32">
              <w:rPr>
                <w:noProof/>
                <w:webHidden/>
              </w:rPr>
              <w:fldChar w:fldCharType="begin"/>
            </w:r>
            <w:r w:rsidR="00100F32">
              <w:rPr>
                <w:noProof/>
                <w:webHidden/>
              </w:rPr>
              <w:instrText xml:space="preserve"> PAGEREF _Toc458586528 \h </w:instrText>
            </w:r>
            <w:r w:rsidR="00100F32">
              <w:rPr>
                <w:noProof/>
                <w:webHidden/>
              </w:rPr>
            </w:r>
            <w:r w:rsidR="00100F32">
              <w:rPr>
                <w:noProof/>
                <w:webHidden/>
              </w:rPr>
              <w:fldChar w:fldCharType="separate"/>
            </w:r>
            <w:r w:rsidR="00391A0C">
              <w:rPr>
                <w:noProof/>
                <w:webHidden/>
              </w:rPr>
              <w:t>26</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29" w:history="1">
            <w:r w:rsidR="00100F32" w:rsidRPr="002A60B0">
              <w:rPr>
                <w:rStyle w:val="Hyperlink"/>
                <w:noProof/>
              </w:rPr>
              <w:t>Konsolidovaný přehled o peněžních tocích ve zkrácené podobě</w:t>
            </w:r>
            <w:r w:rsidR="00100F32">
              <w:rPr>
                <w:noProof/>
                <w:webHidden/>
              </w:rPr>
              <w:tab/>
            </w:r>
            <w:r w:rsidR="00100F32">
              <w:rPr>
                <w:noProof/>
                <w:webHidden/>
              </w:rPr>
              <w:fldChar w:fldCharType="begin"/>
            </w:r>
            <w:r w:rsidR="00100F32">
              <w:rPr>
                <w:noProof/>
                <w:webHidden/>
              </w:rPr>
              <w:instrText xml:space="preserve"> PAGEREF _Toc458586529 \h </w:instrText>
            </w:r>
            <w:r w:rsidR="00100F32">
              <w:rPr>
                <w:noProof/>
                <w:webHidden/>
              </w:rPr>
            </w:r>
            <w:r w:rsidR="00100F32">
              <w:rPr>
                <w:noProof/>
                <w:webHidden/>
              </w:rPr>
              <w:fldChar w:fldCharType="separate"/>
            </w:r>
            <w:r w:rsidR="00391A0C">
              <w:rPr>
                <w:noProof/>
                <w:webHidden/>
              </w:rPr>
              <w:t>27</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30" w:history="1">
            <w:r w:rsidR="00100F32" w:rsidRPr="002A60B0">
              <w:rPr>
                <w:rStyle w:val="Hyperlink"/>
                <w:noProof/>
              </w:rPr>
              <w:t>Konsolidovaný přehled o změnách vlastního kapitálu ve zkrácené podobě</w:t>
            </w:r>
            <w:r w:rsidR="00100F32">
              <w:rPr>
                <w:noProof/>
                <w:webHidden/>
              </w:rPr>
              <w:tab/>
            </w:r>
            <w:r w:rsidR="00100F32">
              <w:rPr>
                <w:noProof/>
                <w:webHidden/>
              </w:rPr>
              <w:fldChar w:fldCharType="begin"/>
            </w:r>
            <w:r w:rsidR="00100F32">
              <w:rPr>
                <w:noProof/>
                <w:webHidden/>
              </w:rPr>
              <w:instrText xml:space="preserve"> PAGEREF _Toc458586530 \h </w:instrText>
            </w:r>
            <w:r w:rsidR="00100F32">
              <w:rPr>
                <w:noProof/>
                <w:webHidden/>
              </w:rPr>
            </w:r>
            <w:r w:rsidR="00100F32">
              <w:rPr>
                <w:noProof/>
                <w:webHidden/>
              </w:rPr>
              <w:fldChar w:fldCharType="separate"/>
            </w:r>
            <w:r w:rsidR="00391A0C">
              <w:rPr>
                <w:noProof/>
                <w:webHidden/>
              </w:rPr>
              <w:t>28</w:t>
            </w:r>
            <w:r w:rsidR="00100F32">
              <w:rPr>
                <w:noProof/>
                <w:webHidden/>
              </w:rPr>
              <w:fldChar w:fldCharType="end"/>
            </w:r>
          </w:hyperlink>
        </w:p>
        <w:p w:rsidR="00100F32" w:rsidRDefault="00757797" w:rsidP="00100F32">
          <w:pPr>
            <w:pStyle w:val="TOC2"/>
            <w:tabs>
              <w:tab w:val="right" w:leader="dot" w:pos="9062"/>
            </w:tabs>
            <w:spacing w:before="120" w:beforeAutospacing="0" w:after="0" w:afterAutospacing="0"/>
            <w:rPr>
              <w:rFonts w:eastAsiaTheme="minorEastAsia" w:cstheme="minorBidi"/>
              <w:noProof/>
              <w:sz w:val="22"/>
              <w:szCs w:val="22"/>
              <w:lang w:val="en-US" w:eastAsia="en-US"/>
            </w:rPr>
          </w:pPr>
          <w:hyperlink w:anchor="_Toc458586531" w:history="1">
            <w:r w:rsidR="00100F32" w:rsidRPr="002A60B0">
              <w:rPr>
                <w:rStyle w:val="Hyperlink"/>
                <w:noProof/>
              </w:rPr>
              <w:t>Vybrané vysvětlující poznámky k mezitímní konsolidované účetní závěrce</w:t>
            </w:r>
            <w:r w:rsidR="00100F32">
              <w:rPr>
                <w:noProof/>
                <w:webHidden/>
              </w:rPr>
              <w:tab/>
            </w:r>
            <w:r w:rsidR="00100F32">
              <w:rPr>
                <w:noProof/>
                <w:webHidden/>
              </w:rPr>
              <w:fldChar w:fldCharType="begin"/>
            </w:r>
            <w:r w:rsidR="00100F32">
              <w:rPr>
                <w:noProof/>
                <w:webHidden/>
              </w:rPr>
              <w:instrText xml:space="preserve"> PAGEREF _Toc458586531 \h </w:instrText>
            </w:r>
            <w:r w:rsidR="00100F32">
              <w:rPr>
                <w:noProof/>
                <w:webHidden/>
              </w:rPr>
            </w:r>
            <w:r w:rsidR="00100F32">
              <w:rPr>
                <w:noProof/>
                <w:webHidden/>
              </w:rPr>
              <w:fldChar w:fldCharType="separate"/>
            </w:r>
            <w:r w:rsidR="00391A0C">
              <w:rPr>
                <w:noProof/>
                <w:webHidden/>
              </w:rPr>
              <w:t>29</w:t>
            </w:r>
            <w:r w:rsidR="00100F32">
              <w:rPr>
                <w:noProof/>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32" w:history="1">
            <w:r w:rsidR="00100F32" w:rsidRPr="002A60B0">
              <w:rPr>
                <w:rStyle w:val="Hyperlink"/>
              </w:rPr>
              <w:t>Prohlášení</w:t>
            </w:r>
            <w:r w:rsidR="00100F32">
              <w:rPr>
                <w:webHidden/>
              </w:rPr>
              <w:tab/>
            </w:r>
            <w:r w:rsidR="00100F32">
              <w:rPr>
                <w:webHidden/>
              </w:rPr>
              <w:fldChar w:fldCharType="begin"/>
            </w:r>
            <w:r w:rsidR="00100F32">
              <w:rPr>
                <w:webHidden/>
              </w:rPr>
              <w:instrText xml:space="preserve"> PAGEREF _Toc458586532 \h </w:instrText>
            </w:r>
            <w:r w:rsidR="00100F32">
              <w:rPr>
                <w:webHidden/>
              </w:rPr>
            </w:r>
            <w:r w:rsidR="00100F32">
              <w:rPr>
                <w:webHidden/>
              </w:rPr>
              <w:fldChar w:fldCharType="separate"/>
            </w:r>
            <w:r w:rsidR="00391A0C">
              <w:rPr>
                <w:webHidden/>
              </w:rPr>
              <w:t>35</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33" w:history="1">
            <w:r w:rsidR="00100F32" w:rsidRPr="002A60B0">
              <w:rPr>
                <w:rStyle w:val="Hyperlink"/>
              </w:rPr>
              <w:t>Kontakty</w:t>
            </w:r>
            <w:r w:rsidR="00100F32">
              <w:rPr>
                <w:webHidden/>
              </w:rPr>
              <w:tab/>
            </w:r>
            <w:r w:rsidR="00100F32">
              <w:rPr>
                <w:webHidden/>
              </w:rPr>
              <w:fldChar w:fldCharType="begin"/>
            </w:r>
            <w:r w:rsidR="00100F32">
              <w:rPr>
                <w:webHidden/>
              </w:rPr>
              <w:instrText xml:space="preserve"> PAGEREF _Toc458586533 \h </w:instrText>
            </w:r>
            <w:r w:rsidR="00100F32">
              <w:rPr>
                <w:webHidden/>
              </w:rPr>
            </w:r>
            <w:r w:rsidR="00100F32">
              <w:rPr>
                <w:webHidden/>
              </w:rPr>
              <w:fldChar w:fldCharType="separate"/>
            </w:r>
            <w:r w:rsidR="00391A0C">
              <w:rPr>
                <w:webHidden/>
              </w:rPr>
              <w:t>36</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34" w:history="1">
            <w:r w:rsidR="00100F32" w:rsidRPr="002A60B0">
              <w:rPr>
                <w:rStyle w:val="Hyperlink"/>
              </w:rPr>
              <w:t>Výklad pojmů a zkratek</w:t>
            </w:r>
            <w:r w:rsidR="00100F32">
              <w:rPr>
                <w:webHidden/>
              </w:rPr>
              <w:tab/>
            </w:r>
            <w:r w:rsidR="00100F32">
              <w:rPr>
                <w:webHidden/>
              </w:rPr>
              <w:fldChar w:fldCharType="begin"/>
            </w:r>
            <w:r w:rsidR="00100F32">
              <w:rPr>
                <w:webHidden/>
              </w:rPr>
              <w:instrText xml:space="preserve"> PAGEREF _Toc458586534 \h </w:instrText>
            </w:r>
            <w:r w:rsidR="00100F32">
              <w:rPr>
                <w:webHidden/>
              </w:rPr>
            </w:r>
            <w:r w:rsidR="00100F32">
              <w:rPr>
                <w:webHidden/>
              </w:rPr>
              <w:fldChar w:fldCharType="separate"/>
            </w:r>
            <w:r w:rsidR="00391A0C">
              <w:rPr>
                <w:webHidden/>
              </w:rPr>
              <w:t>37</w:t>
            </w:r>
            <w:r w:rsidR="00100F32">
              <w:rPr>
                <w:webHidden/>
              </w:rPr>
              <w:fldChar w:fldCharType="end"/>
            </w:r>
          </w:hyperlink>
        </w:p>
        <w:p w:rsidR="00100F32" w:rsidRDefault="00757797" w:rsidP="00100F32">
          <w:pPr>
            <w:pStyle w:val="TOC1"/>
            <w:spacing w:before="120" w:beforeAutospacing="0" w:after="0" w:afterAutospacing="0"/>
            <w:rPr>
              <w:rFonts w:eastAsiaTheme="minorEastAsia" w:cstheme="minorBidi"/>
              <w:b w:val="0"/>
              <w:sz w:val="22"/>
              <w:szCs w:val="22"/>
              <w:lang w:val="en-US" w:eastAsia="en-US"/>
            </w:rPr>
          </w:pPr>
          <w:hyperlink w:anchor="_Toc458586535" w:history="1">
            <w:r w:rsidR="00100F32" w:rsidRPr="002A60B0">
              <w:rPr>
                <w:rStyle w:val="Hyperlink"/>
              </w:rPr>
              <w:t>Ostatní informace</w:t>
            </w:r>
            <w:r w:rsidR="00100F32">
              <w:rPr>
                <w:webHidden/>
              </w:rPr>
              <w:tab/>
            </w:r>
            <w:r w:rsidR="00100F32">
              <w:rPr>
                <w:webHidden/>
              </w:rPr>
              <w:fldChar w:fldCharType="begin"/>
            </w:r>
            <w:r w:rsidR="00100F32">
              <w:rPr>
                <w:webHidden/>
              </w:rPr>
              <w:instrText xml:space="preserve"> PAGEREF _Toc458586535 \h </w:instrText>
            </w:r>
            <w:r w:rsidR="00100F32">
              <w:rPr>
                <w:webHidden/>
              </w:rPr>
            </w:r>
            <w:r w:rsidR="00100F32">
              <w:rPr>
                <w:webHidden/>
              </w:rPr>
              <w:fldChar w:fldCharType="separate"/>
            </w:r>
            <w:r w:rsidR="00391A0C">
              <w:rPr>
                <w:webHidden/>
              </w:rPr>
              <w:t>40</w:t>
            </w:r>
            <w:r w:rsidR="00100F32">
              <w:rPr>
                <w:webHidden/>
              </w:rPr>
              <w:fldChar w:fldCharType="end"/>
            </w:r>
          </w:hyperlink>
        </w:p>
        <w:p w:rsidR="00100F32" w:rsidRDefault="00FA0E74" w:rsidP="00100F32">
          <w:pPr>
            <w:spacing w:before="120" w:beforeAutospacing="0" w:after="0" w:afterAutospacing="0"/>
            <w:rPr>
              <w:noProof/>
            </w:rPr>
          </w:pPr>
          <w:r>
            <w:rPr>
              <w:b/>
              <w:bCs/>
              <w:noProof/>
            </w:rPr>
            <w:fldChar w:fldCharType="end"/>
          </w:r>
        </w:p>
      </w:sdtContent>
    </w:sdt>
    <w:bookmarkStart w:id="1" w:name="_Toc269907484" w:displacedByCustomXml="prev"/>
    <w:p w:rsidR="00100F32" w:rsidRDefault="00100F32">
      <w:pPr>
        <w:spacing w:before="0" w:beforeAutospacing="0" w:after="0" w:afterAutospacing="0"/>
        <w:jc w:val="left"/>
        <w:rPr>
          <w:rStyle w:val="Emphasis"/>
          <w:b/>
          <w:bCs/>
          <w:i w:val="0"/>
          <w:iCs w:val="0"/>
          <w:kern w:val="32"/>
          <w:sz w:val="48"/>
          <w:szCs w:val="48"/>
        </w:rPr>
      </w:pPr>
      <w:bookmarkStart w:id="2" w:name="_Toc458586513"/>
      <w:r>
        <w:rPr>
          <w:rStyle w:val="Emphasis"/>
          <w:i w:val="0"/>
          <w:iCs w:val="0"/>
        </w:rPr>
        <w:br w:type="page"/>
      </w:r>
    </w:p>
    <w:p w:rsidR="000F21E3" w:rsidRPr="00396F0C" w:rsidRDefault="00396F0C" w:rsidP="00396F0C">
      <w:pPr>
        <w:pStyle w:val="Heading1"/>
        <w:rPr>
          <w:rStyle w:val="Emphasis"/>
          <w:i w:val="0"/>
          <w:iCs w:val="0"/>
        </w:rPr>
      </w:pPr>
      <w:r w:rsidRPr="000D4294">
        <w:rPr>
          <w:rStyle w:val="Emphasis"/>
          <w:i w:val="0"/>
          <w:iCs w:val="0"/>
        </w:rPr>
        <w:lastRenderedPageBreak/>
        <w:t>Ú</w:t>
      </w:r>
      <w:bookmarkEnd w:id="1"/>
      <w:r w:rsidRPr="000D4294">
        <w:rPr>
          <w:rStyle w:val="Emphasis"/>
          <w:i w:val="0"/>
          <w:iCs w:val="0"/>
        </w:rPr>
        <w:t>vod</w:t>
      </w:r>
      <w:bookmarkEnd w:id="2"/>
    </w:p>
    <w:p w:rsidR="00C40188" w:rsidRDefault="00C40188" w:rsidP="00C40188">
      <w:r>
        <w:t>PEGAS NONWOVENS SA (dále jen “PEGAS” nebo “Společnost” nebo “Skupina”) je jedním z předních výrobců netkaných textilií v EMEA regionu (Evropa, Střední východ a Afrika) používaných zejména na trhu osobních hygienických výrobků. PEGAS dodává svým zákazníkům spunbond a meltblown (dohromady, "spunmelt") textilie na bázi polypropylenu a polyetylenu ("PP" a "PP/PE") převážně pro účely výroby jednorázových hygienických produktů (jako jsou dětské plenky, výrobky pro inkontinenci dospělých a dámské hygienické výrobky) a dále, v menší míře, do stavebnictví, zemědělství a lékařských aplikací.</w:t>
      </w:r>
    </w:p>
    <w:p w:rsidR="00C40188" w:rsidRDefault="00C40188" w:rsidP="00C40188">
      <w:r>
        <w:t xml:space="preserve">Od svého založení v roce 1990 Společnost za více než dvacet </w:t>
      </w:r>
      <w:r w:rsidR="00170627">
        <w:t xml:space="preserve">pět </w:t>
      </w:r>
      <w:r>
        <w:t xml:space="preserve">let vyrostla v jednoho z největších výrobců netkaných spunmelt textilií v EMEA regionu (měřeno výrobní kapacitou v roce 2015). PEGAS v současné době provozuje </w:t>
      </w:r>
      <w:r w:rsidR="00170627">
        <w:t>osm</w:t>
      </w:r>
      <w:r>
        <w:t xml:space="preserve"> výrobních linek v České republice a jednu výrobní linku v Egyptě, která započala s komerčním provozem v roce 2013. Celková výrobní kapacita Společnosti za rok je v současnosti do 90 tisíc tun netkaných textilií v České republice a do 20 tisíc tun v Egyptě. PEGAS se skládá z holdingové společnosti v Lucemburku a čtyř provozních společností, jimiž jsou PEGAS NONWOVENS s.r.o., PEGAS-NT a.s., PEGAS – NW a.s. a PEGAS – NS a.s., všechny se sídlem v České republice. V roce 2010 byla za účelem realizace potenciálních investičních příležitostí založena společnost PEGAS NONWOVENS International s.r.o. a následně v červnu 2011 společnost PEGAS NONWOVENS EGYPT LLC, která realizuje investici v Egyptě. K 30. červnu 201</w:t>
      </w:r>
      <w:r w:rsidR="00995FDF">
        <w:t>6</w:t>
      </w:r>
      <w:r>
        <w:t xml:space="preserve"> PEGAS zaměstnával </w:t>
      </w:r>
      <w:r w:rsidR="002B739B">
        <w:t xml:space="preserve">567 </w:t>
      </w:r>
      <w:r>
        <w:t>lidí.</w:t>
      </w:r>
    </w:p>
    <w:p w:rsidR="00C40188" w:rsidRDefault="00C40188" w:rsidP="00C40188">
      <w:r>
        <w:t xml:space="preserve">Po uvedení společnosti na akciový trh v prosinci 2006 jsou akcie PEGASu kótovány na burzách v Praze a ve Varšavě. Free float představuje 100% akcií Společnosti a je v držení institucionálních a drobných investorů. </w:t>
      </w:r>
    </w:p>
    <w:p w:rsidR="000C5BF2" w:rsidRPr="007A3749" w:rsidRDefault="00C40188" w:rsidP="00C40188">
      <w:r>
        <w:t>PEGAS je členem European Disposables and Nonwovens Association (EDANA).</w:t>
      </w:r>
    </w:p>
    <w:p w:rsidR="002508E3" w:rsidRPr="007A3749" w:rsidRDefault="002508E3" w:rsidP="00396F0C">
      <w:pPr>
        <w:pStyle w:val="Heading1"/>
        <w:sectPr w:rsidR="002508E3" w:rsidRPr="007A3749" w:rsidSect="000D4294">
          <w:footerReference w:type="even" r:id="rId11"/>
          <w:footerReference w:type="default" r:id="rId12"/>
          <w:pgSz w:w="11906" w:h="16838"/>
          <w:pgMar w:top="1417" w:right="1417" w:bottom="1417" w:left="1417" w:header="708" w:footer="708" w:gutter="0"/>
          <w:cols w:space="708"/>
          <w:titlePg/>
          <w:docGrid w:linePitch="360"/>
        </w:sectPr>
      </w:pPr>
    </w:p>
    <w:p w:rsidR="00104AB8" w:rsidRDefault="00396F0C" w:rsidP="00396F0C">
      <w:pPr>
        <w:pStyle w:val="Heading1"/>
      </w:pPr>
      <w:bookmarkStart w:id="3" w:name="_Toc269111112"/>
      <w:bookmarkStart w:id="4" w:name="_Toc269118384"/>
      <w:bookmarkStart w:id="5" w:name="_Toc269139283"/>
      <w:bookmarkStart w:id="6" w:name="_Toc269111114"/>
      <w:bookmarkStart w:id="7" w:name="_Toc269118386"/>
      <w:bookmarkStart w:id="8" w:name="_Toc269139285"/>
      <w:bookmarkStart w:id="9" w:name="_Toc269907485"/>
      <w:bookmarkStart w:id="10" w:name="_Toc458586514"/>
      <w:bookmarkEnd w:id="3"/>
      <w:bookmarkEnd w:id="4"/>
      <w:bookmarkEnd w:id="5"/>
      <w:bookmarkEnd w:id="6"/>
      <w:bookmarkEnd w:id="7"/>
      <w:bookmarkEnd w:id="8"/>
      <w:r w:rsidRPr="00396F0C">
        <w:lastRenderedPageBreak/>
        <w:t>Hlavní údaje za první pololetí 201</w:t>
      </w:r>
      <w:bookmarkEnd w:id="9"/>
      <w:r w:rsidR="00604988">
        <w:t>6</w:t>
      </w:r>
      <w:bookmarkEnd w:id="10"/>
    </w:p>
    <w:tbl>
      <w:tblPr>
        <w:tblW w:w="5000" w:type="pct"/>
        <w:tblLook w:val="04A0" w:firstRow="1" w:lastRow="0" w:firstColumn="1" w:lastColumn="0" w:noHBand="0" w:noVBand="1"/>
      </w:tblPr>
      <w:tblGrid>
        <w:gridCol w:w="4878"/>
        <w:gridCol w:w="1068"/>
        <w:gridCol w:w="1139"/>
        <w:gridCol w:w="1066"/>
        <w:gridCol w:w="1137"/>
      </w:tblGrid>
      <w:tr w:rsidR="00794BC6" w:rsidRPr="00794BC6" w:rsidTr="007D00E7">
        <w:trPr>
          <w:trHeight w:val="318"/>
        </w:trPr>
        <w:tc>
          <w:tcPr>
            <w:tcW w:w="2626" w:type="pct"/>
            <w:tcBorders>
              <w:top w:val="nil"/>
              <w:left w:val="nil"/>
              <w:bottom w:val="nil"/>
              <w:right w:val="nil"/>
            </w:tcBorders>
            <w:shd w:val="clear" w:color="000000" w:fill="E2001C"/>
            <w:noWrap/>
            <w:vAlign w:val="bottom"/>
            <w:hideMark/>
          </w:tcPr>
          <w:p w:rsidR="00794BC6" w:rsidRPr="007D00E7" w:rsidRDefault="00794BC6" w:rsidP="00794BC6">
            <w:pPr>
              <w:spacing w:before="0" w:beforeAutospacing="0" w:after="0" w:afterAutospacing="0"/>
              <w:jc w:val="left"/>
              <w:rPr>
                <w:rFonts w:ascii="Calibri" w:hAnsi="Calibri" w:cs="Arial"/>
                <w:b/>
                <w:bCs/>
                <w:color w:val="FFFFFF"/>
                <w:sz w:val="20"/>
                <w:szCs w:val="20"/>
                <w:lang w:val="pl-PL" w:eastAsia="en-US"/>
              </w:rPr>
            </w:pPr>
            <w:r w:rsidRPr="007D00E7">
              <w:rPr>
                <w:rFonts w:ascii="Calibri" w:hAnsi="Calibri" w:cs="Arial"/>
                <w:b/>
                <w:bCs/>
                <w:color w:val="FFFFFF"/>
                <w:sz w:val="20"/>
                <w:szCs w:val="20"/>
                <w:lang w:val="pl-PL" w:eastAsia="en-US"/>
              </w:rPr>
              <w:t> </w:t>
            </w:r>
          </w:p>
        </w:tc>
        <w:tc>
          <w:tcPr>
            <w:tcW w:w="1188" w:type="pct"/>
            <w:gridSpan w:val="2"/>
            <w:tcBorders>
              <w:top w:val="nil"/>
              <w:left w:val="nil"/>
              <w:bottom w:val="nil"/>
              <w:right w:val="nil"/>
            </w:tcBorders>
            <w:shd w:val="clear" w:color="000000" w:fill="E2001C"/>
            <w:noWrap/>
            <w:vAlign w:val="bottom"/>
            <w:hideMark/>
          </w:tcPr>
          <w:p w:rsidR="00794BC6" w:rsidRPr="00794BC6" w:rsidRDefault="00170627" w:rsidP="00794BC6">
            <w:pPr>
              <w:spacing w:before="0" w:beforeAutospacing="0" w:after="0" w:afterAutospacing="0"/>
              <w:jc w:val="center"/>
              <w:rPr>
                <w:rFonts w:ascii="Calibri" w:hAnsi="Calibri" w:cs="Arial"/>
                <w:b/>
                <w:bCs/>
                <w:color w:val="FFFFFF"/>
                <w:sz w:val="20"/>
                <w:szCs w:val="20"/>
                <w:lang w:val="en-US" w:eastAsia="en-US"/>
              </w:rPr>
            </w:pPr>
            <w:r>
              <w:rPr>
                <w:rFonts w:ascii="Calibri" w:hAnsi="Calibri" w:cs="Arial"/>
                <w:b/>
                <w:bCs/>
                <w:color w:val="FFFFFF"/>
                <w:sz w:val="20"/>
                <w:szCs w:val="20"/>
                <w:lang w:val="en-US" w:eastAsia="en-US"/>
              </w:rPr>
              <w:t>l</w:t>
            </w:r>
            <w:r w:rsidR="00794BC6" w:rsidRPr="00794BC6">
              <w:rPr>
                <w:rFonts w:ascii="Calibri" w:hAnsi="Calibri" w:cs="Arial"/>
                <w:b/>
                <w:bCs/>
                <w:color w:val="FFFFFF"/>
                <w:sz w:val="20"/>
                <w:szCs w:val="20"/>
                <w:lang w:val="en-US" w:eastAsia="en-US"/>
              </w:rPr>
              <w:t>eden – červen 2016</w:t>
            </w:r>
          </w:p>
        </w:tc>
        <w:tc>
          <w:tcPr>
            <w:tcW w:w="1186" w:type="pct"/>
            <w:gridSpan w:val="2"/>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duben - červen 2016</w:t>
            </w:r>
          </w:p>
        </w:tc>
      </w:tr>
      <w:tr w:rsidR="00794BC6" w:rsidRPr="00794BC6" w:rsidTr="007D00E7">
        <w:trPr>
          <w:trHeight w:val="330"/>
        </w:trPr>
        <w:tc>
          <w:tcPr>
            <w:tcW w:w="2626" w:type="pct"/>
            <w:tcBorders>
              <w:top w:val="nil"/>
              <w:left w:val="nil"/>
              <w:bottom w:val="nil"/>
              <w:right w:val="nil"/>
            </w:tcBorders>
            <w:shd w:val="clear" w:color="000000" w:fill="E2001C"/>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 </w:t>
            </w:r>
          </w:p>
        </w:tc>
        <w:tc>
          <w:tcPr>
            <w:tcW w:w="575" w:type="pct"/>
            <w:tcBorders>
              <w:top w:val="nil"/>
              <w:left w:val="nil"/>
              <w:bottom w:val="nil"/>
              <w:right w:val="nil"/>
            </w:tcBorders>
            <w:shd w:val="clear" w:color="000000" w:fill="E2001C"/>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 </w:t>
            </w:r>
          </w:p>
        </w:tc>
        <w:tc>
          <w:tcPr>
            <w:tcW w:w="612" w:type="pct"/>
            <w:tcBorders>
              <w:top w:val="nil"/>
              <w:left w:val="nil"/>
              <w:bottom w:val="nil"/>
              <w:right w:val="nil"/>
            </w:tcBorders>
            <w:shd w:val="clear" w:color="000000" w:fill="E2001C"/>
            <w:noWrap/>
            <w:vAlign w:val="center"/>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meziročně</w:t>
            </w:r>
          </w:p>
        </w:tc>
        <w:tc>
          <w:tcPr>
            <w:tcW w:w="574" w:type="pct"/>
            <w:tcBorders>
              <w:top w:val="nil"/>
              <w:left w:val="nil"/>
              <w:bottom w:val="nil"/>
              <w:right w:val="nil"/>
            </w:tcBorders>
            <w:shd w:val="clear" w:color="000000" w:fill="E2001C"/>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 </w:t>
            </w:r>
          </w:p>
        </w:tc>
        <w:tc>
          <w:tcPr>
            <w:tcW w:w="612" w:type="pct"/>
            <w:tcBorders>
              <w:top w:val="nil"/>
              <w:left w:val="nil"/>
              <w:bottom w:val="nil"/>
              <w:right w:val="nil"/>
            </w:tcBorders>
            <w:shd w:val="clear" w:color="000000" w:fill="E2001C"/>
            <w:noWrap/>
            <w:vAlign w:val="center"/>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meziročně</w:t>
            </w:r>
          </w:p>
        </w:tc>
      </w:tr>
      <w:tr w:rsidR="00794BC6" w:rsidRPr="00794BC6" w:rsidTr="007D00E7">
        <w:trPr>
          <w:trHeight w:val="108"/>
        </w:trPr>
        <w:tc>
          <w:tcPr>
            <w:tcW w:w="2626"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p>
        </w:tc>
        <w:tc>
          <w:tcPr>
            <w:tcW w:w="575"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p>
        </w:tc>
        <w:tc>
          <w:tcPr>
            <w:tcW w:w="574"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p>
        </w:tc>
      </w:tr>
      <w:tr w:rsidR="00794BC6" w:rsidRPr="00794BC6" w:rsidTr="007D00E7">
        <w:trPr>
          <w:trHeight w:val="330"/>
        </w:trPr>
        <w:tc>
          <w:tcPr>
            <w:tcW w:w="2626" w:type="pct"/>
            <w:tcBorders>
              <w:top w:val="nil"/>
              <w:left w:val="nil"/>
              <w:bottom w:val="nil"/>
              <w:right w:val="nil"/>
            </w:tcBorders>
            <w:shd w:val="clear" w:color="000000" w:fill="9C9D9F"/>
            <w:vAlign w:val="center"/>
            <w:hideMark/>
          </w:tcPr>
          <w:p w:rsidR="00794BC6" w:rsidRPr="007D00E7" w:rsidRDefault="00794BC6" w:rsidP="00794BC6">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Finanční ukazatele (v mil. EUR)</w:t>
            </w:r>
          </w:p>
        </w:tc>
        <w:tc>
          <w:tcPr>
            <w:tcW w:w="575" w:type="pct"/>
            <w:tcBorders>
              <w:top w:val="nil"/>
              <w:left w:val="nil"/>
              <w:bottom w:val="nil"/>
              <w:right w:val="nil"/>
            </w:tcBorders>
            <w:shd w:val="clear" w:color="000000" w:fill="9C9D9F"/>
            <w:noWrap/>
            <w:vAlign w:val="center"/>
            <w:hideMark/>
          </w:tcPr>
          <w:p w:rsidR="00794BC6" w:rsidRPr="007D00E7" w:rsidRDefault="00794BC6" w:rsidP="00794BC6">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c>
          <w:tcPr>
            <w:tcW w:w="612" w:type="pct"/>
            <w:tcBorders>
              <w:top w:val="nil"/>
              <w:left w:val="nil"/>
              <w:bottom w:val="nil"/>
              <w:right w:val="nil"/>
            </w:tcBorders>
            <w:shd w:val="clear" w:color="000000" w:fill="9C9D9F"/>
            <w:noWrap/>
            <w:vAlign w:val="center"/>
            <w:hideMark/>
          </w:tcPr>
          <w:p w:rsidR="00794BC6" w:rsidRPr="007D00E7" w:rsidRDefault="00794BC6" w:rsidP="00794BC6">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c>
          <w:tcPr>
            <w:tcW w:w="574" w:type="pct"/>
            <w:tcBorders>
              <w:top w:val="nil"/>
              <w:left w:val="nil"/>
              <w:bottom w:val="nil"/>
              <w:right w:val="nil"/>
            </w:tcBorders>
            <w:shd w:val="clear" w:color="000000" w:fill="9C9D9F"/>
            <w:noWrap/>
            <w:vAlign w:val="center"/>
            <w:hideMark/>
          </w:tcPr>
          <w:p w:rsidR="00794BC6" w:rsidRPr="007D00E7" w:rsidRDefault="00794BC6" w:rsidP="00794BC6">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c>
          <w:tcPr>
            <w:tcW w:w="612" w:type="pct"/>
            <w:tcBorders>
              <w:top w:val="nil"/>
              <w:left w:val="nil"/>
              <w:bottom w:val="nil"/>
              <w:right w:val="nil"/>
            </w:tcBorders>
            <w:shd w:val="clear" w:color="000000" w:fill="9C9D9F"/>
            <w:noWrap/>
            <w:vAlign w:val="center"/>
            <w:hideMark/>
          </w:tcPr>
          <w:p w:rsidR="00794BC6" w:rsidRPr="007D00E7" w:rsidRDefault="00794BC6" w:rsidP="00794BC6">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Výnosy</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106,7</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-4,5%</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51,6</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0,9%</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Provozní náklady bez odpisů</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-83,9</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-6,9%</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-40,4</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-4,3%</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EBITDA</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22,8</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5,8%</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11,2</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25,5%</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Odpisy</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2,2%</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2,8%</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Provozní hospodářský výsledek (EBIT)</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14,7</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7,9%</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7,2</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43,3%</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Kurzové změny a ostatní finanční výnosy / (náklady) (netto)</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n/a</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n/a</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Úrokové náklady (netto)</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17,4%</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15,9%</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Daň z příjmů – (náklad)/výnos</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-1,1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w:t>
            </w:r>
            <w:r w:rsidR="00BE6D86">
              <w:rPr>
                <w:rFonts w:ascii="Calibri" w:hAnsi="Calibri" w:cs="Arial"/>
                <w:sz w:val="20"/>
                <w:szCs w:val="20"/>
                <w:lang w:val="en-US" w:eastAsia="en-US"/>
              </w:rPr>
              <w:t>46,3</w:t>
            </w:r>
            <w:r w:rsidRPr="00794BC6">
              <w:rPr>
                <w:rFonts w:ascii="Calibri" w:hAnsi="Calibri" w:cs="Arial"/>
                <w:sz w:val="20"/>
                <w:szCs w:val="20"/>
                <w:lang w:val="en-US" w:eastAsia="en-US"/>
              </w:rPr>
              <w:t>%</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0,2</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Čistý zisk</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BE6D86" w:rsidP="00BE6D8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7,5</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BE6D8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w:t>
            </w:r>
            <w:r w:rsidR="00BE6D86">
              <w:rPr>
                <w:rFonts w:ascii="Calibri" w:hAnsi="Calibri" w:cs="Arial"/>
                <w:b/>
                <w:bCs/>
                <w:sz w:val="20"/>
                <w:szCs w:val="20"/>
                <w:lang w:val="en-US" w:eastAsia="en-US"/>
              </w:rPr>
              <w:t>53,8</w:t>
            </w:r>
            <w:r w:rsidRPr="00794BC6">
              <w:rPr>
                <w:rFonts w:ascii="Calibri" w:hAnsi="Calibri" w:cs="Arial"/>
                <w:b/>
                <w:bCs/>
                <w:sz w:val="20"/>
                <w:szCs w:val="20"/>
                <w:lang w:val="en-US" w:eastAsia="en-US"/>
              </w:rPr>
              <w:t>%</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7,1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259</w:t>
            </w:r>
            <w:r w:rsidR="00794BC6" w:rsidRPr="00794BC6">
              <w:rPr>
                <w:rFonts w:ascii="Calibri" w:hAnsi="Calibri" w:cs="Arial"/>
                <w:b/>
                <w:bCs/>
                <w:sz w:val="20"/>
                <w:szCs w:val="20"/>
                <w:lang w:val="en-US" w:eastAsia="en-US"/>
              </w:rPr>
              <w:t>,5%</w:t>
            </w:r>
          </w:p>
        </w:tc>
      </w:tr>
      <w:tr w:rsidR="00794BC6" w:rsidRPr="00794BC6" w:rsidTr="007D00E7">
        <w:trPr>
          <w:trHeight w:val="108"/>
        </w:trPr>
        <w:tc>
          <w:tcPr>
            <w:tcW w:w="2626" w:type="pct"/>
            <w:tcBorders>
              <w:top w:val="nil"/>
              <w:left w:val="nil"/>
              <w:bottom w:val="nil"/>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575"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574"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D00E7">
        <w:trPr>
          <w:trHeight w:val="276"/>
        </w:trPr>
        <w:tc>
          <w:tcPr>
            <w:tcW w:w="2626" w:type="pct"/>
            <w:tcBorders>
              <w:top w:val="single" w:sz="4" w:space="0" w:color="9C9D9F"/>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Čistý dluh</w:t>
            </w:r>
          </w:p>
        </w:tc>
        <w:tc>
          <w:tcPr>
            <w:tcW w:w="575"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144,7</w:t>
            </w:r>
          </w:p>
        </w:tc>
        <w:tc>
          <w:tcPr>
            <w:tcW w:w="612"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1,8%</w:t>
            </w:r>
          </w:p>
        </w:tc>
        <w:tc>
          <w:tcPr>
            <w:tcW w:w="574"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144,7</w:t>
            </w:r>
          </w:p>
        </w:tc>
        <w:tc>
          <w:tcPr>
            <w:tcW w:w="612"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1,8%</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Investice do hmotného a nehmotného majetku (CAPEX)</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6,4</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318,6%</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4,3</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514,7%</w:t>
            </w:r>
          </w:p>
        </w:tc>
      </w:tr>
      <w:tr w:rsidR="00794BC6" w:rsidRPr="00794BC6" w:rsidTr="007D00E7">
        <w:trPr>
          <w:trHeight w:val="276"/>
        </w:trPr>
        <w:tc>
          <w:tcPr>
            <w:tcW w:w="2626" w:type="pct"/>
            <w:tcBorders>
              <w:top w:val="nil"/>
              <w:left w:val="nil"/>
              <w:bottom w:val="nil"/>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575"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574"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D00E7">
        <w:trPr>
          <w:trHeight w:val="276"/>
        </w:trPr>
        <w:tc>
          <w:tcPr>
            <w:tcW w:w="2626" w:type="pct"/>
            <w:tcBorders>
              <w:top w:val="nil"/>
              <w:left w:val="nil"/>
              <w:bottom w:val="nil"/>
              <w:right w:val="nil"/>
            </w:tcBorders>
            <w:shd w:val="clear" w:color="000000" w:fill="9C9D9F"/>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Poměrové ukazatale ziskovosti</w:t>
            </w:r>
          </w:p>
        </w:tc>
        <w:tc>
          <w:tcPr>
            <w:tcW w:w="575"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574"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Marže EBITDA</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21,4%</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2.1 p.b.</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21,7%</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4,2 p.b.</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Marže provozního zisku</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13,8%</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1.6 p.b.</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13,9%</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4,1 p.b.</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Marže čistého zisku</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7,1</w:t>
            </w:r>
            <w:r w:rsidR="00794BC6" w:rsidRPr="00794BC6">
              <w:rPr>
                <w:rFonts w:ascii="Calibri" w:hAnsi="Calibri" w:cs="Arial"/>
                <w:sz w:val="20"/>
                <w:szCs w:val="20"/>
                <w:lang w:val="en-US" w:eastAsia="en-US"/>
              </w:rPr>
              <w:t>%</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w:t>
            </w:r>
            <w:r w:rsidR="00BE6D86">
              <w:rPr>
                <w:rFonts w:ascii="Calibri" w:hAnsi="Calibri" w:cs="Arial"/>
                <w:sz w:val="20"/>
                <w:szCs w:val="20"/>
                <w:lang w:val="en-US" w:eastAsia="en-US"/>
              </w:rPr>
              <w:t>7.5</w:t>
            </w:r>
            <w:r w:rsidRPr="00794BC6">
              <w:rPr>
                <w:rFonts w:ascii="Calibri" w:hAnsi="Calibri" w:cs="Arial"/>
                <w:sz w:val="20"/>
                <w:szCs w:val="20"/>
                <w:lang w:val="en-US" w:eastAsia="en-US"/>
              </w:rPr>
              <w:t xml:space="preserve"> p.b.</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13,7</w:t>
            </w:r>
            <w:r w:rsidR="00794BC6" w:rsidRPr="00794BC6">
              <w:rPr>
                <w:rFonts w:ascii="Calibri" w:hAnsi="Calibri" w:cs="Arial"/>
                <w:sz w:val="20"/>
                <w:szCs w:val="20"/>
                <w:lang w:val="en-US" w:eastAsia="en-US"/>
              </w:rPr>
              <w:t>%</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9,8</w:t>
            </w:r>
            <w:r w:rsidR="00794BC6" w:rsidRPr="00794BC6">
              <w:rPr>
                <w:rFonts w:ascii="Calibri" w:hAnsi="Calibri" w:cs="Arial"/>
                <w:sz w:val="20"/>
                <w:szCs w:val="20"/>
                <w:lang w:val="en-US" w:eastAsia="en-US"/>
              </w:rPr>
              <w:t xml:space="preserve"> p.b.</w:t>
            </w:r>
          </w:p>
        </w:tc>
      </w:tr>
      <w:tr w:rsidR="00794BC6" w:rsidRPr="00794BC6" w:rsidTr="007D00E7">
        <w:trPr>
          <w:trHeight w:val="276"/>
        </w:trPr>
        <w:tc>
          <w:tcPr>
            <w:tcW w:w="2626" w:type="pct"/>
            <w:tcBorders>
              <w:top w:val="nil"/>
              <w:left w:val="nil"/>
              <w:bottom w:val="nil"/>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575"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574"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D00E7">
        <w:trPr>
          <w:trHeight w:val="276"/>
        </w:trPr>
        <w:tc>
          <w:tcPr>
            <w:tcW w:w="2626" w:type="pct"/>
            <w:tcBorders>
              <w:top w:val="nil"/>
              <w:left w:val="nil"/>
              <w:bottom w:val="nil"/>
              <w:right w:val="nil"/>
            </w:tcBorders>
            <w:shd w:val="clear" w:color="000000" w:fill="9C9D9F"/>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Provozní ukazatele</w:t>
            </w:r>
          </w:p>
        </w:tc>
        <w:tc>
          <w:tcPr>
            <w:tcW w:w="575"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574"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r>
      <w:tr w:rsidR="00794BC6" w:rsidRPr="00794BC6" w:rsidTr="007D00E7">
        <w:trPr>
          <w:trHeight w:val="276"/>
        </w:trPr>
        <w:tc>
          <w:tcPr>
            <w:tcW w:w="2626" w:type="pct"/>
            <w:tcBorders>
              <w:top w:val="single" w:sz="4" w:space="0" w:color="9C9D9F"/>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Výroba v tunách</w:t>
            </w:r>
          </w:p>
        </w:tc>
        <w:tc>
          <w:tcPr>
            <w:tcW w:w="575"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51 695</w:t>
            </w:r>
          </w:p>
        </w:tc>
        <w:tc>
          <w:tcPr>
            <w:tcW w:w="612"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-0,3%</w:t>
            </w:r>
          </w:p>
        </w:tc>
        <w:tc>
          <w:tcPr>
            <w:tcW w:w="574"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25 659</w:t>
            </w:r>
          </w:p>
        </w:tc>
        <w:tc>
          <w:tcPr>
            <w:tcW w:w="612" w:type="pct"/>
            <w:tcBorders>
              <w:top w:val="single" w:sz="4" w:space="0" w:color="9C9D9F"/>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0,1%</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Počet zaměstnanců - na konci období</w:t>
            </w:r>
          </w:p>
        </w:tc>
        <w:tc>
          <w:tcPr>
            <w:tcW w:w="575"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sidRPr="002B739B">
              <w:rPr>
                <w:rFonts w:ascii="Calibri" w:hAnsi="Calibri" w:cs="Arial"/>
                <w:sz w:val="20"/>
                <w:szCs w:val="20"/>
                <w:lang w:val="en-US" w:eastAsia="en-US"/>
              </w:rPr>
              <w:t>567</w:t>
            </w:r>
          </w:p>
        </w:tc>
        <w:tc>
          <w:tcPr>
            <w:tcW w:w="612"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0,5%</w:t>
            </w:r>
          </w:p>
        </w:tc>
        <w:tc>
          <w:tcPr>
            <w:tcW w:w="574"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sidRPr="002B739B">
              <w:rPr>
                <w:rFonts w:ascii="Calibri" w:hAnsi="Calibri" w:cs="Arial"/>
                <w:sz w:val="20"/>
                <w:szCs w:val="20"/>
                <w:lang w:val="en-US" w:eastAsia="en-US"/>
              </w:rPr>
              <w:t>567</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2B739B"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0,5%</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Počet zaměstnanců - průměr</w:t>
            </w:r>
          </w:p>
        </w:tc>
        <w:tc>
          <w:tcPr>
            <w:tcW w:w="575"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sidRPr="002B739B">
              <w:rPr>
                <w:rFonts w:ascii="Calibri" w:hAnsi="Calibri" w:cs="Arial"/>
                <w:sz w:val="20"/>
                <w:szCs w:val="20"/>
                <w:lang w:val="en-US" w:eastAsia="en-US"/>
              </w:rPr>
              <w:t>566</w:t>
            </w:r>
          </w:p>
        </w:tc>
        <w:tc>
          <w:tcPr>
            <w:tcW w:w="612"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0,5%</w:t>
            </w:r>
          </w:p>
        </w:tc>
        <w:tc>
          <w:tcPr>
            <w:tcW w:w="574" w:type="pct"/>
            <w:tcBorders>
              <w:top w:val="nil"/>
              <w:left w:val="nil"/>
              <w:bottom w:val="single" w:sz="4" w:space="0" w:color="9C9D9F"/>
              <w:right w:val="nil"/>
            </w:tcBorders>
            <w:shd w:val="clear" w:color="auto" w:fill="auto"/>
            <w:noWrap/>
            <w:vAlign w:val="center"/>
            <w:hideMark/>
          </w:tcPr>
          <w:p w:rsidR="00794BC6" w:rsidRPr="002B739B" w:rsidRDefault="002B739B" w:rsidP="00794BC6">
            <w:pPr>
              <w:spacing w:before="0" w:beforeAutospacing="0" w:after="0" w:afterAutospacing="0"/>
              <w:ind w:firstLineChars="100" w:firstLine="200"/>
              <w:jc w:val="right"/>
              <w:rPr>
                <w:rFonts w:ascii="Calibri" w:hAnsi="Calibri" w:cs="Arial"/>
                <w:sz w:val="20"/>
                <w:szCs w:val="20"/>
                <w:lang w:val="en-US" w:eastAsia="en-US"/>
              </w:rPr>
            </w:pPr>
            <w:r w:rsidRPr="002B739B">
              <w:rPr>
                <w:rFonts w:ascii="Calibri" w:hAnsi="Calibri" w:cs="Arial"/>
                <w:sz w:val="20"/>
                <w:szCs w:val="20"/>
                <w:lang w:val="en-US" w:eastAsia="en-US"/>
              </w:rPr>
              <w:t>563</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2B739B" w:rsidP="002B739B">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0,3%</w:t>
            </w:r>
          </w:p>
        </w:tc>
      </w:tr>
      <w:tr w:rsidR="00794BC6" w:rsidRPr="00794BC6" w:rsidTr="007D00E7">
        <w:trPr>
          <w:trHeight w:val="276"/>
        </w:trPr>
        <w:tc>
          <w:tcPr>
            <w:tcW w:w="2626" w:type="pct"/>
            <w:tcBorders>
              <w:top w:val="nil"/>
              <w:left w:val="nil"/>
              <w:bottom w:val="nil"/>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575"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574"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612" w:type="pct"/>
            <w:tcBorders>
              <w:top w:val="nil"/>
              <w:left w:val="nil"/>
              <w:bottom w:val="nil"/>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D00E7">
        <w:trPr>
          <w:trHeight w:val="276"/>
        </w:trPr>
        <w:tc>
          <w:tcPr>
            <w:tcW w:w="2626" w:type="pct"/>
            <w:tcBorders>
              <w:top w:val="nil"/>
              <w:left w:val="nil"/>
              <w:bottom w:val="nil"/>
              <w:right w:val="nil"/>
            </w:tcBorders>
            <w:shd w:val="clear" w:color="000000" w:fill="9C9D9F"/>
            <w:vAlign w:val="center"/>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Měnové kurzy</w:t>
            </w:r>
          </w:p>
        </w:tc>
        <w:tc>
          <w:tcPr>
            <w:tcW w:w="575"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574"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c>
          <w:tcPr>
            <w:tcW w:w="612" w:type="pct"/>
            <w:tcBorders>
              <w:top w:val="nil"/>
              <w:left w:val="nil"/>
              <w:bottom w:val="nil"/>
              <w:right w:val="nil"/>
            </w:tcBorders>
            <w:shd w:val="clear" w:color="000000" w:fill="9C9D9F"/>
            <w:noWrap/>
            <w:vAlign w:val="center"/>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EUR/CZK - průměr</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27,040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27,061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-1,2%</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EUR/CZK - na konci období</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27,131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-0,4%</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27,131</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-0,4%</w:t>
            </w:r>
          </w:p>
        </w:tc>
      </w:tr>
      <w:tr w:rsidR="00794BC6" w:rsidRPr="00794BC6" w:rsidTr="007D00E7">
        <w:trPr>
          <w:trHeight w:val="276"/>
        </w:trPr>
        <w:tc>
          <w:tcPr>
            <w:tcW w:w="2626" w:type="pct"/>
            <w:tcBorders>
              <w:top w:val="nil"/>
              <w:left w:val="nil"/>
              <w:bottom w:val="single" w:sz="4" w:space="0" w:color="9C9D9F"/>
              <w:right w:val="nil"/>
            </w:tcBorders>
            <w:shd w:val="clear" w:color="auto" w:fill="auto"/>
            <w:vAlign w:val="center"/>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EUR/USD - průměr</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1,116</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0,0%</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1,123</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1,6%</w:t>
            </w:r>
          </w:p>
        </w:tc>
      </w:tr>
      <w:tr w:rsidR="00794BC6" w:rsidRPr="00794BC6" w:rsidTr="007D00E7">
        <w:trPr>
          <w:trHeight w:val="288"/>
        </w:trPr>
        <w:tc>
          <w:tcPr>
            <w:tcW w:w="2626" w:type="pct"/>
            <w:tcBorders>
              <w:top w:val="nil"/>
              <w:left w:val="nil"/>
              <w:bottom w:val="single" w:sz="4" w:space="0" w:color="9C9D9F"/>
              <w:right w:val="nil"/>
            </w:tcBorders>
            <w:shd w:val="clear" w:color="auto" w:fill="auto"/>
            <w:vAlign w:val="center"/>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EUR/USD - na konci období</w:t>
            </w:r>
          </w:p>
        </w:tc>
        <w:tc>
          <w:tcPr>
            <w:tcW w:w="575"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1,110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-0,8%</w:t>
            </w:r>
          </w:p>
        </w:tc>
        <w:tc>
          <w:tcPr>
            <w:tcW w:w="574"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1,110</w:t>
            </w:r>
          </w:p>
        </w:tc>
        <w:tc>
          <w:tcPr>
            <w:tcW w:w="612" w:type="pct"/>
            <w:tcBorders>
              <w:top w:val="nil"/>
              <w:left w:val="nil"/>
              <w:bottom w:val="single" w:sz="4" w:space="0" w:color="9C9D9F"/>
              <w:right w:val="nil"/>
            </w:tcBorders>
            <w:shd w:val="clear" w:color="auto" w:fill="auto"/>
            <w:noWrap/>
            <w:vAlign w:val="center"/>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-0,8%</w:t>
            </w:r>
          </w:p>
        </w:tc>
      </w:tr>
    </w:tbl>
    <w:p w:rsidR="00082F06" w:rsidRPr="00082F06" w:rsidRDefault="00082F06" w:rsidP="00082F06"/>
    <w:p w:rsidR="00781223" w:rsidRDefault="00781223" w:rsidP="007A3749">
      <w:pPr>
        <w:sectPr w:rsidR="00781223" w:rsidSect="00B520ED">
          <w:pgSz w:w="11906" w:h="16838"/>
          <w:pgMar w:top="1417" w:right="1417" w:bottom="1417" w:left="1417" w:header="708" w:footer="708" w:gutter="0"/>
          <w:cols w:space="708"/>
          <w:docGrid w:linePitch="360"/>
        </w:sectPr>
      </w:pPr>
    </w:p>
    <w:p w:rsidR="00CF4152" w:rsidRPr="002D0377" w:rsidRDefault="007F6819" w:rsidP="00856740">
      <w:pPr>
        <w:rPr>
          <w:b/>
          <w:color w:val="FF0000"/>
        </w:rPr>
      </w:pPr>
      <w:r w:rsidRPr="002D0377">
        <w:rPr>
          <w:b/>
          <w:color w:val="FF0000"/>
        </w:rPr>
        <w:lastRenderedPageBreak/>
        <w:t xml:space="preserve">Prohlášení </w:t>
      </w:r>
      <w:r w:rsidR="00775F6F" w:rsidRPr="002D0377">
        <w:rPr>
          <w:b/>
          <w:color w:val="FF0000"/>
        </w:rPr>
        <w:t xml:space="preserve">generálního ředitele a </w:t>
      </w:r>
      <w:r w:rsidR="0046091F" w:rsidRPr="002D0377">
        <w:rPr>
          <w:b/>
          <w:color w:val="FF0000"/>
        </w:rPr>
        <w:t>člena představenstva</w:t>
      </w:r>
      <w:r w:rsidR="00781223" w:rsidRPr="002D0377">
        <w:rPr>
          <w:b/>
          <w:color w:val="FF0000"/>
        </w:rPr>
        <w:t xml:space="preserve"> PEGAS NONWOVENS </w:t>
      </w:r>
      <w:r w:rsidR="00B11D84" w:rsidRPr="002D0377">
        <w:rPr>
          <w:b/>
          <w:color w:val="FF0000"/>
        </w:rPr>
        <w:t xml:space="preserve">SA </w:t>
      </w:r>
      <w:r w:rsidR="004B4E76" w:rsidRPr="002D0377">
        <w:rPr>
          <w:b/>
          <w:color w:val="FF0000"/>
        </w:rPr>
        <w:t xml:space="preserve">pana </w:t>
      </w:r>
      <w:r w:rsidR="00FA4915" w:rsidRPr="002D0377">
        <w:rPr>
          <w:b/>
          <w:color w:val="FF0000"/>
        </w:rPr>
        <w:t>Františka Řezáče:</w:t>
      </w:r>
    </w:p>
    <w:p w:rsidR="00270B83" w:rsidRPr="00B91637" w:rsidRDefault="00114722" w:rsidP="007A3749">
      <w:pPr>
        <w:pStyle w:val="NormalWeb"/>
      </w:pPr>
      <w:r w:rsidRPr="00087C3A">
        <w:t>„</w:t>
      </w:r>
      <w:r w:rsidR="002D0377">
        <w:t>Výsledky h</w:t>
      </w:r>
      <w:r w:rsidR="00087C3A">
        <w:t xml:space="preserve">ospodaření </w:t>
      </w:r>
      <w:r w:rsidR="002D0377">
        <w:t xml:space="preserve">za druhé čtvrtletí </w:t>
      </w:r>
      <w:r w:rsidR="002D0377" w:rsidRPr="00B91637">
        <w:t>považuji za dobré. Ukazatel</w:t>
      </w:r>
      <w:r w:rsidR="00270B83" w:rsidRPr="00B91637">
        <w:t xml:space="preserve"> provozního hospodaření, </w:t>
      </w:r>
      <w:r w:rsidR="002D0377" w:rsidRPr="00B91637">
        <w:t>EBITDA</w:t>
      </w:r>
      <w:r w:rsidR="00270B83" w:rsidRPr="00B91637">
        <w:t>,</w:t>
      </w:r>
      <w:r w:rsidR="002D0377" w:rsidRPr="00B91637">
        <w:t xml:space="preserve"> v </w:t>
      </w:r>
      <w:r w:rsidR="00100F32" w:rsidRPr="00B91637">
        <w:t>letošním</w:t>
      </w:r>
      <w:r w:rsidR="002D0377" w:rsidRPr="00B91637">
        <w:t xml:space="preserve"> r</w:t>
      </w:r>
      <w:r w:rsidR="007D1256" w:rsidRPr="00B91637">
        <w:t xml:space="preserve">oce nevykazuje výrazné výkyvy, kterých jsme byli svědky </w:t>
      </w:r>
      <w:r w:rsidR="002D0377" w:rsidRPr="00B91637">
        <w:t xml:space="preserve">v minulých </w:t>
      </w:r>
      <w:r w:rsidR="00270B83" w:rsidRPr="00B91637">
        <w:t>letech</w:t>
      </w:r>
      <w:r w:rsidR="00170627" w:rsidRPr="00B91637">
        <w:t>. EBITDA ve druhém čtvrtletí dosáhla výše 11,2 milionu EUR</w:t>
      </w:r>
      <w:r w:rsidR="00C8380E">
        <w:t xml:space="preserve"> a </w:t>
      </w:r>
      <w:r w:rsidR="00ED3CDE" w:rsidRPr="00B91637">
        <w:t>p</w:t>
      </w:r>
      <w:r w:rsidR="00C8380E">
        <w:t>řed</w:t>
      </w:r>
      <w:r w:rsidR="00ED3CDE" w:rsidRPr="00B91637">
        <w:t xml:space="preserve"> </w:t>
      </w:r>
      <w:r w:rsidR="00B91637">
        <w:t>zohlednění</w:t>
      </w:r>
      <w:r w:rsidR="00C8380E">
        <w:t>m</w:t>
      </w:r>
      <w:r w:rsidR="00ED3CDE" w:rsidRPr="00B91637">
        <w:t xml:space="preserve"> vliv</w:t>
      </w:r>
      <w:r w:rsidR="00B91637">
        <w:t>u</w:t>
      </w:r>
      <w:r w:rsidR="00ED3CDE" w:rsidRPr="00B91637">
        <w:t xml:space="preserve"> přecenění opčního akciového programu </w:t>
      </w:r>
      <w:r w:rsidR="00C8380E">
        <w:t xml:space="preserve">tak byla </w:t>
      </w:r>
      <w:r w:rsidR="00ED3CDE" w:rsidRPr="00B91637">
        <w:t>plně srovnateln</w:t>
      </w:r>
      <w:r w:rsidR="00C8380E">
        <w:t>á</w:t>
      </w:r>
      <w:r w:rsidR="00ED3CDE" w:rsidRPr="00B91637">
        <w:t xml:space="preserve"> </w:t>
      </w:r>
      <w:r w:rsidR="00170627" w:rsidRPr="00B91637">
        <w:t xml:space="preserve">s EBITDA </w:t>
      </w:r>
      <w:r w:rsidR="00ED3CDE" w:rsidRPr="00B91637">
        <w:t xml:space="preserve">dosaženou </w:t>
      </w:r>
      <w:r w:rsidR="00170627" w:rsidRPr="00B91637">
        <w:t>za první čtvrtletí</w:t>
      </w:r>
      <w:r w:rsidR="00ED3CDE" w:rsidRPr="00B91637">
        <w:t xml:space="preserve"> tohoto roku</w:t>
      </w:r>
      <w:r w:rsidR="00270B83" w:rsidRPr="00B91637">
        <w:t xml:space="preserve">. Vzhledem k absenci </w:t>
      </w:r>
      <w:r w:rsidR="00ED3CDE" w:rsidRPr="00B91637">
        <w:t xml:space="preserve">dalších </w:t>
      </w:r>
      <w:r w:rsidR="00270B83" w:rsidRPr="00B91637">
        <w:t xml:space="preserve">externích </w:t>
      </w:r>
      <w:r w:rsidR="007D1256" w:rsidRPr="00B91637">
        <w:t>vlivů</w:t>
      </w:r>
      <w:r w:rsidR="00270B83" w:rsidRPr="00B91637">
        <w:t>, jako je např. vývoj cen polymerů,  tak můžeme opět ukázat, jak je naše podnikání</w:t>
      </w:r>
      <w:r w:rsidR="007D1256" w:rsidRPr="00B91637">
        <w:t xml:space="preserve"> za </w:t>
      </w:r>
      <w:r w:rsidR="008E21C3" w:rsidRPr="00B91637">
        <w:t xml:space="preserve">standardních </w:t>
      </w:r>
      <w:r w:rsidR="007D1256" w:rsidRPr="00B91637">
        <w:t>okolností stabilní</w:t>
      </w:r>
      <w:r w:rsidR="00270B83" w:rsidRPr="00B91637">
        <w:t xml:space="preserve">. </w:t>
      </w:r>
    </w:p>
    <w:p w:rsidR="00270B83" w:rsidRPr="00B91637" w:rsidRDefault="00270B83" w:rsidP="007A3749">
      <w:pPr>
        <w:pStyle w:val="NormalWeb"/>
      </w:pPr>
      <w:r w:rsidRPr="00B91637">
        <w:t>K dobrým výsledkům</w:t>
      </w:r>
      <w:r w:rsidR="007D1256" w:rsidRPr="00B91637">
        <w:t xml:space="preserve"> opět</w:t>
      </w:r>
      <w:r w:rsidRPr="00B91637">
        <w:t xml:space="preserve"> </w:t>
      </w:r>
      <w:r w:rsidR="00B922FB" w:rsidRPr="00B91637">
        <w:t xml:space="preserve">přispěla výroba, která </w:t>
      </w:r>
      <w:r w:rsidR="007D1256" w:rsidRPr="00B91637">
        <w:t xml:space="preserve">už několik čtvrtletí v řadě </w:t>
      </w:r>
      <w:r w:rsidR="00B922FB" w:rsidRPr="00B91637">
        <w:t xml:space="preserve">dosahuje </w:t>
      </w:r>
      <w:r w:rsidR="008E21C3" w:rsidRPr="00B91637">
        <w:t xml:space="preserve">solidních </w:t>
      </w:r>
      <w:r w:rsidR="00B922FB" w:rsidRPr="00B91637">
        <w:t>úrovn</w:t>
      </w:r>
      <w:r w:rsidR="007D1256" w:rsidRPr="00B91637">
        <w:t>í</w:t>
      </w:r>
      <w:r w:rsidR="00B922FB" w:rsidRPr="00B91637">
        <w:t xml:space="preserve">. Rovněž objem prodeje splňuje plánované hodnoty a v naturálním vyjádření, tj. v tunách, jsme zaznamenali nárůst oproti loňskému roku. Zásoby hotových výrobků se nám </w:t>
      </w:r>
      <w:r w:rsidR="007D1256" w:rsidRPr="00B91637">
        <w:t xml:space="preserve">také </w:t>
      </w:r>
      <w:r w:rsidR="00B922FB" w:rsidRPr="00B91637">
        <w:t xml:space="preserve">daří držet na optimální úrovni. </w:t>
      </w:r>
    </w:p>
    <w:p w:rsidR="00B922FB" w:rsidRPr="00B91637" w:rsidRDefault="00B922FB" w:rsidP="007A3749">
      <w:pPr>
        <w:pStyle w:val="NormalWeb"/>
      </w:pPr>
      <w:r w:rsidRPr="00B91637">
        <w:t>Ceny polymer</w:t>
      </w:r>
      <w:r w:rsidR="008E21C3" w:rsidRPr="00B91637">
        <w:t>ů</w:t>
      </w:r>
      <w:r w:rsidRPr="00B91637">
        <w:t xml:space="preserve"> jsou od začátku roku poměrně stabilní a dopad mechanismu přenesení cen vstupních materiálů do v</w:t>
      </w:r>
      <w:r w:rsidR="007D1256" w:rsidRPr="00B91637">
        <w:t>ý</w:t>
      </w:r>
      <w:r w:rsidRPr="00B91637">
        <w:t xml:space="preserve">sledku tak v prvním pololetí nebyl významný. </w:t>
      </w:r>
      <w:r w:rsidR="000D4294" w:rsidRPr="00B91637">
        <w:t>P</w:t>
      </w:r>
      <w:r w:rsidRPr="00B91637">
        <w:t xml:space="preserve">řecenění </w:t>
      </w:r>
      <w:r w:rsidR="007D1256" w:rsidRPr="00B91637">
        <w:t>opčního akciového programu ovlivnilo hospodaření za první pololetí</w:t>
      </w:r>
      <w:r w:rsidR="000D4294" w:rsidRPr="00B91637">
        <w:t xml:space="preserve"> pouze mírně negativně, částkou přibližně ve výši 0,5 milionu EUR</w:t>
      </w:r>
      <w:r w:rsidR="007D1256" w:rsidRPr="00B91637">
        <w:t>.</w:t>
      </w:r>
    </w:p>
    <w:p w:rsidR="00C64379" w:rsidRPr="00B91637" w:rsidRDefault="00C8380E" w:rsidP="007A3749">
      <w:pPr>
        <w:pStyle w:val="NormalWeb"/>
      </w:pPr>
      <w:r>
        <w:t xml:space="preserve">Pokud jde o </w:t>
      </w:r>
      <w:r w:rsidR="008E21C3" w:rsidRPr="00B91637">
        <w:t>dlouhodobější projekt</w:t>
      </w:r>
      <w:r>
        <w:t>y</w:t>
      </w:r>
      <w:r w:rsidR="00F91E75" w:rsidRPr="00B91637">
        <w:t xml:space="preserve">, investice do nové výrobní linky </w:t>
      </w:r>
      <w:r>
        <w:t xml:space="preserve">typu Compact </w:t>
      </w:r>
      <w:r w:rsidR="00F91E75" w:rsidRPr="00B91637">
        <w:t xml:space="preserve">pokračuje v souladu s plánem, přičemž termín jejího spuštění i nadále předpokládáme začátkem třetího čtvrtletí roku 2017. </w:t>
      </w:r>
      <w:r w:rsidR="007D1256" w:rsidRPr="00B91637">
        <w:t>Výstavba skladov</w:t>
      </w:r>
      <w:r w:rsidR="00C64379" w:rsidRPr="00B91637">
        <w:t xml:space="preserve">é haly </w:t>
      </w:r>
      <w:r w:rsidR="007D1256" w:rsidRPr="00B91637">
        <w:t xml:space="preserve">v závodě ve Znojmě finišuje </w:t>
      </w:r>
      <w:r w:rsidR="00C64379" w:rsidRPr="00B91637">
        <w:t xml:space="preserve">a očekáváme, že od začátku října budeme moci těchto </w:t>
      </w:r>
      <w:r w:rsidR="00C64379" w:rsidRPr="00B91637">
        <w:lastRenderedPageBreak/>
        <w:t xml:space="preserve">kapacit využít pro skladování hotových výrobků a vstupního materiálu. </w:t>
      </w:r>
    </w:p>
    <w:p w:rsidR="007D1256" w:rsidRPr="00B91637" w:rsidRDefault="00C64379" w:rsidP="007A3749">
      <w:pPr>
        <w:pStyle w:val="NormalWeb"/>
      </w:pPr>
      <w:r w:rsidRPr="00B91637">
        <w:t>V</w:t>
      </w:r>
      <w:r w:rsidR="00F91E75" w:rsidRPr="00B91637">
        <w:t>ýznamnou skutečnost v</w:t>
      </w:r>
      <w:r w:rsidR="00763886" w:rsidRPr="00B91637">
        <w:t> souvislosti s</w:t>
      </w:r>
      <w:r w:rsidRPr="00B91637">
        <w:t> projekt</w:t>
      </w:r>
      <w:r w:rsidR="00763886" w:rsidRPr="00B91637">
        <w:t>em</w:t>
      </w:r>
      <w:r w:rsidRPr="00B91637">
        <w:t xml:space="preserve"> v Jihoafrické republice </w:t>
      </w:r>
      <w:r w:rsidR="00F91E75" w:rsidRPr="00B91637">
        <w:t>představ</w:t>
      </w:r>
      <w:r w:rsidR="00763886" w:rsidRPr="00B91637">
        <w:t>ovalo</w:t>
      </w:r>
      <w:r w:rsidR="00F91E75" w:rsidRPr="00B91637">
        <w:t xml:space="preserve"> </w:t>
      </w:r>
      <w:r w:rsidRPr="00B91637">
        <w:t>založ</w:t>
      </w:r>
      <w:r w:rsidR="00F91E75" w:rsidRPr="00B91637">
        <w:t>ení</w:t>
      </w:r>
      <w:r w:rsidRPr="00B91637">
        <w:t xml:space="preserve"> dceřin</w:t>
      </w:r>
      <w:r w:rsidR="00F91E75" w:rsidRPr="00B91637">
        <w:t>é</w:t>
      </w:r>
      <w:r w:rsidRPr="00B91637">
        <w:t xml:space="preserve"> společnost</w:t>
      </w:r>
      <w:r w:rsidR="00F91E75" w:rsidRPr="00B91637">
        <w:t>i</w:t>
      </w:r>
      <w:r w:rsidRPr="00B91637">
        <w:t xml:space="preserve"> za účelem koupě určeného pozemku</w:t>
      </w:r>
      <w:r w:rsidR="00F91E75" w:rsidRPr="00B91637">
        <w:t>. Rovněž jsme</w:t>
      </w:r>
      <w:r w:rsidRPr="00B91637">
        <w:t xml:space="preserve"> vstoupili v jednání s našimi zákazníky.  </w:t>
      </w:r>
    </w:p>
    <w:p w:rsidR="00114722" w:rsidRPr="00B91637" w:rsidRDefault="00F91E75" w:rsidP="007A3749">
      <w:pPr>
        <w:pStyle w:val="NormalWeb"/>
      </w:pPr>
      <w:r w:rsidRPr="00B91637">
        <w:t xml:space="preserve">Ve vztahu k našim akcionářům potom </w:t>
      </w:r>
      <w:r w:rsidR="00B07863" w:rsidRPr="00B91637">
        <w:t xml:space="preserve">věřím, že </w:t>
      </w:r>
      <w:r w:rsidR="00014BFE" w:rsidRPr="00B91637">
        <w:t xml:space="preserve">kromě </w:t>
      </w:r>
      <w:r w:rsidR="007D1256" w:rsidRPr="00B91637">
        <w:t>stabilního hospodaření společnosti</w:t>
      </w:r>
      <w:r w:rsidRPr="00B91637">
        <w:t xml:space="preserve"> je</w:t>
      </w:r>
      <w:r w:rsidR="007D1256" w:rsidRPr="00B91637">
        <w:t xml:space="preserve"> </w:t>
      </w:r>
      <w:r w:rsidR="00C64379" w:rsidRPr="00B91637">
        <w:t>potěšil</w:t>
      </w:r>
      <w:r w:rsidR="00C8380E">
        <w:t>a</w:t>
      </w:r>
      <w:r w:rsidR="00C64379" w:rsidRPr="00B91637">
        <w:t xml:space="preserve"> </w:t>
      </w:r>
      <w:r w:rsidR="0063471B" w:rsidRPr="00B91637">
        <w:t xml:space="preserve">i </w:t>
      </w:r>
      <w:r w:rsidR="008D3FC4" w:rsidRPr="00B91637">
        <w:t>dividend</w:t>
      </w:r>
      <w:r w:rsidR="00C8380E">
        <w:t>a</w:t>
      </w:r>
      <w:r w:rsidR="008D3FC4" w:rsidRPr="00B91637">
        <w:t xml:space="preserve"> ve výši 1,</w:t>
      </w:r>
      <w:r w:rsidR="007D1256" w:rsidRPr="00B91637">
        <w:t>25</w:t>
      </w:r>
      <w:r w:rsidR="008D3FC4" w:rsidRPr="00B91637">
        <w:t xml:space="preserve"> EUR na akcii</w:t>
      </w:r>
      <w:r w:rsidR="003F2354" w:rsidRPr="00B91637">
        <w:t>, kterou obdrží v říjnu</w:t>
      </w:r>
      <w:r w:rsidR="008D3FC4" w:rsidRPr="00B91637">
        <w:t>.</w:t>
      </w:r>
      <w:r w:rsidR="00114722" w:rsidRPr="00B91637">
        <w:t xml:space="preserve">“ </w:t>
      </w:r>
    </w:p>
    <w:p w:rsidR="00CF4152" w:rsidRPr="00B91637" w:rsidRDefault="00CF4152" w:rsidP="002D0377">
      <w:pPr>
        <w:rPr>
          <w:b/>
          <w:color w:val="FF0000"/>
        </w:rPr>
      </w:pPr>
      <w:r w:rsidRPr="00B91637">
        <w:rPr>
          <w:b/>
          <w:color w:val="FF0000"/>
        </w:rPr>
        <w:t>Potvrzení</w:t>
      </w:r>
      <w:r w:rsidR="007C4E69" w:rsidRPr="00B91637">
        <w:rPr>
          <w:b/>
          <w:color w:val="FF0000"/>
        </w:rPr>
        <w:t xml:space="preserve"> výhledu hospodaření na rok 201</w:t>
      </w:r>
      <w:r w:rsidR="002D0377" w:rsidRPr="00B91637">
        <w:rPr>
          <w:b/>
          <w:color w:val="FF0000"/>
        </w:rPr>
        <w:t>6</w:t>
      </w:r>
    </w:p>
    <w:p w:rsidR="00411342" w:rsidRPr="00B91637" w:rsidRDefault="00411342" w:rsidP="007A3749">
      <w:pPr>
        <w:pStyle w:val="NormalWeb"/>
      </w:pPr>
      <w:r w:rsidRPr="00B91637">
        <w:t>V prvním pololetí roku 201</w:t>
      </w:r>
      <w:r w:rsidR="002D0377" w:rsidRPr="00B91637">
        <w:t>6</w:t>
      </w:r>
      <w:r w:rsidRPr="00B91637">
        <w:t xml:space="preserve"> Společnost dosáhla hospodářských výsledků, jež jsou v souladu s jejím očekáváním a se zveřejněným výhledem na celý rok 201</w:t>
      </w:r>
      <w:r w:rsidR="002D0377" w:rsidRPr="00B91637">
        <w:t>6</w:t>
      </w:r>
      <w:r w:rsidRPr="00B91637">
        <w:t xml:space="preserve">. </w:t>
      </w:r>
    </w:p>
    <w:p w:rsidR="00411342" w:rsidRPr="00B91637" w:rsidRDefault="00411342" w:rsidP="007A3749">
      <w:pPr>
        <w:pStyle w:val="NormalWeb"/>
      </w:pPr>
      <w:r w:rsidRPr="00B91637">
        <w:t>Na základě dosažených výsledků za první pololetí 201</w:t>
      </w:r>
      <w:r w:rsidR="002D0377" w:rsidRPr="00B91637">
        <w:t>6</w:t>
      </w:r>
      <w:r w:rsidRPr="00B91637">
        <w:t xml:space="preserve"> a s ohledem na vývoj na evropském trhu netkaných textilií včetně očekávaného vývoje na trhu s polymery potvrzuje Společnost svůj předchozí výhled na rok 201</w:t>
      </w:r>
      <w:r w:rsidR="002D0377" w:rsidRPr="00B91637">
        <w:t>6</w:t>
      </w:r>
      <w:r w:rsidRPr="00B91637">
        <w:t xml:space="preserve"> a očekává, že ukazatel EBITDA v tomto roce vzroste na hodnotu v rozmezí 4</w:t>
      </w:r>
      <w:r w:rsidR="002D0377" w:rsidRPr="00B91637">
        <w:t>3</w:t>
      </w:r>
      <w:r w:rsidRPr="00B91637">
        <w:t>,0 až 4</w:t>
      </w:r>
      <w:r w:rsidR="002D0377" w:rsidRPr="00B91637">
        <w:t>9</w:t>
      </w:r>
      <w:r w:rsidRPr="00B91637">
        <w:t>,</w:t>
      </w:r>
      <w:r w:rsidR="002D0377" w:rsidRPr="00B91637">
        <w:t>0</w:t>
      </w:r>
      <w:r w:rsidRPr="00B91637">
        <w:t xml:space="preserve"> milionu EUR.</w:t>
      </w:r>
    </w:p>
    <w:p w:rsidR="00EF4F0F" w:rsidRPr="007A3749" w:rsidRDefault="00411342" w:rsidP="007A3749">
      <w:pPr>
        <w:pStyle w:val="NormalWeb"/>
      </w:pPr>
      <w:r w:rsidRPr="00B91637">
        <w:t>Společnost plánuje, že celkové</w:t>
      </w:r>
      <w:r w:rsidRPr="00087C3A">
        <w:t xml:space="preserve"> investiční výdaje v roce 201</w:t>
      </w:r>
      <w:r w:rsidR="002D0377">
        <w:t>6</w:t>
      </w:r>
      <w:r w:rsidRPr="00087C3A">
        <w:t xml:space="preserve"> nepřesáhnou úroveň </w:t>
      </w:r>
      <w:r w:rsidR="002D0377">
        <w:t xml:space="preserve">25 </w:t>
      </w:r>
      <w:r w:rsidRPr="00087C3A">
        <w:t>milionů EUR.</w:t>
      </w:r>
      <w:r w:rsidR="00784F4C" w:rsidRPr="007A3749">
        <w:t xml:space="preserve"> </w:t>
      </w:r>
    </w:p>
    <w:p w:rsidR="00396F0C" w:rsidRDefault="00396F0C" w:rsidP="00396F0C">
      <w:pPr>
        <w:pStyle w:val="Heading1"/>
        <w:spacing w:before="100" w:after="100"/>
        <w:sectPr w:rsidR="00396F0C" w:rsidSect="00781223">
          <w:pgSz w:w="11906" w:h="16838"/>
          <w:pgMar w:top="1417" w:right="1417" w:bottom="1417" w:left="1417" w:header="708" w:footer="708" w:gutter="0"/>
          <w:cols w:num="2" w:space="708"/>
          <w:docGrid w:linePitch="360"/>
        </w:sectPr>
      </w:pPr>
      <w:bookmarkStart w:id="11" w:name="_Toc269907486"/>
    </w:p>
    <w:p w:rsidR="00A72029" w:rsidRDefault="00871A75" w:rsidP="007F0563">
      <w:pPr>
        <w:pStyle w:val="Heading1"/>
        <w:spacing w:before="100" w:after="100"/>
        <w:jc w:val="left"/>
      </w:pPr>
      <w:bookmarkStart w:id="12" w:name="_Toc458586515"/>
      <w:r w:rsidRPr="008A66C6">
        <w:lastRenderedPageBreak/>
        <w:t>Mezitímní</w:t>
      </w:r>
      <w:r w:rsidR="005F25E4" w:rsidRPr="008A66C6">
        <w:t xml:space="preserve"> z</w:t>
      </w:r>
      <w:r w:rsidR="00A72029" w:rsidRPr="008A66C6">
        <w:t>práva o podnikání</w:t>
      </w:r>
      <w:r w:rsidR="00C17A58" w:rsidRPr="008A66C6">
        <w:t xml:space="preserve"> </w:t>
      </w:r>
      <w:r w:rsidR="00A72029" w:rsidRPr="008A66C6">
        <w:t>za první pololetí 20</w:t>
      </w:r>
      <w:r w:rsidR="007849CF" w:rsidRPr="008A66C6">
        <w:t>1</w:t>
      </w:r>
      <w:bookmarkEnd w:id="11"/>
      <w:r w:rsidR="007F0563" w:rsidRPr="008A66C6">
        <w:t>6</w:t>
      </w:r>
      <w:bookmarkEnd w:id="12"/>
    </w:p>
    <w:p w:rsidR="00396F0C" w:rsidRPr="00396F0C" w:rsidRDefault="00396F0C" w:rsidP="00396F0C"/>
    <w:p w:rsidR="00396F0C" w:rsidRDefault="00396F0C" w:rsidP="00396F0C">
      <w:pPr>
        <w:sectPr w:rsidR="00396F0C" w:rsidSect="00396F0C">
          <w:pgSz w:w="11906" w:h="16838"/>
          <w:pgMar w:top="1417" w:right="1417" w:bottom="1417" w:left="1417" w:header="708" w:footer="708" w:gutter="0"/>
          <w:cols w:space="708"/>
          <w:docGrid w:linePitch="360"/>
        </w:sectPr>
      </w:pPr>
    </w:p>
    <w:p w:rsidR="007C64FB" w:rsidRPr="002C2EF0" w:rsidRDefault="00E126DD" w:rsidP="00396F0C">
      <w:pPr>
        <w:pStyle w:val="Heading2"/>
        <w:spacing w:before="100" w:after="100"/>
      </w:pPr>
      <w:bookmarkStart w:id="13" w:name="_Toc269907487"/>
      <w:bookmarkStart w:id="14" w:name="_Toc458586516"/>
      <w:r w:rsidRPr="002C2EF0">
        <w:lastRenderedPageBreak/>
        <w:t>Finanční výsledky za první pololetí 20</w:t>
      </w:r>
      <w:r w:rsidR="007849CF" w:rsidRPr="002C2EF0">
        <w:t>1</w:t>
      </w:r>
      <w:bookmarkEnd w:id="13"/>
      <w:r w:rsidR="009A5087">
        <w:t>6</w:t>
      </w:r>
      <w:bookmarkEnd w:id="14"/>
    </w:p>
    <w:p w:rsidR="00EF4ECD" w:rsidRPr="00620C97" w:rsidRDefault="00EF4ECD" w:rsidP="00620C97">
      <w:pPr>
        <w:pStyle w:val="Heading4"/>
      </w:pPr>
      <w:r w:rsidRPr="00620C97">
        <w:t>Výnosy, náklady a EBITDA</w:t>
      </w:r>
    </w:p>
    <w:p w:rsidR="009A5087" w:rsidRDefault="00EF4ECD" w:rsidP="007A3749">
      <w:pPr>
        <w:pStyle w:val="NormalWeb"/>
      </w:pPr>
      <w:r w:rsidRPr="007A3749">
        <w:t xml:space="preserve">V první polovině </w:t>
      </w:r>
      <w:r w:rsidR="00A8307B" w:rsidRPr="007A3749">
        <w:t xml:space="preserve">roku </w:t>
      </w:r>
      <w:r w:rsidR="0025161E" w:rsidRPr="007A3749">
        <w:t>201</w:t>
      </w:r>
      <w:r w:rsidR="009A5087">
        <w:t>6</w:t>
      </w:r>
      <w:r w:rsidR="0025161E" w:rsidRPr="007A3749">
        <w:t xml:space="preserve"> </w:t>
      </w:r>
      <w:r w:rsidR="0066376C" w:rsidRPr="007A3749">
        <w:t xml:space="preserve">dosáhly </w:t>
      </w:r>
      <w:r w:rsidRPr="007A3749">
        <w:t xml:space="preserve">konsolidované výnosy (tržby z prodeje vlastních výrobků) </w:t>
      </w:r>
      <w:r w:rsidR="0054704C" w:rsidRPr="007A3749">
        <w:t>1</w:t>
      </w:r>
      <w:r w:rsidR="009A5087">
        <w:t>06</w:t>
      </w:r>
      <w:r w:rsidR="00541DBF" w:rsidRPr="007A3749">
        <w:t>,</w:t>
      </w:r>
      <w:r w:rsidR="000954BC" w:rsidRPr="007A3749">
        <w:t>7</w:t>
      </w:r>
      <w:r w:rsidRPr="007A3749">
        <w:t xml:space="preserve"> milion</w:t>
      </w:r>
      <w:r w:rsidR="0068261A" w:rsidRPr="007A3749">
        <w:t>u</w:t>
      </w:r>
      <w:r w:rsidRPr="007A3749">
        <w:t xml:space="preserve"> </w:t>
      </w:r>
      <w:r w:rsidR="0066376C" w:rsidRPr="007A3749">
        <w:t>EUR</w:t>
      </w:r>
      <w:r w:rsidRPr="007A3749">
        <w:t xml:space="preserve">, </w:t>
      </w:r>
      <w:r w:rsidR="00A8307B" w:rsidRPr="007A3749">
        <w:t xml:space="preserve">což představuje meziroční </w:t>
      </w:r>
      <w:r w:rsidR="009A5087">
        <w:t xml:space="preserve">pokles </w:t>
      </w:r>
      <w:r w:rsidR="00A8307B" w:rsidRPr="007A3749">
        <w:t>o</w:t>
      </w:r>
      <w:r w:rsidRPr="007A3749">
        <w:t xml:space="preserve"> </w:t>
      </w:r>
      <w:r w:rsidR="009A5087">
        <w:t>4</w:t>
      </w:r>
      <w:r w:rsidR="00541DBF" w:rsidRPr="007A3749">
        <w:t>,</w:t>
      </w:r>
      <w:r w:rsidR="009A5087">
        <w:t>5</w:t>
      </w:r>
      <w:r w:rsidRPr="007A3749">
        <w:t xml:space="preserve"> %. </w:t>
      </w:r>
      <w:r w:rsidR="00D56DAA" w:rsidRPr="007A3749">
        <w:t>Celkové konsolidované výnosy dosáhly ve druhém čtvrtletí tohoto roku 5</w:t>
      </w:r>
      <w:r w:rsidR="000954BC" w:rsidRPr="007A3749">
        <w:t>1</w:t>
      </w:r>
      <w:r w:rsidR="00D56DAA" w:rsidRPr="007A3749">
        <w:t>,</w:t>
      </w:r>
      <w:r w:rsidR="009A5087">
        <w:t>6</w:t>
      </w:r>
      <w:r w:rsidR="00D56DAA" w:rsidRPr="007A3749">
        <w:t xml:space="preserve"> milionu EUR, tj. o </w:t>
      </w:r>
      <w:r w:rsidR="009A5087">
        <w:t>0</w:t>
      </w:r>
      <w:r w:rsidR="00541DBF" w:rsidRPr="007A3749">
        <w:t>,</w:t>
      </w:r>
      <w:r w:rsidR="009A5087">
        <w:t>9</w:t>
      </w:r>
      <w:r w:rsidR="00D56DAA" w:rsidRPr="007A3749">
        <w:t xml:space="preserve"> % </w:t>
      </w:r>
      <w:r w:rsidR="009A5087">
        <w:t xml:space="preserve">více </w:t>
      </w:r>
      <w:r w:rsidR="00D56DAA" w:rsidRPr="007A3749">
        <w:t xml:space="preserve">ve srovnání se stejným obdobím minulého roku. </w:t>
      </w:r>
      <w:r w:rsidR="00ED3CDE">
        <w:t>Pokles</w:t>
      </w:r>
      <w:r w:rsidR="00964348" w:rsidRPr="007A3749">
        <w:t xml:space="preserve"> cen polymerů měl na meziroční srovnání </w:t>
      </w:r>
      <w:r w:rsidR="00ED3CDE">
        <w:t xml:space="preserve">tržeb </w:t>
      </w:r>
      <w:r w:rsidR="00964348" w:rsidRPr="007A3749">
        <w:t>negativní vliv</w:t>
      </w:r>
      <w:r w:rsidR="00964348">
        <w:t>. C</w:t>
      </w:r>
      <w:r w:rsidR="00964348" w:rsidRPr="009A5087">
        <w:t xml:space="preserve">eny polymeru </w:t>
      </w:r>
      <w:r w:rsidR="00792611">
        <w:t xml:space="preserve">jsou od začátku roku víceméně </w:t>
      </w:r>
      <w:r w:rsidR="00964348" w:rsidRPr="009A5087">
        <w:t>stabil</w:t>
      </w:r>
      <w:r w:rsidR="00792611">
        <w:t>ní</w:t>
      </w:r>
      <w:r w:rsidR="00964348" w:rsidRPr="009A5087">
        <w:t xml:space="preserve"> a pohybují se na dlouhodobých minimech.</w:t>
      </w:r>
      <w:r w:rsidR="00964348">
        <w:t xml:space="preserve"> Negativní vliv cen polymerů do tržeb byl kompenzován meziročním nárůstem objemu prodejů v tunách</w:t>
      </w:r>
      <w:r w:rsidR="00964348" w:rsidRPr="007A3749">
        <w:t>.</w:t>
      </w:r>
    </w:p>
    <w:p w:rsidR="00D56DAA" w:rsidRPr="007A3749" w:rsidRDefault="00F1380E" w:rsidP="007A3749">
      <w:pPr>
        <w:pStyle w:val="NormalWeb"/>
      </w:pPr>
      <w:r w:rsidRPr="007A3749">
        <w:t xml:space="preserve">Celkové konsolidované provozní náklady bez odpisů </w:t>
      </w:r>
      <w:r w:rsidR="00517AE4" w:rsidRPr="007A3749">
        <w:t xml:space="preserve">(netto) </w:t>
      </w:r>
      <w:r w:rsidR="003A1CC1" w:rsidRPr="007A3749">
        <w:t>v první</w:t>
      </w:r>
      <w:r w:rsidR="00E63129" w:rsidRPr="007A3749">
        <w:t>m</w:t>
      </w:r>
      <w:r w:rsidR="003A1CC1" w:rsidRPr="007A3749">
        <w:t xml:space="preserve"> pololetí roku </w:t>
      </w:r>
      <w:r w:rsidR="00CA5C2C" w:rsidRPr="007A3749">
        <w:t>201</w:t>
      </w:r>
      <w:r w:rsidR="003138AE">
        <w:t>6</w:t>
      </w:r>
      <w:r w:rsidR="00CF4152" w:rsidRPr="007A3749">
        <w:t xml:space="preserve"> </w:t>
      </w:r>
      <w:r w:rsidRPr="007A3749">
        <w:t xml:space="preserve">meziročně </w:t>
      </w:r>
      <w:r w:rsidR="003138AE">
        <w:t xml:space="preserve">poklesly </w:t>
      </w:r>
      <w:r w:rsidRPr="007A3749">
        <w:t xml:space="preserve">o </w:t>
      </w:r>
      <w:r w:rsidR="003138AE">
        <w:t>6</w:t>
      </w:r>
      <w:r w:rsidR="00672338" w:rsidRPr="007A3749">
        <w:t>,</w:t>
      </w:r>
      <w:r w:rsidR="008C0748" w:rsidRPr="007A3749">
        <w:t>9</w:t>
      </w:r>
      <w:r w:rsidR="00672338" w:rsidRPr="007A3749">
        <w:t xml:space="preserve"> </w:t>
      </w:r>
      <w:r w:rsidRPr="007A3749">
        <w:t xml:space="preserve">% na </w:t>
      </w:r>
      <w:r w:rsidR="00302ED2" w:rsidRPr="007A3749">
        <w:t xml:space="preserve">částku </w:t>
      </w:r>
      <w:r w:rsidR="003138AE">
        <w:t>83</w:t>
      </w:r>
      <w:r w:rsidR="00541DBF" w:rsidRPr="007A3749">
        <w:t>,</w:t>
      </w:r>
      <w:r w:rsidR="003138AE">
        <w:t>9</w:t>
      </w:r>
      <w:r w:rsidR="00CC2EF9" w:rsidRPr="007A3749">
        <w:t xml:space="preserve"> milion</w:t>
      </w:r>
      <w:r w:rsidR="00B94F1E" w:rsidRPr="007A3749">
        <w:t>u</w:t>
      </w:r>
      <w:r w:rsidRPr="007A3749">
        <w:t xml:space="preserve"> </w:t>
      </w:r>
      <w:r w:rsidR="0066376C" w:rsidRPr="007A3749">
        <w:t>EUR</w:t>
      </w:r>
      <w:r w:rsidR="0077240C" w:rsidRPr="007A3749">
        <w:t xml:space="preserve">. </w:t>
      </w:r>
      <w:r w:rsidR="00D56DAA" w:rsidRPr="007A3749">
        <w:t>V samotném druhém čtvrtletí roku 201</w:t>
      </w:r>
      <w:r w:rsidR="003138AE">
        <w:t>6</w:t>
      </w:r>
      <w:r w:rsidR="00D56DAA" w:rsidRPr="007A3749">
        <w:t xml:space="preserve"> konsolidované provozní náklad</w:t>
      </w:r>
      <w:r w:rsidR="000836B9" w:rsidRPr="007A3749">
        <w:t xml:space="preserve">y bez odpisů (netto) činily </w:t>
      </w:r>
      <w:r w:rsidR="00541DBF" w:rsidRPr="007A3749">
        <w:t>4</w:t>
      </w:r>
      <w:r w:rsidR="003138AE">
        <w:t>0</w:t>
      </w:r>
      <w:r w:rsidR="00541DBF" w:rsidRPr="007A3749">
        <w:t>,</w:t>
      </w:r>
      <w:r w:rsidR="003138AE">
        <w:t>4</w:t>
      </w:r>
      <w:r w:rsidR="00D56DAA" w:rsidRPr="007A3749">
        <w:t xml:space="preserve"> milionu EUR, což je o </w:t>
      </w:r>
      <w:r w:rsidR="003138AE">
        <w:t>4</w:t>
      </w:r>
      <w:r w:rsidR="00D56DAA" w:rsidRPr="007A3749">
        <w:t>,</w:t>
      </w:r>
      <w:r w:rsidR="003138AE">
        <w:t>3</w:t>
      </w:r>
      <w:r w:rsidR="00D56DAA" w:rsidRPr="007A3749">
        <w:t xml:space="preserve"> % meziročně </w:t>
      </w:r>
      <w:r w:rsidR="002B45A6" w:rsidRPr="007A3749">
        <w:t>méně</w:t>
      </w:r>
      <w:r w:rsidR="00D56DAA" w:rsidRPr="007A3749">
        <w:t xml:space="preserve">. </w:t>
      </w:r>
    </w:p>
    <w:p w:rsidR="009877AF" w:rsidRPr="007A3749" w:rsidRDefault="0077240C" w:rsidP="007A3749">
      <w:pPr>
        <w:pStyle w:val="NormalWeb"/>
      </w:pPr>
      <w:r w:rsidRPr="007A3749">
        <w:t xml:space="preserve">EBITDA dosáhla </w:t>
      </w:r>
      <w:r w:rsidR="00CC2EF9" w:rsidRPr="007A3749">
        <w:t xml:space="preserve">v prvním pololetí </w:t>
      </w:r>
      <w:r w:rsidR="00E63129" w:rsidRPr="007A3749">
        <w:t xml:space="preserve">roku </w:t>
      </w:r>
      <w:r w:rsidR="00B94F1E" w:rsidRPr="007A3749">
        <w:t>201</w:t>
      </w:r>
      <w:r w:rsidR="00792611">
        <w:t>6</w:t>
      </w:r>
      <w:r w:rsidR="00304CE1" w:rsidRPr="007A3749">
        <w:t xml:space="preserve"> </w:t>
      </w:r>
      <w:r w:rsidR="00236FFC" w:rsidRPr="007A3749">
        <w:t xml:space="preserve">hodnoty </w:t>
      </w:r>
      <w:r w:rsidR="00125DBA" w:rsidRPr="007A3749">
        <w:t>2</w:t>
      </w:r>
      <w:r w:rsidR="00792611">
        <w:t>2</w:t>
      </w:r>
      <w:r w:rsidR="00D64841" w:rsidRPr="007A3749">
        <w:t>,</w:t>
      </w:r>
      <w:r w:rsidR="00792611">
        <w:t>8</w:t>
      </w:r>
      <w:r w:rsidR="00F1380E" w:rsidRPr="007A3749">
        <w:t xml:space="preserve"> </w:t>
      </w:r>
      <w:r w:rsidR="0068261A" w:rsidRPr="007A3749">
        <w:t>milionu</w:t>
      </w:r>
      <w:r w:rsidR="00F1380E" w:rsidRPr="007A3749">
        <w:t xml:space="preserve"> </w:t>
      </w:r>
      <w:r w:rsidR="0066376C" w:rsidRPr="007A3749">
        <w:t>EUR</w:t>
      </w:r>
      <w:r w:rsidR="006F7E78" w:rsidRPr="007A3749">
        <w:t xml:space="preserve">, meziročně o </w:t>
      </w:r>
      <w:r w:rsidR="00792611">
        <w:t>5</w:t>
      </w:r>
      <w:r w:rsidR="00D64841" w:rsidRPr="007A3749">
        <w:t>,</w:t>
      </w:r>
      <w:r w:rsidR="00792611">
        <w:t>8</w:t>
      </w:r>
      <w:r w:rsidR="00D64841" w:rsidRPr="007A3749">
        <w:t xml:space="preserve"> </w:t>
      </w:r>
      <w:r w:rsidR="006F7E78" w:rsidRPr="007A3749">
        <w:t>%</w:t>
      </w:r>
      <w:r w:rsidR="001F33FB" w:rsidRPr="007A3749">
        <w:t xml:space="preserve"> </w:t>
      </w:r>
      <w:r w:rsidR="00792611">
        <w:t>více</w:t>
      </w:r>
      <w:r w:rsidR="006F7E78" w:rsidRPr="007A3749">
        <w:t>.</w:t>
      </w:r>
      <w:r w:rsidR="00FD496E" w:rsidRPr="007A3749">
        <w:t xml:space="preserve"> Meziroční </w:t>
      </w:r>
      <w:r w:rsidR="00792611">
        <w:t xml:space="preserve">nárůst </w:t>
      </w:r>
      <w:r w:rsidR="00FD496E" w:rsidRPr="007A3749">
        <w:t>ukazatele EBITDA byl do značné míry způsoben zejména přeceněním opčního akciového plánu</w:t>
      </w:r>
      <w:r w:rsidR="00792611">
        <w:t xml:space="preserve">, který </w:t>
      </w:r>
      <w:r w:rsidR="00097737" w:rsidRPr="007A3749">
        <w:t xml:space="preserve"> </w:t>
      </w:r>
      <w:r w:rsidR="00792611">
        <w:t>za první pololetí 2016 představoval náklad ve vý</w:t>
      </w:r>
      <w:r w:rsidR="00A754F9" w:rsidRPr="007A3749">
        <w:t xml:space="preserve">ši </w:t>
      </w:r>
      <w:r w:rsidR="00792611">
        <w:t>0</w:t>
      </w:r>
      <w:r w:rsidR="00097737" w:rsidRPr="007A3749">
        <w:t>,</w:t>
      </w:r>
      <w:r w:rsidR="00A754F9" w:rsidRPr="007A3749">
        <w:t>5 milionu EUR</w:t>
      </w:r>
      <w:r w:rsidR="00792611">
        <w:t xml:space="preserve"> oproti nákladu ve výši 2,5 milionu EUR za </w:t>
      </w:r>
      <w:r w:rsidR="00E40D83" w:rsidRPr="007A3749">
        <w:t>první pololet</w:t>
      </w:r>
      <w:r w:rsidR="00DA10D5" w:rsidRPr="007A3749">
        <w:t>í</w:t>
      </w:r>
      <w:r w:rsidR="00E40D83" w:rsidRPr="007A3749">
        <w:t xml:space="preserve"> 201</w:t>
      </w:r>
      <w:r w:rsidR="00792611">
        <w:t>5</w:t>
      </w:r>
      <w:r w:rsidR="00C8380E">
        <w:t>.</w:t>
      </w:r>
      <w:r w:rsidR="00E40D83" w:rsidRPr="007A3749">
        <w:t xml:space="preserve"> </w:t>
      </w:r>
      <w:r w:rsidR="00061E2E">
        <w:t xml:space="preserve">Objem </w:t>
      </w:r>
      <w:r w:rsidR="00061E2E">
        <w:lastRenderedPageBreak/>
        <w:t xml:space="preserve">produkce v prvním pololetí 2016 pouze nepatrně poklesl ve srovnání se stejným obdobím v předchozím roce a neměl významný dopad do EBITDA. </w:t>
      </w:r>
      <w:r w:rsidR="00811F33">
        <w:t>D</w:t>
      </w:r>
      <w:r w:rsidR="00061E2E">
        <w:t xml:space="preserve">opad </w:t>
      </w:r>
      <w:r w:rsidR="006254C0" w:rsidRPr="007A3749">
        <w:t xml:space="preserve">mechanismu přenesení cen vstupních materiálů byl </w:t>
      </w:r>
      <w:r w:rsidR="00061E2E">
        <w:t>mezi</w:t>
      </w:r>
      <w:r w:rsidR="00ED3CDE">
        <w:t xml:space="preserve">ročně </w:t>
      </w:r>
      <w:r w:rsidR="00811F33">
        <w:t>mírně negativní</w:t>
      </w:r>
      <w:r w:rsidR="006254C0" w:rsidRPr="007A3749">
        <w:t xml:space="preserve">. </w:t>
      </w:r>
    </w:p>
    <w:p w:rsidR="009877AF" w:rsidRPr="007A3749" w:rsidRDefault="009877AF" w:rsidP="007A3749">
      <w:pPr>
        <w:pStyle w:val="NormalWeb"/>
      </w:pPr>
      <w:r w:rsidRPr="007A3749">
        <w:t>EBITDA marže dosáhla v prvním pololetí roku 201</w:t>
      </w:r>
      <w:r w:rsidR="00061E2E">
        <w:t>6</w:t>
      </w:r>
      <w:r w:rsidRPr="007A3749">
        <w:t xml:space="preserve"> </w:t>
      </w:r>
      <w:r w:rsidR="00061E2E">
        <w:t>21</w:t>
      </w:r>
      <w:r w:rsidRPr="007A3749">
        <w:t>,</w:t>
      </w:r>
      <w:r w:rsidR="00061E2E">
        <w:t>4</w:t>
      </w:r>
      <w:r w:rsidRPr="007A3749">
        <w:t xml:space="preserve"> %, tj. o </w:t>
      </w:r>
      <w:r w:rsidR="00061E2E">
        <w:t>2</w:t>
      </w:r>
      <w:r w:rsidRPr="007A3749">
        <w:t>,</w:t>
      </w:r>
      <w:r w:rsidR="00061E2E">
        <w:t>1</w:t>
      </w:r>
      <w:r w:rsidRPr="007A3749">
        <w:t xml:space="preserve"> procentního bodu </w:t>
      </w:r>
      <w:r w:rsidR="00061E2E">
        <w:t xml:space="preserve">více </w:t>
      </w:r>
      <w:r w:rsidRPr="007A3749">
        <w:t>než ve stejném období roku 201</w:t>
      </w:r>
      <w:r w:rsidR="00061E2E">
        <w:t>5</w:t>
      </w:r>
      <w:r w:rsidRPr="007A3749">
        <w:t xml:space="preserve">. EBITDA marže </w:t>
      </w:r>
      <w:r w:rsidR="0030132C" w:rsidRPr="007A3749">
        <w:t xml:space="preserve">upravená </w:t>
      </w:r>
      <w:r w:rsidRPr="007A3749">
        <w:t>o vliv přecenění opčního akciového plánu dosáhla v prvním pololetí roku 201</w:t>
      </w:r>
      <w:r w:rsidR="00061E2E">
        <w:t>6</w:t>
      </w:r>
      <w:r w:rsidRPr="007A3749">
        <w:t xml:space="preserve"> 21,</w:t>
      </w:r>
      <w:r w:rsidR="00061E2E">
        <w:t>9</w:t>
      </w:r>
      <w:r w:rsidRPr="007A3749">
        <w:t xml:space="preserve"> %, tj. o </w:t>
      </w:r>
      <w:r w:rsidR="00061E2E">
        <w:t>0</w:t>
      </w:r>
      <w:r w:rsidRPr="007A3749">
        <w:t>,</w:t>
      </w:r>
      <w:r w:rsidR="00061E2E">
        <w:t>3</w:t>
      </w:r>
      <w:r w:rsidRPr="007A3749">
        <w:t xml:space="preserve"> procentního bodu více než ve stejném období roku 201</w:t>
      </w:r>
      <w:r w:rsidR="00061E2E">
        <w:t>5</w:t>
      </w:r>
      <w:r w:rsidRPr="007A3749">
        <w:t>.</w:t>
      </w:r>
    </w:p>
    <w:p w:rsidR="00A11CFF" w:rsidRPr="007A3749" w:rsidRDefault="00A11CFF" w:rsidP="007A3749">
      <w:pPr>
        <w:pStyle w:val="NormalWeb"/>
        <w:rPr>
          <w:highlight w:val="yellow"/>
        </w:rPr>
      </w:pPr>
      <w:r w:rsidRPr="007A3749" w:rsidDel="007D31AF">
        <w:t>EBITDA v</w:t>
      </w:r>
      <w:r w:rsidR="00735EF7">
        <w:t>e</w:t>
      </w:r>
      <w:r w:rsidRPr="007A3749" w:rsidDel="007D31AF">
        <w:t> druhém čtvrtl</w:t>
      </w:r>
      <w:r w:rsidRPr="007A3749">
        <w:t>etí roku 201</w:t>
      </w:r>
      <w:r w:rsidR="00061E2E">
        <w:t>6</w:t>
      </w:r>
      <w:r w:rsidRPr="007A3749" w:rsidDel="007D31AF">
        <w:t xml:space="preserve"> činila </w:t>
      </w:r>
      <w:r w:rsidR="00061E2E">
        <w:t>11</w:t>
      </w:r>
      <w:r w:rsidRPr="007A3749">
        <w:t>,</w:t>
      </w:r>
      <w:r w:rsidR="00061E2E">
        <w:t>2</w:t>
      </w:r>
      <w:r w:rsidRPr="007A3749">
        <w:t xml:space="preserve"> milionu</w:t>
      </w:r>
      <w:r w:rsidRPr="007A3749" w:rsidDel="007D31AF">
        <w:t xml:space="preserve"> EUR, tj. o </w:t>
      </w:r>
      <w:r w:rsidR="00061E2E">
        <w:t>25</w:t>
      </w:r>
      <w:r w:rsidR="00703FC6" w:rsidRPr="007A3749">
        <w:t>,</w:t>
      </w:r>
      <w:r w:rsidR="00061E2E">
        <w:t>5</w:t>
      </w:r>
      <w:r w:rsidRPr="007A3749" w:rsidDel="007D31AF">
        <w:t xml:space="preserve"> % meziročně </w:t>
      </w:r>
      <w:r w:rsidR="00061E2E">
        <w:t>více</w:t>
      </w:r>
      <w:r w:rsidR="006254C0" w:rsidRPr="007A3749">
        <w:t xml:space="preserve">. Nejvýznamnější vliv </w:t>
      </w:r>
      <w:r w:rsidR="00811F33">
        <w:t xml:space="preserve">na meziroční srovnání mělo </w:t>
      </w:r>
      <w:r w:rsidR="006254C0" w:rsidRPr="007A3749">
        <w:t xml:space="preserve">přecenění opčního akciového </w:t>
      </w:r>
      <w:r w:rsidR="00811F33">
        <w:t xml:space="preserve">programu, které </w:t>
      </w:r>
      <w:r w:rsidR="006F5012">
        <w:t>ve druhém</w:t>
      </w:r>
      <w:r w:rsidR="00811F33">
        <w:t xml:space="preserve"> čtvrtletí 2016 představovalo náklad </w:t>
      </w:r>
      <w:r w:rsidR="00E40D83" w:rsidRPr="007A3749">
        <w:t xml:space="preserve">ve výši </w:t>
      </w:r>
      <w:r w:rsidR="00061E2E">
        <w:t>0</w:t>
      </w:r>
      <w:r w:rsidR="00E40D83" w:rsidRPr="007A3749">
        <w:t>,</w:t>
      </w:r>
      <w:r w:rsidR="00061E2E">
        <w:t>4</w:t>
      </w:r>
      <w:r w:rsidR="00E40D83" w:rsidRPr="007A3749">
        <w:t xml:space="preserve"> milionu EUR ve srovnání s</w:t>
      </w:r>
      <w:r w:rsidR="00061E2E">
        <w:t xml:space="preserve"> nákladem </w:t>
      </w:r>
      <w:r w:rsidR="009877AF" w:rsidRPr="007A3749">
        <w:t xml:space="preserve">ve výši </w:t>
      </w:r>
      <w:r w:rsidR="00061E2E">
        <w:t>1,8 milionu EUR</w:t>
      </w:r>
      <w:r w:rsidR="009877AF" w:rsidRPr="007A3749">
        <w:t xml:space="preserve"> ve srovnatelném období předchozího roku</w:t>
      </w:r>
      <w:r w:rsidR="006254C0" w:rsidRPr="007A3749">
        <w:t>.</w:t>
      </w:r>
      <w:r w:rsidR="009877AF" w:rsidRPr="007A3749">
        <w:t xml:space="preserve"> EBITDA </w:t>
      </w:r>
      <w:r w:rsidR="0030132C" w:rsidRPr="007A3749">
        <w:t xml:space="preserve">upravená </w:t>
      </w:r>
      <w:r w:rsidR="009877AF" w:rsidRPr="007A3749">
        <w:t xml:space="preserve">o tento vliv meziročně vzrostla o </w:t>
      </w:r>
      <w:r w:rsidR="00061E2E">
        <w:t>7</w:t>
      </w:r>
      <w:r w:rsidR="009877AF" w:rsidRPr="007A3749">
        <w:t>,5 % na hodnotu 1</w:t>
      </w:r>
      <w:r w:rsidR="00061E2E">
        <w:t>1</w:t>
      </w:r>
      <w:r w:rsidR="009877AF" w:rsidRPr="007A3749">
        <w:t>,</w:t>
      </w:r>
      <w:r w:rsidR="00061E2E">
        <w:t>6</w:t>
      </w:r>
      <w:r w:rsidR="009877AF" w:rsidRPr="007A3749">
        <w:t xml:space="preserve"> milionu EUR. </w:t>
      </w:r>
    </w:p>
    <w:p w:rsidR="004F2222" w:rsidRPr="007A3749" w:rsidRDefault="005F221E" w:rsidP="007A3749">
      <w:pPr>
        <w:pStyle w:val="NormalWeb"/>
      </w:pPr>
      <w:r w:rsidRPr="007A3749">
        <w:t xml:space="preserve">EBITDA marže ve druhém čtvrtletí </w:t>
      </w:r>
      <w:r w:rsidR="00BF4531" w:rsidRPr="007A3749">
        <w:t xml:space="preserve">roku </w:t>
      </w:r>
      <w:r w:rsidR="00D235B8" w:rsidRPr="007A3749">
        <w:t>201</w:t>
      </w:r>
      <w:r w:rsidR="00D078AF">
        <w:t>6</w:t>
      </w:r>
      <w:r w:rsidR="00D235B8" w:rsidRPr="007A3749">
        <w:t xml:space="preserve"> </w:t>
      </w:r>
      <w:r w:rsidR="00CC2EF9" w:rsidRPr="007A3749">
        <w:t xml:space="preserve">činila </w:t>
      </w:r>
      <w:r w:rsidR="00D078AF">
        <w:t>2</w:t>
      </w:r>
      <w:r w:rsidR="00304CE1" w:rsidRPr="007A3749">
        <w:t>1</w:t>
      </w:r>
      <w:r w:rsidR="00D078AF">
        <w:t>,</w:t>
      </w:r>
      <w:r w:rsidR="002B45A6" w:rsidRPr="007A3749">
        <w:t>7 </w:t>
      </w:r>
      <w:r w:rsidR="00CC2EF9" w:rsidRPr="007A3749">
        <w:t xml:space="preserve">%, </w:t>
      </w:r>
      <w:r w:rsidR="006E553D" w:rsidRPr="007A3749">
        <w:t xml:space="preserve">o </w:t>
      </w:r>
      <w:r w:rsidR="00D078AF">
        <w:t>4</w:t>
      </w:r>
      <w:r w:rsidR="00703FC6" w:rsidRPr="007A3749">
        <w:t>,</w:t>
      </w:r>
      <w:r w:rsidR="00D078AF">
        <w:t>2</w:t>
      </w:r>
      <w:r w:rsidR="006E553D" w:rsidRPr="007A3749">
        <w:t xml:space="preserve"> procentní</w:t>
      </w:r>
      <w:r w:rsidR="00703FC6" w:rsidRPr="007A3749">
        <w:t>ho</w:t>
      </w:r>
      <w:r w:rsidR="006E553D" w:rsidRPr="007A3749">
        <w:t xml:space="preserve"> bod</w:t>
      </w:r>
      <w:r w:rsidR="00703FC6" w:rsidRPr="007A3749">
        <w:t>u</w:t>
      </w:r>
      <w:r w:rsidR="006E553D" w:rsidRPr="007A3749">
        <w:t xml:space="preserve"> </w:t>
      </w:r>
      <w:r w:rsidR="00D078AF">
        <w:t xml:space="preserve">více </w:t>
      </w:r>
      <w:r w:rsidR="006E553D" w:rsidRPr="007A3749">
        <w:t>než v přechozím roce</w:t>
      </w:r>
      <w:r w:rsidR="00CC2EF9" w:rsidRPr="007A3749">
        <w:t>.</w:t>
      </w:r>
      <w:r w:rsidR="002B45A6" w:rsidRPr="007A3749">
        <w:t xml:space="preserve"> </w:t>
      </w:r>
      <w:r w:rsidR="009877AF" w:rsidRPr="007A3749">
        <w:t xml:space="preserve">EBITDA marže </w:t>
      </w:r>
      <w:r w:rsidR="0030132C" w:rsidRPr="007A3749">
        <w:t xml:space="preserve">upravená </w:t>
      </w:r>
      <w:r w:rsidR="009877AF" w:rsidRPr="007A3749">
        <w:t xml:space="preserve">o vliv přecenění opčního akciového plánu dosáhla </w:t>
      </w:r>
      <w:r w:rsidR="006F5012">
        <w:t>ve druhém</w:t>
      </w:r>
      <w:r w:rsidR="00D73DC3" w:rsidRPr="007A3749">
        <w:t xml:space="preserve"> </w:t>
      </w:r>
      <w:r w:rsidR="009877AF" w:rsidRPr="007A3749">
        <w:t>čtvrtletí roku 201</w:t>
      </w:r>
      <w:r w:rsidR="00D078AF">
        <w:t>6</w:t>
      </w:r>
      <w:r w:rsidR="009877AF" w:rsidRPr="007A3749">
        <w:t xml:space="preserve"> 2</w:t>
      </w:r>
      <w:r w:rsidR="00D078AF">
        <w:t>2</w:t>
      </w:r>
      <w:r w:rsidR="009877AF" w:rsidRPr="007A3749">
        <w:t>,</w:t>
      </w:r>
      <w:r w:rsidR="00D078AF">
        <w:t>4</w:t>
      </w:r>
      <w:r w:rsidR="009877AF" w:rsidRPr="007A3749">
        <w:t xml:space="preserve"> %, tj. o </w:t>
      </w:r>
      <w:r w:rsidR="00D078AF">
        <w:t>1</w:t>
      </w:r>
      <w:r w:rsidR="009877AF" w:rsidRPr="007A3749">
        <w:t>,</w:t>
      </w:r>
      <w:r w:rsidR="00D078AF">
        <w:t>3</w:t>
      </w:r>
      <w:r w:rsidR="009877AF" w:rsidRPr="007A3749">
        <w:t xml:space="preserve"> procentního bodu více než ve stejném období roku 201</w:t>
      </w:r>
      <w:r w:rsidR="00D078AF">
        <w:t>5</w:t>
      </w:r>
      <w:r w:rsidR="009877AF" w:rsidRPr="007A3749">
        <w:t>.</w:t>
      </w:r>
    </w:p>
    <w:p w:rsidR="00DA10D5" w:rsidRPr="007A3749" w:rsidRDefault="00DA10D5" w:rsidP="007A3749">
      <w:pPr>
        <w:pStyle w:val="NormalWeb"/>
        <w:rPr>
          <w:highlight w:val="yellow"/>
        </w:rPr>
      </w:pPr>
      <w:r w:rsidRPr="007A3749">
        <w:lastRenderedPageBreak/>
        <w:t>Výsledky za první pololetí jsou v souladu s výhledem zveřejněným na počátku roku, ve kterém Společnost indikovala meziroční nárůst ukazatele EBITDA na hodnotu v rozmezí 4</w:t>
      </w:r>
      <w:r w:rsidR="00D078AF">
        <w:t>3</w:t>
      </w:r>
      <w:r w:rsidRPr="007A3749">
        <w:t>,0 až 4</w:t>
      </w:r>
      <w:r w:rsidR="00D078AF">
        <w:t>9</w:t>
      </w:r>
      <w:r w:rsidRPr="007A3749">
        <w:t>,</w:t>
      </w:r>
      <w:r w:rsidR="00D078AF">
        <w:t>0</w:t>
      </w:r>
      <w:r w:rsidRPr="007A3749">
        <w:t xml:space="preserve"> milionu EUR.</w:t>
      </w:r>
    </w:p>
    <w:p w:rsidR="004F2222" w:rsidRPr="00856740" w:rsidRDefault="004F2222" w:rsidP="00620C97">
      <w:pPr>
        <w:pStyle w:val="Heading4"/>
      </w:pPr>
      <w:r w:rsidRPr="00856740">
        <w:rPr>
          <w:rStyle w:val="Emphasis"/>
          <w:i w:val="0"/>
          <w:iCs w:val="0"/>
        </w:rPr>
        <w:t>Provozní náklady</w:t>
      </w:r>
    </w:p>
    <w:p w:rsidR="004F2222" w:rsidRPr="007A3749" w:rsidRDefault="004F2222" w:rsidP="007A3749">
      <w:pPr>
        <w:pStyle w:val="NormalWeb"/>
      </w:pPr>
      <w:r w:rsidRPr="007A3749">
        <w:t>Celková spotřeba materiál</w:t>
      </w:r>
      <w:r w:rsidR="00760D8D" w:rsidRPr="007A3749">
        <w:t>ů</w:t>
      </w:r>
      <w:r w:rsidRPr="007A3749">
        <w:t xml:space="preserve"> a ostatní spotřeba </w:t>
      </w:r>
      <w:r w:rsidR="00684B0E" w:rsidRPr="007A3749">
        <w:t xml:space="preserve">dosáhla </w:t>
      </w:r>
      <w:r w:rsidRPr="007A3749">
        <w:t>v první polo</w:t>
      </w:r>
      <w:r w:rsidR="001F1555" w:rsidRPr="007A3749">
        <w:t>vině</w:t>
      </w:r>
      <w:r w:rsidRPr="007A3749">
        <w:t xml:space="preserve"> </w:t>
      </w:r>
      <w:r w:rsidR="00A71503" w:rsidRPr="007A3749">
        <w:t xml:space="preserve">tohoto </w:t>
      </w:r>
      <w:r w:rsidRPr="007A3749">
        <w:t xml:space="preserve">roku </w:t>
      </w:r>
      <w:r w:rsidR="00EB2697">
        <w:t>76</w:t>
      </w:r>
      <w:r w:rsidR="00541DBF" w:rsidRPr="007A3749">
        <w:t>,</w:t>
      </w:r>
      <w:r w:rsidR="00EB2697">
        <w:t>8</w:t>
      </w:r>
      <w:r w:rsidRPr="007A3749">
        <w:t xml:space="preserve"> </w:t>
      </w:r>
      <w:r w:rsidR="0068261A" w:rsidRPr="007A3749">
        <w:t>milionu</w:t>
      </w:r>
      <w:r w:rsidRPr="007A3749">
        <w:t xml:space="preserve"> </w:t>
      </w:r>
      <w:r w:rsidR="00684B0E" w:rsidRPr="007A3749">
        <w:t>EUR</w:t>
      </w:r>
      <w:r w:rsidRPr="007A3749">
        <w:t xml:space="preserve">, tj. meziročně o </w:t>
      </w:r>
      <w:r w:rsidR="00EB2697">
        <w:t>5</w:t>
      </w:r>
      <w:r w:rsidR="000836B9" w:rsidRPr="007A3749">
        <w:t>,</w:t>
      </w:r>
      <w:r w:rsidR="00EB2697">
        <w:t>9 </w:t>
      </w:r>
      <w:r w:rsidRPr="007A3749">
        <w:t xml:space="preserve">% </w:t>
      </w:r>
      <w:r w:rsidR="002E2935" w:rsidRPr="007A3749">
        <w:t>méně</w:t>
      </w:r>
      <w:r w:rsidRPr="007A3749">
        <w:t>.</w:t>
      </w:r>
      <w:r w:rsidR="00E14480" w:rsidRPr="007A3749">
        <w:t xml:space="preserve"> </w:t>
      </w:r>
      <w:r w:rsidR="00376034" w:rsidRPr="007A3749">
        <w:t>V samotném druhém čtvrtletí 201</w:t>
      </w:r>
      <w:r w:rsidR="00EB2697">
        <w:t>6</w:t>
      </w:r>
      <w:r w:rsidR="00376034" w:rsidRPr="007A3749">
        <w:t xml:space="preserve"> tato položka činila </w:t>
      </w:r>
      <w:r w:rsidR="00541DBF" w:rsidRPr="007A3749">
        <w:t>3</w:t>
      </w:r>
      <w:r w:rsidR="00EB2697">
        <w:t>6</w:t>
      </w:r>
      <w:r w:rsidR="00541DBF" w:rsidRPr="007A3749">
        <w:t>,</w:t>
      </w:r>
      <w:r w:rsidR="00EB2697">
        <w:t>8</w:t>
      </w:r>
      <w:r w:rsidR="00376034" w:rsidRPr="007A3749">
        <w:t xml:space="preserve"> milionu EUR, což je o </w:t>
      </w:r>
      <w:r w:rsidR="00EB2697">
        <w:t>1</w:t>
      </w:r>
      <w:r w:rsidR="00541DBF" w:rsidRPr="007A3749">
        <w:t>,</w:t>
      </w:r>
      <w:r w:rsidR="00EB2697">
        <w:t>8</w:t>
      </w:r>
      <w:r w:rsidR="00376034" w:rsidRPr="007A3749">
        <w:t xml:space="preserve"> % </w:t>
      </w:r>
      <w:r w:rsidR="002E2935" w:rsidRPr="007A3749">
        <w:t xml:space="preserve">méně </w:t>
      </w:r>
      <w:r w:rsidR="00376034" w:rsidRPr="007A3749">
        <w:t xml:space="preserve">v porovnání se stejným obdobím minulého roku. </w:t>
      </w:r>
      <w:r w:rsidR="0001555E" w:rsidRPr="007A3749">
        <w:t xml:space="preserve">Hlavním faktorem </w:t>
      </w:r>
      <w:r w:rsidR="00376034" w:rsidRPr="007A3749">
        <w:t xml:space="preserve">pro </w:t>
      </w:r>
      <w:r w:rsidR="0001555E" w:rsidRPr="007A3749">
        <w:t xml:space="preserve">meziroční </w:t>
      </w:r>
      <w:r w:rsidR="002E2935" w:rsidRPr="007A3749">
        <w:t xml:space="preserve">pokles </w:t>
      </w:r>
      <w:r w:rsidR="0001555E" w:rsidRPr="007A3749">
        <w:t>byl</w:t>
      </w:r>
      <w:r w:rsidR="00A71503" w:rsidRPr="007A3749">
        <w:t>a</w:t>
      </w:r>
      <w:r w:rsidR="0001555E" w:rsidRPr="007A3749">
        <w:t xml:space="preserve"> </w:t>
      </w:r>
      <w:r w:rsidR="002E2935" w:rsidRPr="007A3749">
        <w:t>nižší nákupní cena polymerů v meziročním srovnání.</w:t>
      </w:r>
      <w:r w:rsidR="0001555E" w:rsidRPr="007A3749">
        <w:t xml:space="preserve"> </w:t>
      </w:r>
    </w:p>
    <w:p w:rsidR="00D21F88" w:rsidRPr="007A3749" w:rsidRDefault="004F2222" w:rsidP="007A3749">
      <w:pPr>
        <w:pStyle w:val="NormalWeb"/>
      </w:pPr>
      <w:r w:rsidRPr="007A3749">
        <w:t xml:space="preserve">Celkové osobní náklady dosáhly </w:t>
      </w:r>
      <w:r w:rsidR="00684B0E" w:rsidRPr="007A3749">
        <w:t xml:space="preserve">v prvním </w:t>
      </w:r>
      <w:r w:rsidR="00DC6CBA" w:rsidRPr="007A3749">
        <w:t>pololetí</w:t>
      </w:r>
      <w:r w:rsidR="00684B0E" w:rsidRPr="007A3749">
        <w:t xml:space="preserve"> </w:t>
      </w:r>
      <w:r w:rsidR="00A15E00" w:rsidRPr="007A3749">
        <w:t>201</w:t>
      </w:r>
      <w:r w:rsidR="00EB2697">
        <w:t>6</w:t>
      </w:r>
      <w:r w:rsidR="004A1657" w:rsidRPr="007A3749">
        <w:t xml:space="preserve"> </w:t>
      </w:r>
      <w:r w:rsidR="00EB2697">
        <w:t>6</w:t>
      </w:r>
      <w:r w:rsidR="0001555E" w:rsidRPr="007A3749">
        <w:t>,</w:t>
      </w:r>
      <w:r w:rsidR="00EB2697">
        <w:t>2</w:t>
      </w:r>
      <w:r w:rsidR="0068261A" w:rsidRPr="007A3749">
        <w:t xml:space="preserve"> milionu</w:t>
      </w:r>
      <w:r w:rsidRPr="007A3749">
        <w:t xml:space="preserve"> </w:t>
      </w:r>
      <w:r w:rsidR="00684B0E" w:rsidRPr="007A3749">
        <w:t>EUR</w:t>
      </w:r>
      <w:r w:rsidRPr="007A3749">
        <w:t xml:space="preserve">, tj. meziročně o </w:t>
      </w:r>
      <w:r w:rsidR="00EB2697">
        <w:t>18</w:t>
      </w:r>
      <w:r w:rsidR="0001555E" w:rsidRPr="007A3749">
        <w:t>,</w:t>
      </w:r>
      <w:r w:rsidR="008C0748" w:rsidRPr="007A3749">
        <w:t>7</w:t>
      </w:r>
      <w:r w:rsidR="00BF4531" w:rsidRPr="007A3749">
        <w:t xml:space="preserve"> </w:t>
      </w:r>
      <w:r w:rsidRPr="007A3749">
        <w:t xml:space="preserve">% </w:t>
      </w:r>
      <w:r w:rsidR="00EB2697">
        <w:t>méně</w:t>
      </w:r>
      <w:r w:rsidRPr="007A3749">
        <w:t xml:space="preserve">. </w:t>
      </w:r>
      <w:r w:rsidR="002700CB" w:rsidRPr="007A3749">
        <w:t>Na meziroční</w:t>
      </w:r>
      <w:r w:rsidR="00360D9E" w:rsidRPr="007A3749">
        <w:t xml:space="preserve"> srovnání osobních nákladů </w:t>
      </w:r>
      <w:r w:rsidR="002700CB" w:rsidRPr="007A3749">
        <w:t xml:space="preserve">měl největší vliv </w:t>
      </w:r>
      <w:r w:rsidR="00EB2697">
        <w:t xml:space="preserve">dopad z </w:t>
      </w:r>
      <w:r w:rsidR="002700CB" w:rsidRPr="007A3749">
        <w:t xml:space="preserve">přecenění opčního akciového plánu. Osobní náklady </w:t>
      </w:r>
      <w:r w:rsidR="0030132C" w:rsidRPr="007A3749">
        <w:t xml:space="preserve">upravené </w:t>
      </w:r>
      <w:r w:rsidR="002700CB" w:rsidRPr="007A3749">
        <w:t>o tento vliv činily v prvním pololetí 201</w:t>
      </w:r>
      <w:r w:rsidR="00EB2697">
        <w:t>6</w:t>
      </w:r>
      <w:r w:rsidR="002700CB" w:rsidRPr="007A3749">
        <w:t xml:space="preserve"> 5,</w:t>
      </w:r>
      <w:r w:rsidR="00C8380E">
        <w:t>7</w:t>
      </w:r>
      <w:r w:rsidR="00C9092A">
        <w:t> </w:t>
      </w:r>
      <w:r w:rsidR="002700CB" w:rsidRPr="007A3749">
        <w:t xml:space="preserve">milionu EUR. </w:t>
      </w:r>
      <w:r w:rsidR="000B242D" w:rsidRPr="007A3749">
        <w:t xml:space="preserve">V samotném druhém čtvrtletí osobní náklady </w:t>
      </w:r>
      <w:r w:rsidR="00DA10D5" w:rsidRPr="007A3749">
        <w:t xml:space="preserve">v důsledku přecenění opčního akciového plánu </w:t>
      </w:r>
      <w:r w:rsidR="00EB2697">
        <w:t xml:space="preserve">poklesly </w:t>
      </w:r>
      <w:r w:rsidR="000B242D" w:rsidRPr="007A3749">
        <w:t xml:space="preserve">o </w:t>
      </w:r>
      <w:r w:rsidR="00EB2697">
        <w:t>23</w:t>
      </w:r>
      <w:r w:rsidR="00925D6F" w:rsidRPr="007A3749">
        <w:t>,</w:t>
      </w:r>
      <w:r w:rsidR="00EB2697">
        <w:t>3</w:t>
      </w:r>
      <w:r w:rsidR="000B242D" w:rsidRPr="007A3749">
        <w:t xml:space="preserve"> % na </w:t>
      </w:r>
      <w:r w:rsidR="00EB2697">
        <w:t>3</w:t>
      </w:r>
      <w:r w:rsidR="002700CB" w:rsidRPr="007A3749">
        <w:t>,</w:t>
      </w:r>
      <w:r w:rsidR="00EB2697">
        <w:t>2</w:t>
      </w:r>
      <w:r w:rsidR="000B242D" w:rsidRPr="007A3749">
        <w:t xml:space="preserve"> milionu EUR</w:t>
      </w:r>
      <w:r w:rsidR="00484615" w:rsidRPr="007A3749">
        <w:t xml:space="preserve">. </w:t>
      </w:r>
      <w:r w:rsidR="00360D9E" w:rsidRPr="007A3749">
        <w:t xml:space="preserve"> </w:t>
      </w:r>
      <w:r w:rsidR="00484615" w:rsidRPr="007A3749">
        <w:t xml:space="preserve">Osobní náklady </w:t>
      </w:r>
      <w:r w:rsidR="0030132C" w:rsidRPr="007A3749">
        <w:t xml:space="preserve">upravené </w:t>
      </w:r>
      <w:r w:rsidR="00484615" w:rsidRPr="007A3749">
        <w:t xml:space="preserve">o </w:t>
      </w:r>
      <w:r w:rsidR="00E43151" w:rsidRPr="007A3749">
        <w:t xml:space="preserve">tento </w:t>
      </w:r>
      <w:r w:rsidR="00484615" w:rsidRPr="007A3749">
        <w:t xml:space="preserve">vliv činily </w:t>
      </w:r>
      <w:r w:rsidR="006F5012">
        <w:t>ve druhém</w:t>
      </w:r>
      <w:r w:rsidR="00484615" w:rsidRPr="007A3749">
        <w:t xml:space="preserve"> čtvrtletí 201</w:t>
      </w:r>
      <w:r w:rsidR="00EB2697">
        <w:t>6</w:t>
      </w:r>
      <w:r w:rsidR="00484615" w:rsidRPr="007A3749">
        <w:t xml:space="preserve"> 2,</w:t>
      </w:r>
      <w:r w:rsidR="00EB2697">
        <w:t>8</w:t>
      </w:r>
      <w:r w:rsidR="00484615" w:rsidRPr="007A3749">
        <w:t xml:space="preserve"> milionu EUR</w:t>
      </w:r>
      <w:r w:rsidR="000B242D" w:rsidRPr="007A3749">
        <w:t xml:space="preserve">. </w:t>
      </w:r>
    </w:p>
    <w:p w:rsidR="0081287F" w:rsidRPr="007A3749" w:rsidRDefault="0081287F" w:rsidP="007A3749">
      <w:pPr>
        <w:pStyle w:val="NormalWeb"/>
      </w:pPr>
      <w:r w:rsidRPr="007A3749">
        <w:t xml:space="preserve">Ostatní provozní </w:t>
      </w:r>
      <w:r w:rsidR="00057110" w:rsidRPr="007A3749">
        <w:t>náklady</w:t>
      </w:r>
      <w:r w:rsidR="00D84DCF" w:rsidRPr="007A3749">
        <w:t xml:space="preserve"> </w:t>
      </w:r>
      <w:r w:rsidRPr="007A3749">
        <w:t>(</w:t>
      </w:r>
      <w:r w:rsidR="006A45C3" w:rsidRPr="007A3749">
        <w:t>netto</w:t>
      </w:r>
      <w:r w:rsidRPr="007A3749">
        <w:t xml:space="preserve">) dosáhly </w:t>
      </w:r>
      <w:r w:rsidR="0018302F" w:rsidRPr="007A3749">
        <w:t xml:space="preserve">v první polovině </w:t>
      </w:r>
      <w:r w:rsidR="001147EC" w:rsidRPr="007A3749">
        <w:t xml:space="preserve">tohoto </w:t>
      </w:r>
      <w:r w:rsidR="0018302F" w:rsidRPr="007A3749">
        <w:t xml:space="preserve">roku </w:t>
      </w:r>
      <w:r w:rsidR="006452BC" w:rsidRPr="007A3749">
        <w:t>0,</w:t>
      </w:r>
      <w:r w:rsidR="00484615" w:rsidRPr="007A3749">
        <w:t>9</w:t>
      </w:r>
      <w:r w:rsidR="009E633A" w:rsidRPr="007A3749">
        <w:t xml:space="preserve"> </w:t>
      </w:r>
      <w:r w:rsidR="0068261A" w:rsidRPr="007A3749">
        <w:t>milionu</w:t>
      </w:r>
      <w:r w:rsidR="002E44BD" w:rsidRPr="007A3749">
        <w:t xml:space="preserve"> </w:t>
      </w:r>
      <w:r w:rsidR="00684B0E" w:rsidRPr="007A3749">
        <w:t>EUR</w:t>
      </w:r>
      <w:r w:rsidR="00811F33">
        <w:t>, což představuje srovnatelnou částku se stejným obdobím roku 2015</w:t>
      </w:r>
      <w:r w:rsidR="00F6304E" w:rsidRPr="007A3749">
        <w:t xml:space="preserve">. </w:t>
      </w:r>
      <w:r w:rsidR="005F221E" w:rsidRPr="007A3749">
        <w:t xml:space="preserve">Ve druhém čtvrtletí </w:t>
      </w:r>
      <w:r w:rsidR="00057110" w:rsidRPr="007A3749">
        <w:t>201</w:t>
      </w:r>
      <w:r w:rsidR="007A22DC">
        <w:t>6</w:t>
      </w:r>
      <w:r w:rsidR="009E633A" w:rsidRPr="007A3749">
        <w:t xml:space="preserve"> </w:t>
      </w:r>
      <w:r w:rsidR="00DC6CBA" w:rsidRPr="007A3749">
        <w:t xml:space="preserve">dosáhly ostatní provozní </w:t>
      </w:r>
      <w:r w:rsidR="00057110" w:rsidRPr="007A3749">
        <w:t>náklady</w:t>
      </w:r>
      <w:r w:rsidR="00D84DCF" w:rsidRPr="007A3749">
        <w:t xml:space="preserve"> </w:t>
      </w:r>
      <w:r w:rsidR="00DC6CBA" w:rsidRPr="007A3749">
        <w:t>(</w:t>
      </w:r>
      <w:r w:rsidR="006A45C3" w:rsidRPr="007A3749">
        <w:t>netto</w:t>
      </w:r>
      <w:r w:rsidR="00DC6CBA" w:rsidRPr="007A3749">
        <w:t xml:space="preserve">) </w:t>
      </w:r>
      <w:r w:rsidR="006A45C3" w:rsidRPr="007A3749">
        <w:t>částky</w:t>
      </w:r>
      <w:r w:rsidR="00DC6CBA" w:rsidRPr="007A3749">
        <w:t xml:space="preserve"> </w:t>
      </w:r>
      <w:r w:rsidR="006452BC" w:rsidRPr="007A3749">
        <w:t>0,</w:t>
      </w:r>
      <w:r w:rsidR="007A22DC">
        <w:t>4</w:t>
      </w:r>
      <w:r w:rsidR="009E633A" w:rsidRPr="007A3749">
        <w:t xml:space="preserve"> </w:t>
      </w:r>
      <w:r w:rsidR="0068261A" w:rsidRPr="007A3749">
        <w:t>milionu</w:t>
      </w:r>
      <w:r w:rsidR="00DC6CBA" w:rsidRPr="007A3749">
        <w:t xml:space="preserve"> EUR</w:t>
      </w:r>
      <w:r w:rsidR="00057110" w:rsidRPr="007A3749">
        <w:t>.</w:t>
      </w:r>
    </w:p>
    <w:p w:rsidR="004F2222" w:rsidRPr="002C2EF0" w:rsidRDefault="0081287F" w:rsidP="00620C97">
      <w:pPr>
        <w:pStyle w:val="Heading4"/>
      </w:pPr>
      <w:r w:rsidRPr="002C2EF0">
        <w:rPr>
          <w:rStyle w:val="Strong"/>
          <w:b/>
        </w:rPr>
        <w:t>Odpisy</w:t>
      </w:r>
    </w:p>
    <w:p w:rsidR="00640BDC" w:rsidRPr="007A3749" w:rsidRDefault="0081287F" w:rsidP="007A3749">
      <w:pPr>
        <w:pStyle w:val="NormalWeb"/>
      </w:pPr>
      <w:r w:rsidRPr="007A3749">
        <w:t xml:space="preserve">Konsolidované odpisy </w:t>
      </w:r>
      <w:r w:rsidR="002C6FFF" w:rsidRPr="007A3749">
        <w:t xml:space="preserve">činily </w:t>
      </w:r>
      <w:r w:rsidR="00684B0E" w:rsidRPr="007A3749">
        <w:t xml:space="preserve">v první polovině </w:t>
      </w:r>
      <w:r w:rsidR="000B6EFA" w:rsidRPr="007A3749">
        <w:t xml:space="preserve">roku </w:t>
      </w:r>
      <w:r w:rsidR="00B57F03" w:rsidRPr="007A3749">
        <w:t>201</w:t>
      </w:r>
      <w:r w:rsidR="007A22DC">
        <w:t>6</w:t>
      </w:r>
      <w:r w:rsidR="009E633A" w:rsidRPr="007A3749">
        <w:t xml:space="preserve"> </w:t>
      </w:r>
      <w:r w:rsidR="007A22DC">
        <w:t>8,1</w:t>
      </w:r>
      <w:r w:rsidR="00881E5F" w:rsidRPr="007A3749">
        <w:t xml:space="preserve"> </w:t>
      </w:r>
      <w:r w:rsidR="0068261A" w:rsidRPr="007A3749">
        <w:t>milionu</w:t>
      </w:r>
      <w:r w:rsidRPr="007A3749">
        <w:t xml:space="preserve"> </w:t>
      </w:r>
      <w:r w:rsidR="00684B0E" w:rsidRPr="007A3749">
        <w:t>EUR</w:t>
      </w:r>
      <w:r w:rsidRPr="007A3749">
        <w:t xml:space="preserve">, </w:t>
      </w:r>
      <w:r w:rsidR="00BE415F" w:rsidRPr="007A3749">
        <w:t xml:space="preserve">meziročně </w:t>
      </w:r>
      <w:r w:rsidRPr="007A3749">
        <w:t xml:space="preserve">o </w:t>
      </w:r>
      <w:r w:rsidR="007A22DC">
        <w:t>2</w:t>
      </w:r>
      <w:r w:rsidR="00446779" w:rsidRPr="007A3749">
        <w:t>,</w:t>
      </w:r>
      <w:r w:rsidR="007A22DC">
        <w:t>2</w:t>
      </w:r>
      <w:r w:rsidR="00484615" w:rsidRPr="007A3749">
        <w:t> </w:t>
      </w:r>
      <w:r w:rsidRPr="007A3749">
        <w:t xml:space="preserve">% </w:t>
      </w:r>
      <w:r w:rsidR="002C6FFF" w:rsidRPr="007A3749">
        <w:t>více</w:t>
      </w:r>
      <w:r w:rsidR="00BE415F" w:rsidRPr="007A3749">
        <w:t xml:space="preserve">. </w:t>
      </w:r>
      <w:r w:rsidR="000B6EFA" w:rsidRPr="007A3749">
        <w:t xml:space="preserve">V samotném </w:t>
      </w:r>
      <w:r w:rsidR="000B6EFA" w:rsidRPr="007A3749">
        <w:lastRenderedPageBreak/>
        <w:t>druhém čtvrtletí tohoto roku</w:t>
      </w:r>
      <w:r w:rsidR="00B57F03" w:rsidRPr="007A3749">
        <w:t xml:space="preserve"> činily odpisy </w:t>
      </w:r>
      <w:r w:rsidR="007A22DC">
        <w:t>4</w:t>
      </w:r>
      <w:r w:rsidR="00446779" w:rsidRPr="007A3749">
        <w:t>,</w:t>
      </w:r>
      <w:r w:rsidR="007A22DC">
        <w:t>0</w:t>
      </w:r>
      <w:r w:rsidR="000B6EFA" w:rsidRPr="007A3749">
        <w:t xml:space="preserve"> milion</w:t>
      </w:r>
      <w:r w:rsidR="0099117E" w:rsidRPr="007A3749">
        <w:t>u</w:t>
      </w:r>
      <w:r w:rsidR="000B6EFA" w:rsidRPr="007A3749">
        <w:t xml:space="preserve"> EUR, meziročně o </w:t>
      </w:r>
      <w:r w:rsidR="007A22DC">
        <w:t>2,8</w:t>
      </w:r>
      <w:r w:rsidR="000B6EFA" w:rsidRPr="007A3749">
        <w:t xml:space="preserve"> % </w:t>
      </w:r>
      <w:r w:rsidR="00131434" w:rsidRPr="007A3749">
        <w:t>více</w:t>
      </w:r>
      <w:r w:rsidR="000B6EFA" w:rsidRPr="007A3749">
        <w:t>.</w:t>
      </w:r>
      <w:r w:rsidR="00B57F03" w:rsidRPr="007A3749">
        <w:t xml:space="preserve"> </w:t>
      </w:r>
      <w:r w:rsidR="007A22DC">
        <w:t xml:space="preserve">Za mírným nárůstem odpisů stálo zejména meziroční posílení </w:t>
      </w:r>
      <w:r w:rsidR="004F3019">
        <w:t>koruny proti EUR</w:t>
      </w:r>
      <w:r w:rsidR="007A22DC">
        <w:t>.</w:t>
      </w:r>
    </w:p>
    <w:p w:rsidR="004F2222" w:rsidRPr="00856740" w:rsidRDefault="00BF1BEC" w:rsidP="00620C97">
      <w:pPr>
        <w:pStyle w:val="Heading4"/>
      </w:pPr>
      <w:r w:rsidRPr="00856740">
        <w:rPr>
          <w:rStyle w:val="Strong"/>
          <w:b/>
          <w:bCs w:val="0"/>
        </w:rPr>
        <w:t>Provozní výsledek</w:t>
      </w:r>
    </w:p>
    <w:p w:rsidR="00A61B34" w:rsidRPr="007A3749" w:rsidRDefault="00BF1BEC" w:rsidP="007A3749">
      <w:pPr>
        <w:pStyle w:val="NormalWeb"/>
      </w:pPr>
      <w:r w:rsidRPr="007A3749">
        <w:t xml:space="preserve">V první polovině roku </w:t>
      </w:r>
      <w:r w:rsidR="00640BDC" w:rsidRPr="007A3749">
        <w:t>201</w:t>
      </w:r>
      <w:r w:rsidR="004F3019">
        <w:t>6</w:t>
      </w:r>
      <w:r w:rsidR="009E633A" w:rsidRPr="007A3749">
        <w:t xml:space="preserve"> </w:t>
      </w:r>
      <w:r w:rsidR="00290B54" w:rsidRPr="007A3749">
        <w:t xml:space="preserve">činil </w:t>
      </w:r>
      <w:r w:rsidRPr="007A3749">
        <w:t xml:space="preserve">provozní výsledek hospodaření (EBIT) </w:t>
      </w:r>
      <w:r w:rsidR="00F178E6" w:rsidRPr="007A3749">
        <w:t>1</w:t>
      </w:r>
      <w:r w:rsidR="004F3019">
        <w:t>4</w:t>
      </w:r>
      <w:r w:rsidR="00F178E6" w:rsidRPr="007A3749">
        <w:t>,</w:t>
      </w:r>
      <w:r w:rsidR="004F3019">
        <w:t>7</w:t>
      </w:r>
      <w:r w:rsidRPr="007A3749">
        <w:t xml:space="preserve"> milion</w:t>
      </w:r>
      <w:r w:rsidR="0068261A" w:rsidRPr="007A3749">
        <w:t>u</w:t>
      </w:r>
      <w:r w:rsidRPr="007A3749">
        <w:t xml:space="preserve"> </w:t>
      </w:r>
      <w:r w:rsidR="00684B0E" w:rsidRPr="007A3749">
        <w:t>EUR</w:t>
      </w:r>
      <w:r w:rsidRPr="007A3749">
        <w:t xml:space="preserve">, o </w:t>
      </w:r>
      <w:r w:rsidR="00680B83" w:rsidRPr="007A3749">
        <w:t>7</w:t>
      </w:r>
      <w:r w:rsidR="00A455DF" w:rsidRPr="007A3749">
        <w:t>,</w:t>
      </w:r>
      <w:r w:rsidR="004F3019">
        <w:t>9</w:t>
      </w:r>
      <w:r w:rsidRPr="007A3749">
        <w:t xml:space="preserve"> % </w:t>
      </w:r>
      <w:r w:rsidR="004F3019">
        <w:t xml:space="preserve">více </w:t>
      </w:r>
      <w:r w:rsidRPr="007A3749">
        <w:t>n</w:t>
      </w:r>
      <w:r w:rsidR="00290B54" w:rsidRPr="007A3749">
        <w:t>ež</w:t>
      </w:r>
      <w:r w:rsidRPr="007A3749">
        <w:t xml:space="preserve"> ve stejn</w:t>
      </w:r>
      <w:r w:rsidR="00066B8A" w:rsidRPr="007A3749">
        <w:t>é</w:t>
      </w:r>
      <w:r w:rsidRPr="007A3749">
        <w:t>m o</w:t>
      </w:r>
      <w:r w:rsidR="00640BDC" w:rsidRPr="007A3749">
        <w:t>bdobí roku 201</w:t>
      </w:r>
      <w:r w:rsidR="004F3019">
        <w:t>5</w:t>
      </w:r>
      <w:r w:rsidR="002A6E0D" w:rsidRPr="007A3749">
        <w:t xml:space="preserve">. </w:t>
      </w:r>
    </w:p>
    <w:p w:rsidR="00881E5F" w:rsidRDefault="00881E5F" w:rsidP="007A3749">
      <w:pPr>
        <w:pStyle w:val="NormalWeb"/>
      </w:pPr>
      <w:r w:rsidRPr="007A3749">
        <w:t xml:space="preserve">Ve druhém čtvrtletí </w:t>
      </w:r>
      <w:r w:rsidR="001755D6" w:rsidRPr="007A3749">
        <w:t xml:space="preserve">roku </w:t>
      </w:r>
      <w:r w:rsidR="00F178E6" w:rsidRPr="007A3749">
        <w:t>201</w:t>
      </w:r>
      <w:r w:rsidR="004F3019">
        <w:t>6</w:t>
      </w:r>
      <w:r w:rsidR="009E633A" w:rsidRPr="007A3749">
        <w:t xml:space="preserve"> </w:t>
      </w:r>
      <w:r w:rsidRPr="007A3749">
        <w:t xml:space="preserve">provozní zisk (EBIT) </w:t>
      </w:r>
      <w:r w:rsidR="001B4D0D" w:rsidRPr="007A3749">
        <w:t xml:space="preserve">v meziročním srovnání </w:t>
      </w:r>
      <w:r w:rsidR="004F3019">
        <w:t xml:space="preserve">vzrostl </w:t>
      </w:r>
      <w:r w:rsidR="00680B83" w:rsidRPr="007A3749">
        <w:t xml:space="preserve">na </w:t>
      </w:r>
      <w:r w:rsidR="004F3019">
        <w:t>7</w:t>
      </w:r>
      <w:r w:rsidR="00680B83" w:rsidRPr="007A3749">
        <w:t>,</w:t>
      </w:r>
      <w:r w:rsidR="004F3019">
        <w:t>2</w:t>
      </w:r>
      <w:r w:rsidR="00680B83" w:rsidRPr="007A3749">
        <w:t xml:space="preserve"> milionu EUR, tj. </w:t>
      </w:r>
      <w:r w:rsidR="00C83E10" w:rsidRPr="007A3749">
        <w:t xml:space="preserve">meziročně </w:t>
      </w:r>
      <w:r w:rsidR="00680B83" w:rsidRPr="007A3749">
        <w:t xml:space="preserve">o </w:t>
      </w:r>
      <w:r w:rsidR="004F3019">
        <w:t>43</w:t>
      </w:r>
      <w:r w:rsidR="00680B83" w:rsidRPr="007A3749">
        <w:t>,</w:t>
      </w:r>
      <w:r w:rsidR="004F3019">
        <w:t>3</w:t>
      </w:r>
      <w:r w:rsidR="00680B83" w:rsidRPr="007A3749">
        <w:t xml:space="preserve"> %</w:t>
      </w:r>
      <w:r w:rsidRPr="007A3749">
        <w:t>.</w:t>
      </w:r>
    </w:p>
    <w:p w:rsidR="00811F33" w:rsidRPr="007A3749" w:rsidRDefault="00811F33" w:rsidP="007A3749">
      <w:pPr>
        <w:pStyle w:val="NormalWeb"/>
      </w:pPr>
      <w:r>
        <w:t>Nejvýznamnější vliv na provozní výsledek v meziročním srovnání představovalo přecenění opčního akciového programu.</w:t>
      </w:r>
    </w:p>
    <w:p w:rsidR="004F2222" w:rsidRPr="00856740" w:rsidRDefault="00BF1BEC" w:rsidP="00620C97">
      <w:pPr>
        <w:pStyle w:val="Heading4"/>
        <w:rPr>
          <w:rStyle w:val="Strong"/>
          <w:b/>
          <w:bCs w:val="0"/>
        </w:rPr>
      </w:pPr>
      <w:r w:rsidRPr="00856740">
        <w:rPr>
          <w:rStyle w:val="Strong"/>
          <w:b/>
          <w:bCs w:val="0"/>
        </w:rPr>
        <w:t xml:space="preserve">Finanční </w:t>
      </w:r>
      <w:r w:rsidR="00823538" w:rsidRPr="00856740">
        <w:rPr>
          <w:rStyle w:val="Strong"/>
          <w:b/>
          <w:bCs w:val="0"/>
        </w:rPr>
        <w:t>výnosy</w:t>
      </w:r>
      <w:r w:rsidRPr="00856740">
        <w:rPr>
          <w:rStyle w:val="Strong"/>
          <w:b/>
          <w:bCs w:val="0"/>
        </w:rPr>
        <w:t xml:space="preserve"> a náklady</w:t>
      </w:r>
    </w:p>
    <w:p w:rsidR="00357AC0" w:rsidRPr="007A3749" w:rsidRDefault="00823538" w:rsidP="007A3749">
      <w:pPr>
        <w:pStyle w:val="NormalWeb"/>
        <w:rPr>
          <w:highlight w:val="yellow"/>
        </w:rPr>
      </w:pPr>
      <w:r w:rsidRPr="007A3749">
        <w:t xml:space="preserve">V první polovině roku </w:t>
      </w:r>
      <w:r w:rsidR="002A26B6" w:rsidRPr="007A3749">
        <w:t>201</w:t>
      </w:r>
      <w:r w:rsidR="004F3019">
        <w:t>6</w:t>
      </w:r>
      <w:r w:rsidR="00BC1DB5" w:rsidRPr="007A3749">
        <w:t xml:space="preserve"> </w:t>
      </w:r>
      <w:r w:rsidRPr="007A3749">
        <w:t>dosáhly kurzové zisky a ostatní finanční výnosy</w:t>
      </w:r>
      <w:r w:rsidR="00050C7B" w:rsidRPr="007A3749">
        <w:t>/náklady</w:t>
      </w:r>
      <w:r w:rsidRPr="007A3749">
        <w:t xml:space="preserve"> (</w:t>
      </w:r>
      <w:r w:rsidR="006A45C3" w:rsidRPr="007A3749">
        <w:t>netto</w:t>
      </w:r>
      <w:r w:rsidRPr="007A3749">
        <w:t xml:space="preserve">) </w:t>
      </w:r>
      <w:r w:rsidR="005928EA">
        <w:t>náklad</w:t>
      </w:r>
      <w:r w:rsidR="001B4D0D" w:rsidRPr="007A3749">
        <w:t xml:space="preserve"> </w:t>
      </w:r>
      <w:r w:rsidR="004F3019">
        <w:t>2</w:t>
      </w:r>
      <w:r w:rsidR="001B4D0D" w:rsidRPr="007A3749">
        <w:t>,</w:t>
      </w:r>
      <w:r w:rsidR="004F3019">
        <w:t>0</w:t>
      </w:r>
      <w:r w:rsidR="00052298" w:rsidRPr="007A3749">
        <w:t xml:space="preserve"> </w:t>
      </w:r>
      <w:r w:rsidR="0068261A" w:rsidRPr="007A3749">
        <w:t>milionu</w:t>
      </w:r>
      <w:r w:rsidRPr="007A3749">
        <w:t xml:space="preserve"> </w:t>
      </w:r>
      <w:r w:rsidR="00684B0E" w:rsidRPr="007A3749">
        <w:t>EUR</w:t>
      </w:r>
      <w:r w:rsidR="00E52725" w:rsidRPr="007A3749">
        <w:t xml:space="preserve">, </w:t>
      </w:r>
      <w:r w:rsidR="00A455DF" w:rsidRPr="007A3749">
        <w:t>v porovnání s</w:t>
      </w:r>
      <w:r w:rsidR="00C83E10" w:rsidRPr="007A3749">
        <w:t xml:space="preserve"> výnosem </w:t>
      </w:r>
      <w:r w:rsidR="004F3019">
        <w:t>8</w:t>
      </w:r>
      <w:r w:rsidR="00A455DF" w:rsidRPr="007A3749">
        <w:t>,</w:t>
      </w:r>
      <w:r w:rsidR="004F3019">
        <w:t>2</w:t>
      </w:r>
      <w:r w:rsidR="00A455DF" w:rsidRPr="007A3749">
        <w:t xml:space="preserve"> milionu EUR dosažen</w:t>
      </w:r>
      <w:r w:rsidR="00A72BA1" w:rsidRPr="007A3749">
        <w:t>ý</w:t>
      </w:r>
      <w:r w:rsidR="00A455DF" w:rsidRPr="007A3749">
        <w:t>m ve stejném období loňského roku</w:t>
      </w:r>
      <w:r w:rsidR="00357AC0" w:rsidRPr="007A3749">
        <w:t xml:space="preserve">. Tato položka </w:t>
      </w:r>
      <w:r w:rsidR="007C7F93" w:rsidRPr="007A3749">
        <w:t xml:space="preserve">představuje </w:t>
      </w:r>
      <w:r w:rsidR="00357AC0" w:rsidRPr="007A3749">
        <w:t>realizované a nerealizované kurzové zisky/ztráty</w:t>
      </w:r>
      <w:r w:rsidR="00050C7B" w:rsidRPr="007A3749">
        <w:t xml:space="preserve"> </w:t>
      </w:r>
      <w:r w:rsidR="00BC1DB5" w:rsidRPr="007A3749">
        <w:t>a</w:t>
      </w:r>
      <w:r w:rsidR="00357AC0" w:rsidRPr="007A3749">
        <w:t xml:space="preserve"> ostatní </w:t>
      </w:r>
      <w:r w:rsidR="006902A4" w:rsidRPr="007A3749">
        <w:t>finanční</w:t>
      </w:r>
      <w:r w:rsidR="00357AC0" w:rsidRPr="007A3749">
        <w:t xml:space="preserve"> výnosy a náklady.</w:t>
      </w:r>
      <w:r w:rsidR="005F221E" w:rsidRPr="007A3749">
        <w:t xml:space="preserve"> </w:t>
      </w:r>
      <w:r w:rsidR="004F3019" w:rsidRPr="004F3019">
        <w:t>Meziroční změna byla ovlivněna zejména vývojem kurzu dolaru vůči EUR, když dolar v prvním pololetí letošního roku oslabil o asi 2 %. Ve srovnatelném období loňského roku dolar vůči EUR posílil o téměř 8 %. Oslabení</w:t>
      </w:r>
      <w:r w:rsidR="005928EA">
        <w:t>/</w:t>
      </w:r>
      <w:r w:rsidR="004F3019" w:rsidRPr="004F3019">
        <w:t xml:space="preserve">posílení kurzu dolaru vůči EUR vede k nerealizovaným kurzovým </w:t>
      </w:r>
      <w:r w:rsidR="005928EA">
        <w:t xml:space="preserve">ztrátám/ziskům </w:t>
      </w:r>
      <w:r w:rsidR="004F3019" w:rsidRPr="004F3019">
        <w:t xml:space="preserve">souvisejícím s přeceněním rozvahových položek denominovaných v EUR a to zejména z titulu přecenění vnitropodnikové půjčky dceřiné společnosti v Egyptě. </w:t>
      </w:r>
      <w:r w:rsidR="00050C7B" w:rsidRPr="007A3749">
        <w:t>K</w:t>
      </w:r>
      <w:r w:rsidR="009F4E29" w:rsidRPr="007A3749">
        <w:t xml:space="preserve">urzové </w:t>
      </w:r>
      <w:r w:rsidR="00050C7B" w:rsidRPr="007A3749">
        <w:t>změny</w:t>
      </w:r>
      <w:r w:rsidR="009F4E29" w:rsidRPr="007A3749">
        <w:t xml:space="preserve"> a ostatní finanční výnosy</w:t>
      </w:r>
      <w:r w:rsidR="00050C7B" w:rsidRPr="007A3749">
        <w:t>/náklady</w:t>
      </w:r>
      <w:r w:rsidR="009F4E29" w:rsidRPr="007A3749">
        <w:t xml:space="preserve"> (</w:t>
      </w:r>
      <w:r w:rsidR="006A45C3" w:rsidRPr="007A3749">
        <w:t>netto</w:t>
      </w:r>
      <w:r w:rsidR="009F4E29" w:rsidRPr="007A3749">
        <w:t xml:space="preserve">) </w:t>
      </w:r>
      <w:r w:rsidR="00050C7B" w:rsidRPr="007A3749">
        <w:t>představovaly v samotném druhém čtvrtletí</w:t>
      </w:r>
      <w:r w:rsidR="00291CA6" w:rsidRPr="007A3749">
        <w:t xml:space="preserve"> </w:t>
      </w:r>
      <w:r w:rsidR="00050C7B" w:rsidRPr="007A3749">
        <w:t>roku</w:t>
      </w:r>
      <w:r w:rsidR="001105CE" w:rsidRPr="007A3749">
        <w:t xml:space="preserve"> </w:t>
      </w:r>
      <w:r w:rsidR="002A26B6" w:rsidRPr="007A3749">
        <w:t>201</w:t>
      </w:r>
      <w:r w:rsidR="005928EA">
        <w:t>6</w:t>
      </w:r>
      <w:r w:rsidR="00291CA6" w:rsidRPr="007A3749">
        <w:t xml:space="preserve"> </w:t>
      </w:r>
      <w:r w:rsidR="005928EA">
        <w:t>výnos 1</w:t>
      </w:r>
      <w:r w:rsidR="003035F5" w:rsidRPr="007A3749">
        <w:t>,</w:t>
      </w:r>
      <w:r w:rsidR="005928EA">
        <w:t>7</w:t>
      </w:r>
      <w:r w:rsidR="003035F5" w:rsidRPr="007A3749">
        <w:t xml:space="preserve"> milionu EUR </w:t>
      </w:r>
      <w:r w:rsidR="003035F5" w:rsidRPr="007A3749">
        <w:lastRenderedPageBreak/>
        <w:t xml:space="preserve">oproti </w:t>
      </w:r>
      <w:r w:rsidR="005928EA">
        <w:t>nákladu 0</w:t>
      </w:r>
      <w:r w:rsidR="001B4D0D" w:rsidRPr="007A3749">
        <w:t>,</w:t>
      </w:r>
      <w:r w:rsidR="005928EA">
        <w:t>3</w:t>
      </w:r>
      <w:r w:rsidR="009F4E29" w:rsidRPr="007A3749">
        <w:t xml:space="preserve"> milion</w:t>
      </w:r>
      <w:r w:rsidR="0068261A" w:rsidRPr="007A3749">
        <w:t>u</w:t>
      </w:r>
      <w:r w:rsidR="00432FEB" w:rsidRPr="007A3749">
        <w:t xml:space="preserve"> EUR</w:t>
      </w:r>
      <w:r w:rsidR="003035F5" w:rsidRPr="007A3749">
        <w:t xml:space="preserve"> ve srovnatelném období předchozího roku</w:t>
      </w:r>
      <w:r w:rsidR="00A455DF" w:rsidRPr="007A3749">
        <w:t>.</w:t>
      </w:r>
    </w:p>
    <w:p w:rsidR="007B3CEF" w:rsidRPr="007A3749" w:rsidRDefault="00357AC0" w:rsidP="005928EA">
      <w:pPr>
        <w:pStyle w:val="NormalWeb"/>
      </w:pPr>
      <w:r w:rsidRPr="007A3749">
        <w:t>Úrokové náklady (</w:t>
      </w:r>
      <w:r w:rsidR="006A45C3" w:rsidRPr="007A3749">
        <w:t>netto</w:t>
      </w:r>
      <w:r w:rsidRPr="007A3749">
        <w:t xml:space="preserve">) spojené s </w:t>
      </w:r>
      <w:r w:rsidR="00774E05" w:rsidRPr="007A3749">
        <w:t>obsluhou</w:t>
      </w:r>
      <w:r w:rsidR="007C7F93" w:rsidRPr="007A3749">
        <w:t xml:space="preserve"> </w:t>
      </w:r>
      <w:r w:rsidRPr="007A3749">
        <w:t>dluhu</w:t>
      </w:r>
      <w:r w:rsidR="007C7F93" w:rsidRPr="007A3749">
        <w:t xml:space="preserve"> činily </w:t>
      </w:r>
      <w:r w:rsidR="00290B54" w:rsidRPr="007A3749">
        <w:t xml:space="preserve">v první polovině </w:t>
      </w:r>
      <w:r w:rsidR="007B3CEF" w:rsidRPr="007A3749">
        <w:t xml:space="preserve">tohoto </w:t>
      </w:r>
      <w:r w:rsidR="00290B54" w:rsidRPr="007A3749">
        <w:t xml:space="preserve">roku </w:t>
      </w:r>
      <w:r w:rsidR="005928EA">
        <w:t>4</w:t>
      </w:r>
      <w:r w:rsidR="002A26B6" w:rsidRPr="007A3749">
        <w:t>,</w:t>
      </w:r>
      <w:r w:rsidR="005928EA">
        <w:t>1</w:t>
      </w:r>
      <w:r w:rsidR="00052298" w:rsidRPr="007A3749">
        <w:t xml:space="preserve"> </w:t>
      </w:r>
      <w:r w:rsidR="0068261A" w:rsidRPr="007A3749">
        <w:t>milionu</w:t>
      </w:r>
      <w:r w:rsidR="007C7F93" w:rsidRPr="007A3749">
        <w:t xml:space="preserve"> </w:t>
      </w:r>
      <w:r w:rsidR="00684B0E" w:rsidRPr="007A3749">
        <w:t>EUR</w:t>
      </w:r>
      <w:r w:rsidR="007C7F93" w:rsidRPr="007A3749">
        <w:t xml:space="preserve">, tj. o </w:t>
      </w:r>
      <w:r w:rsidR="003035F5" w:rsidRPr="007A3749">
        <w:t>1</w:t>
      </w:r>
      <w:r w:rsidR="005928EA">
        <w:t>7</w:t>
      </w:r>
      <w:r w:rsidR="00A455DF" w:rsidRPr="007A3749">
        <w:t>,</w:t>
      </w:r>
      <w:r w:rsidR="005928EA">
        <w:t>4</w:t>
      </w:r>
      <w:r w:rsidR="00A455DF" w:rsidRPr="007A3749">
        <w:t xml:space="preserve"> </w:t>
      </w:r>
      <w:r w:rsidR="007C7F93" w:rsidRPr="007A3749">
        <w:t xml:space="preserve">% </w:t>
      </w:r>
      <w:r w:rsidR="005928EA">
        <w:t xml:space="preserve">více </w:t>
      </w:r>
      <w:r w:rsidR="007C7F93" w:rsidRPr="007A3749">
        <w:t>ve srovn</w:t>
      </w:r>
      <w:r w:rsidR="00290B54" w:rsidRPr="007A3749">
        <w:t>ání se stejným obdobím roku</w:t>
      </w:r>
      <w:r w:rsidR="002A26B6" w:rsidRPr="007A3749">
        <w:t xml:space="preserve"> 201</w:t>
      </w:r>
      <w:r w:rsidR="005928EA">
        <w:t>5</w:t>
      </w:r>
      <w:r w:rsidR="007C7F93" w:rsidRPr="007A3749">
        <w:t xml:space="preserve">. </w:t>
      </w:r>
      <w:r w:rsidR="00BC4B7D" w:rsidRPr="007A3749">
        <w:t>Ve druhém čtvrtletí 201</w:t>
      </w:r>
      <w:r w:rsidR="005928EA">
        <w:t>6</w:t>
      </w:r>
      <w:r w:rsidR="00BC4B7D" w:rsidRPr="007A3749">
        <w:t xml:space="preserve"> dosáhly úrokové náklady (netto) hodnoty </w:t>
      </w:r>
      <w:r w:rsidR="005928EA">
        <w:t>2</w:t>
      </w:r>
      <w:r w:rsidR="00BC4B7D" w:rsidRPr="007A3749">
        <w:t>,</w:t>
      </w:r>
      <w:r w:rsidR="005928EA">
        <w:t>0</w:t>
      </w:r>
      <w:r w:rsidR="00BC4B7D" w:rsidRPr="007A3749">
        <w:t xml:space="preserve"> milionu EUR, o </w:t>
      </w:r>
      <w:r w:rsidR="003035F5" w:rsidRPr="007A3749">
        <w:t>15</w:t>
      </w:r>
      <w:r w:rsidR="0055740A" w:rsidRPr="007A3749">
        <w:t>,</w:t>
      </w:r>
      <w:r w:rsidR="005928EA">
        <w:t>9</w:t>
      </w:r>
      <w:r w:rsidR="00BC4B7D" w:rsidRPr="007A3749">
        <w:t xml:space="preserve"> % </w:t>
      </w:r>
      <w:r w:rsidR="005928EA">
        <w:t xml:space="preserve">více </w:t>
      </w:r>
      <w:r w:rsidR="00BC4B7D" w:rsidRPr="007A3749">
        <w:t xml:space="preserve">ve srovnání se stejným obdobím loňského roku. </w:t>
      </w:r>
      <w:r w:rsidR="005928EA">
        <w:t>Meziroční zvýšení úrokových nákladů bylo způsobeno vyšším objemem externího dluhu v</w:t>
      </w:r>
      <w:r w:rsidR="00634729">
        <w:t> </w:t>
      </w:r>
      <w:r w:rsidR="005928EA">
        <w:t>souvislosti</w:t>
      </w:r>
      <w:r w:rsidR="00634729">
        <w:t xml:space="preserve"> s</w:t>
      </w:r>
      <w:r w:rsidR="005928EA">
        <w:t xml:space="preserve"> refinancováním společnosti dlouhodobými dluhopisy se splatností sedm a deset let. Dále se do úrokových nákladů i přes splacení bankovních úvěrů </w:t>
      </w:r>
      <w:r w:rsidR="00634729">
        <w:t xml:space="preserve">stále </w:t>
      </w:r>
      <w:r w:rsidR="005928EA">
        <w:t>promít</w:t>
      </w:r>
      <w:r w:rsidR="00634729">
        <w:t>aly</w:t>
      </w:r>
      <w:r w:rsidR="005928EA">
        <w:t xml:space="preserve"> úroky z úrokových swapů, který dosáhly splatnosti v červnu 2016. </w:t>
      </w:r>
      <w:r w:rsidR="0055740A" w:rsidRPr="007A3749">
        <w:t xml:space="preserve"> </w:t>
      </w:r>
    </w:p>
    <w:p w:rsidR="004F2222" w:rsidRPr="00781223" w:rsidRDefault="00952495" w:rsidP="00620C97">
      <w:pPr>
        <w:pStyle w:val="Heading4"/>
      </w:pPr>
      <w:r w:rsidRPr="00781223">
        <w:t>Daň z příjm</w:t>
      </w:r>
      <w:r w:rsidR="00200660" w:rsidRPr="00781223">
        <w:t>ů</w:t>
      </w:r>
    </w:p>
    <w:p w:rsidR="006C0A86" w:rsidRPr="00DF67C4" w:rsidRDefault="00952495" w:rsidP="007A3749">
      <w:pPr>
        <w:pStyle w:val="NormalWeb"/>
      </w:pPr>
      <w:r w:rsidRPr="007A3749">
        <w:t xml:space="preserve">V první polovině </w:t>
      </w:r>
      <w:r w:rsidR="00064B52" w:rsidRPr="007A3749">
        <w:t xml:space="preserve">roku </w:t>
      </w:r>
      <w:r w:rsidR="00C031CC" w:rsidRPr="007A3749">
        <w:t>201</w:t>
      </w:r>
      <w:r w:rsidR="005928EA">
        <w:t>6</w:t>
      </w:r>
      <w:r w:rsidR="00C031CC" w:rsidRPr="007A3749">
        <w:t xml:space="preserve"> </w:t>
      </w:r>
      <w:r w:rsidRPr="007A3749">
        <w:t>činila daň z příjm</w:t>
      </w:r>
      <w:r w:rsidR="00200660" w:rsidRPr="007A3749">
        <w:t>ů</w:t>
      </w:r>
      <w:r w:rsidRPr="007A3749">
        <w:t xml:space="preserve"> </w:t>
      </w:r>
      <w:r w:rsidR="00BE6D86">
        <w:t>1,1</w:t>
      </w:r>
      <w:r w:rsidRPr="007A3749">
        <w:t xml:space="preserve"> milion</w:t>
      </w:r>
      <w:r w:rsidR="0086095E" w:rsidRPr="007A3749">
        <w:t>u</w:t>
      </w:r>
      <w:r w:rsidRPr="007A3749">
        <w:t xml:space="preserve"> </w:t>
      </w:r>
      <w:r w:rsidR="00055F93" w:rsidRPr="007A3749">
        <w:t>EUR</w:t>
      </w:r>
      <w:r w:rsidR="009F4E29" w:rsidRPr="007A3749">
        <w:t xml:space="preserve">, o </w:t>
      </w:r>
      <w:r w:rsidR="00BE6D86">
        <w:t>46,3</w:t>
      </w:r>
      <w:r w:rsidR="00865CEE" w:rsidRPr="007A3749">
        <w:t xml:space="preserve"> </w:t>
      </w:r>
      <w:r w:rsidR="009F4E29" w:rsidRPr="007A3749">
        <w:t xml:space="preserve">% </w:t>
      </w:r>
      <w:r w:rsidR="0024532C">
        <w:t xml:space="preserve">méně </w:t>
      </w:r>
      <w:r w:rsidR="009F4E29" w:rsidRPr="00DF67C4">
        <w:t>než ve</w:t>
      </w:r>
      <w:r w:rsidRPr="00DF67C4">
        <w:t xml:space="preserve"> stejné</w:t>
      </w:r>
      <w:r w:rsidR="00064B52" w:rsidRPr="00DF67C4">
        <w:t>m</w:t>
      </w:r>
      <w:r w:rsidR="00DA427D" w:rsidRPr="00DF67C4">
        <w:t xml:space="preserve"> období roku 201</w:t>
      </w:r>
      <w:r w:rsidR="0024532C" w:rsidRPr="00DF67C4">
        <w:t>5</w:t>
      </w:r>
      <w:r w:rsidRPr="00DF67C4">
        <w:t xml:space="preserve">. </w:t>
      </w:r>
      <w:r w:rsidR="00E5263E" w:rsidRPr="00DF67C4">
        <w:t xml:space="preserve">Splatná daň </w:t>
      </w:r>
      <w:r w:rsidR="00DF67C4" w:rsidRPr="00DF67C4">
        <w:t xml:space="preserve">dosáhla výše </w:t>
      </w:r>
      <w:r w:rsidR="00E5263E" w:rsidRPr="00DF67C4">
        <w:t>1,</w:t>
      </w:r>
      <w:r w:rsidR="00DF67C4" w:rsidRPr="00DF67C4">
        <w:t>5</w:t>
      </w:r>
      <w:r w:rsidR="00E5263E" w:rsidRPr="00DF67C4">
        <w:t xml:space="preserve"> milionu EUR, změna v odložené dani </w:t>
      </w:r>
      <w:r w:rsidR="00BE6D86">
        <w:t>představovala výnos 0,4 milionu EUR</w:t>
      </w:r>
      <w:r w:rsidR="00E5263E" w:rsidRPr="00DF67C4">
        <w:t>.</w:t>
      </w:r>
      <w:r w:rsidR="005057CB" w:rsidRPr="00DF67C4">
        <w:t xml:space="preserve"> </w:t>
      </w:r>
    </w:p>
    <w:p w:rsidR="00B27F36" w:rsidRPr="007A3749" w:rsidRDefault="005F221E" w:rsidP="007A3749">
      <w:pPr>
        <w:pStyle w:val="NormalWeb"/>
      </w:pPr>
      <w:r w:rsidRPr="00DF67C4">
        <w:t>V</w:t>
      </w:r>
      <w:r w:rsidR="00064B52" w:rsidRPr="00DF67C4">
        <w:t xml:space="preserve"> samotném</w:t>
      </w:r>
      <w:r w:rsidRPr="00DF67C4">
        <w:t xml:space="preserve"> druhém čtvrtletí </w:t>
      </w:r>
      <w:r w:rsidR="00C031CC" w:rsidRPr="00DF67C4">
        <w:t>201</w:t>
      </w:r>
      <w:r w:rsidR="0024532C" w:rsidRPr="00DF67C4">
        <w:t>6</w:t>
      </w:r>
      <w:r w:rsidR="00C031CC" w:rsidRPr="00DF67C4">
        <w:t xml:space="preserve"> </w:t>
      </w:r>
      <w:r w:rsidR="00BE6D86">
        <w:t xml:space="preserve">představoval </w:t>
      </w:r>
      <w:r w:rsidR="009F4E29" w:rsidRPr="00DF67C4">
        <w:t>daň z příjm</w:t>
      </w:r>
      <w:r w:rsidR="00200660" w:rsidRPr="00DF67C4">
        <w:t>ů</w:t>
      </w:r>
      <w:r w:rsidR="009F4E29" w:rsidRPr="00DF67C4">
        <w:t xml:space="preserve"> </w:t>
      </w:r>
      <w:r w:rsidR="00BE6D86">
        <w:t>výnos ve výši 0,2</w:t>
      </w:r>
      <w:r w:rsidR="009F4E29" w:rsidRPr="00DF67C4">
        <w:t xml:space="preserve"> milion</w:t>
      </w:r>
      <w:r w:rsidR="0086095E" w:rsidRPr="00DF67C4">
        <w:t>u</w:t>
      </w:r>
      <w:r w:rsidR="009F4E29" w:rsidRPr="00DF67C4">
        <w:t xml:space="preserve"> EUR.</w:t>
      </w:r>
      <w:r w:rsidR="00B27F36" w:rsidRPr="00DF67C4">
        <w:t xml:space="preserve"> Splatn</w:t>
      </w:r>
      <w:r w:rsidR="00370B2E" w:rsidRPr="00DF67C4">
        <w:t>á</w:t>
      </w:r>
      <w:r w:rsidR="00B27F36" w:rsidRPr="00DF67C4">
        <w:t xml:space="preserve"> daň činila ve druhém čtvrtletí 201</w:t>
      </w:r>
      <w:r w:rsidR="00DF67C4" w:rsidRPr="00DF67C4">
        <w:t>6</w:t>
      </w:r>
      <w:r w:rsidR="00B27F36" w:rsidRPr="00DF67C4">
        <w:t xml:space="preserve"> </w:t>
      </w:r>
      <w:r w:rsidR="005057CB" w:rsidRPr="00DF67C4">
        <w:t>0</w:t>
      </w:r>
      <w:r w:rsidR="00B27F36" w:rsidRPr="00DF67C4">
        <w:t>,</w:t>
      </w:r>
      <w:r w:rsidR="00DF67C4" w:rsidRPr="00DF67C4">
        <w:t>7</w:t>
      </w:r>
      <w:r w:rsidR="00B27F36" w:rsidRPr="00DF67C4">
        <w:t xml:space="preserve"> milionu EUR, zatímco změna v odložené dani </w:t>
      </w:r>
      <w:r w:rsidR="009844E3" w:rsidRPr="00DF67C4">
        <w:t xml:space="preserve">reprezentovala </w:t>
      </w:r>
      <w:r w:rsidR="00DF67C4" w:rsidRPr="00DF67C4">
        <w:t xml:space="preserve">výnos </w:t>
      </w:r>
      <w:r w:rsidR="009844E3" w:rsidRPr="00DF67C4">
        <w:t>0,</w:t>
      </w:r>
      <w:r w:rsidR="00BE6D86">
        <w:t>9</w:t>
      </w:r>
      <w:r w:rsidR="009844E3" w:rsidRPr="00DF67C4">
        <w:t xml:space="preserve"> milionu EUR</w:t>
      </w:r>
      <w:r w:rsidR="00B27F36" w:rsidRPr="00DF67C4">
        <w:t>.</w:t>
      </w:r>
    </w:p>
    <w:p w:rsidR="004F2222" w:rsidRPr="00781223" w:rsidRDefault="00D76825" w:rsidP="00620C97">
      <w:pPr>
        <w:pStyle w:val="Heading4"/>
      </w:pPr>
      <w:r w:rsidRPr="00781223">
        <w:t>Čistý zisk</w:t>
      </w:r>
      <w:r w:rsidR="004F2222" w:rsidRPr="00781223">
        <w:t xml:space="preserve"> </w:t>
      </w:r>
    </w:p>
    <w:p w:rsidR="00D76825" w:rsidRPr="007A3749" w:rsidRDefault="00D76825" w:rsidP="007A3749">
      <w:pPr>
        <w:pStyle w:val="NormalWeb"/>
      </w:pPr>
      <w:r w:rsidRPr="007A3749">
        <w:t xml:space="preserve">Čistý zisk dosáhl </w:t>
      </w:r>
      <w:r w:rsidR="008148DC" w:rsidRPr="007A3749">
        <w:t xml:space="preserve">v prvním pololetí </w:t>
      </w:r>
      <w:r w:rsidR="008C39D2" w:rsidRPr="007A3749">
        <w:t xml:space="preserve">roku </w:t>
      </w:r>
      <w:r w:rsidR="00C031CC" w:rsidRPr="007A3749">
        <w:t>201</w:t>
      </w:r>
      <w:r w:rsidR="0024532C">
        <w:t>6</w:t>
      </w:r>
      <w:r w:rsidR="00C031CC" w:rsidRPr="007A3749">
        <w:t xml:space="preserve"> </w:t>
      </w:r>
      <w:r w:rsidR="008148DC" w:rsidRPr="007A3749">
        <w:t>hodnoty</w:t>
      </w:r>
      <w:r w:rsidR="009400A5" w:rsidRPr="007A3749">
        <w:t xml:space="preserve"> </w:t>
      </w:r>
      <w:r w:rsidR="00BE6D86">
        <w:t>7,5</w:t>
      </w:r>
      <w:r w:rsidRPr="007A3749">
        <w:t xml:space="preserve"> </w:t>
      </w:r>
      <w:r w:rsidR="0068261A" w:rsidRPr="007A3749">
        <w:t>milionu</w:t>
      </w:r>
      <w:r w:rsidRPr="007A3749">
        <w:t xml:space="preserve"> </w:t>
      </w:r>
      <w:r w:rsidR="00055F93" w:rsidRPr="007A3749">
        <w:t>EUR</w:t>
      </w:r>
      <w:r w:rsidRPr="007A3749">
        <w:t xml:space="preserve">, </w:t>
      </w:r>
      <w:r w:rsidR="009400A5" w:rsidRPr="007A3749">
        <w:t xml:space="preserve">což je </w:t>
      </w:r>
      <w:r w:rsidRPr="007A3749">
        <w:t xml:space="preserve">meziročně o </w:t>
      </w:r>
      <w:r w:rsidR="00BE6D86">
        <w:t>53,8</w:t>
      </w:r>
      <w:r w:rsidR="0055740A" w:rsidRPr="007A3749">
        <w:t xml:space="preserve"> </w:t>
      </w:r>
      <w:r w:rsidRPr="007A3749">
        <w:t xml:space="preserve">% </w:t>
      </w:r>
      <w:r w:rsidR="0024532C">
        <w:t xml:space="preserve">méně </w:t>
      </w:r>
      <w:r w:rsidR="0055740A" w:rsidRPr="007A3749">
        <w:t xml:space="preserve">zejména </w:t>
      </w:r>
      <w:r w:rsidR="00C078BF" w:rsidRPr="007A3749">
        <w:t xml:space="preserve">z titulu vykázaných </w:t>
      </w:r>
      <w:r w:rsidR="008613FD" w:rsidRPr="007A3749">
        <w:t>nerealizovaný</w:t>
      </w:r>
      <w:r w:rsidR="0055740A" w:rsidRPr="007A3749">
        <w:t>ch</w:t>
      </w:r>
      <w:r w:rsidR="008613FD" w:rsidRPr="007A3749">
        <w:t xml:space="preserve"> kurzový</w:t>
      </w:r>
      <w:r w:rsidR="0055740A" w:rsidRPr="007A3749">
        <w:t>ch</w:t>
      </w:r>
      <w:r w:rsidR="008613FD" w:rsidRPr="007A3749">
        <w:t xml:space="preserve"> </w:t>
      </w:r>
      <w:r w:rsidR="0055740A" w:rsidRPr="007A3749">
        <w:t>z</w:t>
      </w:r>
      <w:r w:rsidR="00C078BF" w:rsidRPr="007A3749">
        <w:t>měn v porovnávaných obdobích</w:t>
      </w:r>
      <w:r w:rsidR="0086095E" w:rsidRPr="007A3749">
        <w:t>.</w:t>
      </w:r>
      <w:r w:rsidR="005F221E" w:rsidRPr="007A3749">
        <w:t xml:space="preserve"> Ve druhém čtvrtletí </w:t>
      </w:r>
      <w:r w:rsidR="00820612" w:rsidRPr="007A3749">
        <w:t>201</w:t>
      </w:r>
      <w:r w:rsidR="0024532C">
        <w:t>6</w:t>
      </w:r>
      <w:r w:rsidR="00820612" w:rsidRPr="007A3749">
        <w:t xml:space="preserve"> </w:t>
      </w:r>
      <w:r w:rsidR="00311123" w:rsidRPr="007A3749">
        <w:t>S</w:t>
      </w:r>
      <w:r w:rsidR="0029398E" w:rsidRPr="007A3749">
        <w:t xml:space="preserve">polečnost vytvořila čistý zisk ve výši </w:t>
      </w:r>
      <w:r w:rsidR="00BE6D86">
        <w:t>7,1</w:t>
      </w:r>
      <w:r w:rsidR="0029398E" w:rsidRPr="007A3749">
        <w:t xml:space="preserve"> milion</w:t>
      </w:r>
      <w:r w:rsidR="00C35987" w:rsidRPr="007A3749">
        <w:t>u</w:t>
      </w:r>
      <w:r w:rsidR="0029398E" w:rsidRPr="007A3749">
        <w:t xml:space="preserve"> EUR, o </w:t>
      </w:r>
      <w:r w:rsidR="00BE6D86">
        <w:t>259</w:t>
      </w:r>
      <w:r w:rsidR="0055740A" w:rsidRPr="007A3749">
        <w:t>,</w:t>
      </w:r>
      <w:r w:rsidR="0024532C">
        <w:t>5</w:t>
      </w:r>
      <w:r w:rsidR="00865CEE" w:rsidRPr="007A3749">
        <w:t xml:space="preserve"> </w:t>
      </w:r>
      <w:r w:rsidR="0029398E" w:rsidRPr="007A3749">
        <w:lastRenderedPageBreak/>
        <w:t xml:space="preserve">% </w:t>
      </w:r>
      <w:r w:rsidR="0024532C">
        <w:t xml:space="preserve">více </w:t>
      </w:r>
      <w:r w:rsidR="008613FD" w:rsidRPr="007A3749">
        <w:t>než ve stejném období roku 201</w:t>
      </w:r>
      <w:r w:rsidR="0024532C">
        <w:t>5</w:t>
      </w:r>
      <w:r w:rsidR="004E6091" w:rsidRPr="007A3749">
        <w:t>.</w:t>
      </w:r>
      <w:r w:rsidR="00167361" w:rsidRPr="007A3749">
        <w:t xml:space="preserve"> </w:t>
      </w:r>
      <w:r w:rsidR="0024532C">
        <w:t xml:space="preserve">Nárůst </w:t>
      </w:r>
      <w:r w:rsidR="00D67E9A" w:rsidRPr="007A3749">
        <w:t>čistého zisku byl způsoben převážně nerealizovanými kurzovými změnami v porovnávaných obdobích.</w:t>
      </w:r>
    </w:p>
    <w:p w:rsidR="004F2222" w:rsidRPr="00856740" w:rsidRDefault="008D1794" w:rsidP="00620C97">
      <w:pPr>
        <w:pStyle w:val="Heading4"/>
      </w:pPr>
      <w:r w:rsidRPr="00856740">
        <w:rPr>
          <w:rStyle w:val="Strong"/>
          <w:b/>
          <w:bCs w:val="0"/>
        </w:rPr>
        <w:t>I</w:t>
      </w:r>
      <w:r w:rsidR="00D76825" w:rsidRPr="00856740">
        <w:rPr>
          <w:rStyle w:val="Strong"/>
          <w:b/>
          <w:bCs w:val="0"/>
        </w:rPr>
        <w:t>nvestice</w:t>
      </w:r>
    </w:p>
    <w:p w:rsidR="007D0F0F" w:rsidRPr="007A3749" w:rsidRDefault="00FA6E60" w:rsidP="007A3749">
      <w:pPr>
        <w:pStyle w:val="NormalWeb"/>
      </w:pPr>
      <w:r w:rsidRPr="007A3749">
        <w:t xml:space="preserve">V první polovině </w:t>
      </w:r>
      <w:r w:rsidR="00BC4F01" w:rsidRPr="007A3749">
        <w:t xml:space="preserve">roku </w:t>
      </w:r>
      <w:r w:rsidRPr="007A3749">
        <w:t>20</w:t>
      </w:r>
      <w:r w:rsidR="007D0F0F" w:rsidRPr="007A3749">
        <w:t>1</w:t>
      </w:r>
      <w:r w:rsidR="0024532C">
        <w:t>6</w:t>
      </w:r>
      <w:r w:rsidRPr="007A3749">
        <w:t xml:space="preserve"> </w:t>
      </w:r>
      <w:bookmarkStart w:id="15" w:name="OLE_LINK3"/>
      <w:bookmarkStart w:id="16" w:name="OLE_LINK4"/>
      <w:r w:rsidR="009400A5" w:rsidRPr="007A3749">
        <w:t xml:space="preserve">činily </w:t>
      </w:r>
      <w:r w:rsidRPr="007A3749">
        <w:t>konsolidované</w:t>
      </w:r>
      <w:r w:rsidR="008D1794" w:rsidRPr="007A3749">
        <w:t xml:space="preserve"> investiční</w:t>
      </w:r>
      <w:r w:rsidRPr="007A3749">
        <w:t xml:space="preserve"> výdaje </w:t>
      </w:r>
      <w:r w:rsidR="0024532C">
        <w:t>6</w:t>
      </w:r>
      <w:r w:rsidR="00A027B0" w:rsidRPr="007A3749">
        <w:t>,</w:t>
      </w:r>
      <w:r w:rsidR="00345DE9">
        <w:t>4</w:t>
      </w:r>
      <w:r w:rsidRPr="007A3749">
        <w:t xml:space="preserve"> milion</w:t>
      </w:r>
      <w:r w:rsidR="0086095E" w:rsidRPr="007A3749">
        <w:t>u</w:t>
      </w:r>
      <w:r w:rsidRPr="007A3749">
        <w:t xml:space="preserve"> </w:t>
      </w:r>
      <w:r w:rsidR="00055F93" w:rsidRPr="007A3749">
        <w:t>EUR</w:t>
      </w:r>
      <w:bookmarkEnd w:id="15"/>
      <w:bookmarkEnd w:id="16"/>
      <w:r w:rsidR="0024532C">
        <w:t xml:space="preserve"> oproti 1,5 milionu EUR </w:t>
      </w:r>
      <w:r w:rsidR="000A629F" w:rsidRPr="007A3749">
        <w:t>ve srovnání se stejným obdobím minulého roku.</w:t>
      </w:r>
      <w:r w:rsidR="000A629F">
        <w:t xml:space="preserve"> </w:t>
      </w:r>
      <w:r w:rsidR="000A629F" w:rsidRPr="000A629F">
        <w:t xml:space="preserve">Z této částky připadalo </w:t>
      </w:r>
      <w:r w:rsidR="000A629F">
        <w:t>5</w:t>
      </w:r>
      <w:r w:rsidR="000A629F" w:rsidRPr="000A629F">
        <w:t>,</w:t>
      </w:r>
      <w:r w:rsidR="000A629F">
        <w:t>3</w:t>
      </w:r>
      <w:r w:rsidR="000A629F" w:rsidRPr="000A629F">
        <w:t xml:space="preserve"> milionu EUR na investice do rozšíření výrobních a skladovacích kapacit, zbytek představovaly běžné investice.</w:t>
      </w:r>
      <w:r w:rsidRPr="007A3749">
        <w:t xml:space="preserve"> </w:t>
      </w:r>
      <w:r w:rsidR="00D25531" w:rsidRPr="007A3749">
        <w:t>Ve druhém čtvrtletí roku 201</w:t>
      </w:r>
      <w:r w:rsidR="0024532C">
        <w:t>6</w:t>
      </w:r>
      <w:r w:rsidR="00D25531" w:rsidRPr="007A3749">
        <w:t xml:space="preserve"> činily konsolidované investice </w:t>
      </w:r>
      <w:r w:rsidR="0024532C">
        <w:t>4</w:t>
      </w:r>
      <w:r w:rsidR="00A027B0" w:rsidRPr="007A3749">
        <w:t>,</w:t>
      </w:r>
      <w:r w:rsidR="0024532C">
        <w:t>3</w:t>
      </w:r>
      <w:r w:rsidR="00D25531" w:rsidRPr="007A3749">
        <w:t xml:space="preserve"> milionu EUR</w:t>
      </w:r>
      <w:r w:rsidR="000A629F">
        <w:t xml:space="preserve"> oproti 0,7 milionu EUR</w:t>
      </w:r>
      <w:r w:rsidR="00D67E9A" w:rsidRPr="007A3749">
        <w:t xml:space="preserve"> </w:t>
      </w:r>
      <w:r w:rsidR="00D25531" w:rsidRPr="007A3749">
        <w:t xml:space="preserve">ve srovnání se stejným obdobím minulého roku. </w:t>
      </w:r>
    </w:p>
    <w:p w:rsidR="004E267A" w:rsidRPr="007A3749" w:rsidRDefault="004E267A" w:rsidP="007A3749">
      <w:pPr>
        <w:pStyle w:val="NormalWeb"/>
      </w:pPr>
      <w:r w:rsidRPr="007A3749">
        <w:t>Společnost plánuje, že celkové investiční výdaje v roce 201</w:t>
      </w:r>
      <w:r w:rsidR="000A629F">
        <w:t>6</w:t>
      </w:r>
      <w:r w:rsidRPr="007A3749">
        <w:t xml:space="preserve"> nepřesáhnou úroveň </w:t>
      </w:r>
      <w:r w:rsidR="000A629F">
        <w:t>25</w:t>
      </w:r>
      <w:r w:rsidRPr="007A3749">
        <w:t xml:space="preserve"> mili</w:t>
      </w:r>
      <w:r w:rsidR="00A624E0" w:rsidRPr="007A3749">
        <w:t>onů EUR</w:t>
      </w:r>
      <w:r w:rsidRPr="007A3749">
        <w:t>.</w:t>
      </w:r>
    </w:p>
    <w:p w:rsidR="004F2222" w:rsidRPr="00856740" w:rsidRDefault="00611456" w:rsidP="00620C97">
      <w:pPr>
        <w:pStyle w:val="Heading4"/>
      </w:pPr>
      <w:r w:rsidRPr="00856740">
        <w:rPr>
          <w:rStyle w:val="Strong"/>
          <w:b/>
          <w:bCs w:val="0"/>
        </w:rPr>
        <w:t>Peníze a zadluženost</w:t>
      </w:r>
    </w:p>
    <w:p w:rsidR="00D74947" w:rsidRPr="007A3749" w:rsidRDefault="00611456" w:rsidP="007A3749">
      <w:pPr>
        <w:pStyle w:val="NormalWeb"/>
      </w:pPr>
      <w:r w:rsidRPr="007A3749">
        <w:t xml:space="preserve">Celková výše konsolidovaných </w:t>
      </w:r>
      <w:r w:rsidR="006902A4" w:rsidRPr="007A3749">
        <w:t>finančních</w:t>
      </w:r>
      <w:r w:rsidRPr="007A3749">
        <w:t xml:space="preserve"> dluhů (krátkodobých </w:t>
      </w:r>
      <w:r w:rsidR="003C4A78" w:rsidRPr="007A3749">
        <w:t>i</w:t>
      </w:r>
      <w:r w:rsidR="00397CD6" w:rsidRPr="007A3749">
        <w:t xml:space="preserve"> dlouhodobých) činila k 30. </w:t>
      </w:r>
      <w:r w:rsidRPr="007A3749">
        <w:t xml:space="preserve">červnu </w:t>
      </w:r>
      <w:r w:rsidR="002A034E" w:rsidRPr="007A3749">
        <w:t>201</w:t>
      </w:r>
      <w:r w:rsidR="000A629F">
        <w:t>6</w:t>
      </w:r>
      <w:r w:rsidR="00820612" w:rsidRPr="007A3749">
        <w:t xml:space="preserve"> </w:t>
      </w:r>
      <w:r w:rsidR="004E267A" w:rsidRPr="007A3749">
        <w:t>1</w:t>
      </w:r>
      <w:r w:rsidR="000A629F">
        <w:t>84</w:t>
      </w:r>
      <w:r w:rsidR="004E267A" w:rsidRPr="007A3749">
        <w:t>,</w:t>
      </w:r>
      <w:r w:rsidR="000A629F">
        <w:t>3</w:t>
      </w:r>
      <w:r w:rsidR="004E267A" w:rsidRPr="007A3749">
        <w:t xml:space="preserve"> </w:t>
      </w:r>
      <w:r w:rsidR="00CF4152" w:rsidRPr="007A3749">
        <w:t>milionů</w:t>
      </w:r>
      <w:r w:rsidRPr="007A3749">
        <w:t xml:space="preserve"> </w:t>
      </w:r>
      <w:r w:rsidR="00055F93" w:rsidRPr="007A3749">
        <w:t>EUR</w:t>
      </w:r>
      <w:r w:rsidRPr="007A3749">
        <w:t>, tj.</w:t>
      </w:r>
      <w:r w:rsidR="002D541A" w:rsidRPr="007A3749">
        <w:t xml:space="preserve"> o</w:t>
      </w:r>
      <w:r w:rsidRPr="007A3749">
        <w:t xml:space="preserve"> </w:t>
      </w:r>
      <w:r w:rsidR="000A629F">
        <w:t>4</w:t>
      </w:r>
      <w:r w:rsidR="004E267A" w:rsidRPr="007A3749">
        <w:t>,</w:t>
      </w:r>
      <w:r w:rsidR="000A629F">
        <w:t>0</w:t>
      </w:r>
      <w:r w:rsidR="00CD2A9F" w:rsidRPr="007A3749">
        <w:t xml:space="preserve"> %</w:t>
      </w:r>
      <w:r w:rsidRPr="007A3749">
        <w:t xml:space="preserve"> </w:t>
      </w:r>
      <w:r w:rsidR="000A629F">
        <w:t xml:space="preserve">méně </w:t>
      </w:r>
      <w:r w:rsidR="009719CC" w:rsidRPr="007A3749">
        <w:t>ve srovnání s</w:t>
      </w:r>
      <w:r w:rsidR="001C7420" w:rsidRPr="007A3749">
        <w:t> </w:t>
      </w:r>
      <w:r w:rsidR="000A629F">
        <w:t>31. </w:t>
      </w:r>
      <w:r w:rsidR="00FA5933" w:rsidRPr="007A3749">
        <w:t>prosincem</w:t>
      </w:r>
      <w:r w:rsidR="001C7420" w:rsidRPr="007A3749">
        <w:t xml:space="preserve"> </w:t>
      </w:r>
      <w:r w:rsidR="002A034E" w:rsidRPr="007A3749">
        <w:t>201</w:t>
      </w:r>
      <w:r w:rsidR="000A629F">
        <w:t>5</w:t>
      </w:r>
      <w:r w:rsidR="00345DE9">
        <w:t>. Čistý dluh k 30. </w:t>
      </w:r>
      <w:r w:rsidRPr="007A3749">
        <w:t>červnu 20</w:t>
      </w:r>
      <w:r w:rsidR="007B185F" w:rsidRPr="007A3749">
        <w:t>1</w:t>
      </w:r>
      <w:r w:rsidR="000A629F">
        <w:t>6</w:t>
      </w:r>
      <w:r w:rsidR="009361D0" w:rsidRPr="007A3749">
        <w:t xml:space="preserve"> dosáhl výše </w:t>
      </w:r>
      <w:r w:rsidR="004E267A" w:rsidRPr="007A3749">
        <w:t>14</w:t>
      </w:r>
      <w:r w:rsidR="000A629F">
        <w:t>4</w:t>
      </w:r>
      <w:r w:rsidR="00D25531" w:rsidRPr="007A3749">
        <w:t>,</w:t>
      </w:r>
      <w:r w:rsidR="000A629F">
        <w:t>7</w:t>
      </w:r>
      <w:r w:rsidR="007B185F" w:rsidRPr="007A3749">
        <w:t xml:space="preserve"> </w:t>
      </w:r>
      <w:r w:rsidRPr="007A3749">
        <w:t>mi</w:t>
      </w:r>
      <w:r w:rsidR="002D541A" w:rsidRPr="007A3749">
        <w:t>lion</w:t>
      </w:r>
      <w:r w:rsidR="004E267A" w:rsidRPr="007A3749">
        <w:t>ů</w:t>
      </w:r>
      <w:r w:rsidR="002D541A" w:rsidRPr="007A3749">
        <w:t xml:space="preserve"> </w:t>
      </w:r>
      <w:r w:rsidR="00055F93" w:rsidRPr="007A3749">
        <w:t>EUR</w:t>
      </w:r>
      <w:r w:rsidR="006531A8" w:rsidRPr="007A3749">
        <w:t xml:space="preserve">, </w:t>
      </w:r>
      <w:r w:rsidR="00BC1D7F" w:rsidRPr="007A3749">
        <w:t>což je</w:t>
      </w:r>
      <w:r w:rsidR="002D541A" w:rsidRPr="007A3749">
        <w:t xml:space="preserve"> </w:t>
      </w:r>
      <w:r w:rsidR="006531A8" w:rsidRPr="007A3749">
        <w:t xml:space="preserve">o </w:t>
      </w:r>
      <w:r w:rsidR="000A629F">
        <w:t>11</w:t>
      </w:r>
      <w:r w:rsidR="004E267A" w:rsidRPr="007A3749">
        <w:t>,</w:t>
      </w:r>
      <w:r w:rsidR="000A629F">
        <w:t>7</w:t>
      </w:r>
      <w:r w:rsidR="002D541A" w:rsidRPr="007A3749">
        <w:t xml:space="preserve"> % </w:t>
      </w:r>
      <w:r w:rsidR="000A629F">
        <w:t xml:space="preserve">méně </w:t>
      </w:r>
      <w:r w:rsidR="006531A8" w:rsidRPr="007A3749">
        <w:t>v porovnání s </w:t>
      </w:r>
      <w:r w:rsidR="001C7420" w:rsidRPr="007A3749">
        <w:t>3</w:t>
      </w:r>
      <w:r w:rsidR="00FA5933" w:rsidRPr="007A3749">
        <w:t>1</w:t>
      </w:r>
      <w:r w:rsidR="00397CD6" w:rsidRPr="007A3749">
        <w:t>. </w:t>
      </w:r>
      <w:r w:rsidR="000A629F">
        <w:t>p</w:t>
      </w:r>
      <w:r w:rsidR="00FA5933" w:rsidRPr="007A3749">
        <w:t>rosincem</w:t>
      </w:r>
      <w:r w:rsidR="000A629F">
        <w:t xml:space="preserve"> </w:t>
      </w:r>
      <w:r w:rsidR="002A034E" w:rsidRPr="007A3749">
        <w:t>201</w:t>
      </w:r>
      <w:r w:rsidR="000A629F">
        <w:t>5</w:t>
      </w:r>
      <w:r w:rsidRPr="007A3749">
        <w:t xml:space="preserve">. </w:t>
      </w:r>
      <w:r w:rsidR="00397CD6" w:rsidRPr="007A3749">
        <w:t>V porovnání se stavem na konci prvního čtvrtletí 201</w:t>
      </w:r>
      <w:r w:rsidR="000A629F">
        <w:t>6</w:t>
      </w:r>
      <w:r w:rsidR="00397CD6" w:rsidRPr="007A3749">
        <w:t xml:space="preserve"> se čistý dluh snížil o </w:t>
      </w:r>
      <w:r w:rsidR="000A629F">
        <w:t>2</w:t>
      </w:r>
      <w:r w:rsidR="00397CD6" w:rsidRPr="007A3749">
        <w:t>,</w:t>
      </w:r>
      <w:r w:rsidR="000A629F">
        <w:t>9</w:t>
      </w:r>
      <w:r w:rsidR="00397CD6" w:rsidRPr="007A3749">
        <w:t xml:space="preserve"> milionů EUR. </w:t>
      </w:r>
      <w:r w:rsidR="00E27EB3" w:rsidRPr="007A3749">
        <w:t>P</w:t>
      </w:r>
      <w:r w:rsidR="00D74947" w:rsidRPr="007A3749">
        <w:t>oměr Čistý dluh</w:t>
      </w:r>
      <w:r w:rsidR="002A034E" w:rsidRPr="007A3749">
        <w:t>/EBITDA dosáhl k 30. červnu 201</w:t>
      </w:r>
      <w:r w:rsidR="000A629F">
        <w:t>6</w:t>
      </w:r>
      <w:r w:rsidR="002A034E" w:rsidRPr="007A3749">
        <w:t xml:space="preserve"> 3,</w:t>
      </w:r>
      <w:r w:rsidR="000A629F">
        <w:t>17</w:t>
      </w:r>
      <w:r w:rsidR="00D74947" w:rsidRPr="007A3749">
        <w:t xml:space="preserve"> násobku.</w:t>
      </w:r>
    </w:p>
    <w:p w:rsidR="009719CC" w:rsidRPr="007A3749" w:rsidRDefault="009719CC" w:rsidP="00396F0C">
      <w:pPr>
        <w:pStyle w:val="Heading2"/>
      </w:pPr>
      <w:bookmarkStart w:id="17" w:name="_Toc269907488"/>
      <w:bookmarkStart w:id="18" w:name="_Toc458586517"/>
      <w:r w:rsidRPr="007A3749">
        <w:t xml:space="preserve">Přehled </w:t>
      </w:r>
      <w:r w:rsidR="00856740">
        <w:t xml:space="preserve">hospodaření Společnosti </w:t>
      </w:r>
      <w:r w:rsidR="001A640F">
        <w:t>v p</w:t>
      </w:r>
      <w:r w:rsidR="00856740">
        <w:t>rvním pololetí 2016</w:t>
      </w:r>
      <w:bookmarkEnd w:id="17"/>
      <w:bookmarkEnd w:id="18"/>
    </w:p>
    <w:p w:rsidR="003A7460" w:rsidRPr="007A3749" w:rsidRDefault="003A7460" w:rsidP="007A3749">
      <w:pPr>
        <w:pStyle w:val="NormalWeb"/>
        <w:rPr>
          <w:highlight w:val="yellow"/>
        </w:rPr>
      </w:pPr>
      <w:r w:rsidRPr="007A3749">
        <w:t xml:space="preserve">Celková produkce v první jakosti dosáhla v prvním pololetí roku </w:t>
      </w:r>
      <w:r w:rsidR="007B6264" w:rsidRPr="007A3749">
        <w:t>201</w:t>
      </w:r>
      <w:r w:rsidR="001A640F">
        <w:t>6</w:t>
      </w:r>
      <w:r w:rsidR="001C7420" w:rsidRPr="007A3749">
        <w:t xml:space="preserve"> </w:t>
      </w:r>
      <w:r w:rsidR="00B07AE0" w:rsidRPr="007A3749">
        <w:t xml:space="preserve">hodnoty </w:t>
      </w:r>
      <w:r w:rsidR="00A624E0" w:rsidRPr="007A3749">
        <w:t xml:space="preserve">51 </w:t>
      </w:r>
      <w:r w:rsidR="001A640F">
        <w:t>695</w:t>
      </w:r>
      <w:r w:rsidR="001C7420" w:rsidRPr="007A3749">
        <w:t xml:space="preserve"> </w:t>
      </w:r>
      <w:r w:rsidRPr="007A3749">
        <w:t xml:space="preserve">tun, což představuje </w:t>
      </w:r>
      <w:r w:rsidR="001A640F">
        <w:t xml:space="preserve">pokles </w:t>
      </w:r>
      <w:r w:rsidRPr="007A3749">
        <w:t xml:space="preserve">o </w:t>
      </w:r>
      <w:r w:rsidR="001A640F">
        <w:t>0</w:t>
      </w:r>
      <w:r w:rsidR="004E267A" w:rsidRPr="007A3749">
        <w:t>,</w:t>
      </w:r>
      <w:r w:rsidR="001A640F">
        <w:t>3</w:t>
      </w:r>
      <w:r w:rsidR="00071F1D" w:rsidRPr="007A3749">
        <w:t xml:space="preserve"> </w:t>
      </w:r>
      <w:r w:rsidRPr="007A3749">
        <w:t>% ve srov</w:t>
      </w:r>
      <w:r w:rsidR="006F76AA" w:rsidRPr="007A3749">
        <w:t>n</w:t>
      </w:r>
      <w:r w:rsidR="00071F1D" w:rsidRPr="007A3749">
        <w:t>ání s prvním pololetím roku 201</w:t>
      </w:r>
      <w:r w:rsidR="001A640F">
        <w:t>5</w:t>
      </w:r>
      <w:r w:rsidRPr="007A3749">
        <w:t>.</w:t>
      </w:r>
      <w:r w:rsidR="002B6D72" w:rsidRPr="007A3749">
        <w:t xml:space="preserve"> Ve </w:t>
      </w:r>
      <w:r w:rsidR="002B6D72" w:rsidRPr="007A3749">
        <w:lastRenderedPageBreak/>
        <w:t>druhém čtvrtletí 201</w:t>
      </w:r>
      <w:r w:rsidR="001A640F">
        <w:t>6</w:t>
      </w:r>
      <w:r w:rsidR="002B6D72" w:rsidRPr="007A3749">
        <w:t xml:space="preserve"> Společnost vyrobila 2</w:t>
      </w:r>
      <w:r w:rsidR="00A624E0" w:rsidRPr="007A3749">
        <w:t>5</w:t>
      </w:r>
      <w:r w:rsidR="002B6D72" w:rsidRPr="007A3749">
        <w:t xml:space="preserve"> 6</w:t>
      </w:r>
      <w:r w:rsidR="001A640F">
        <w:t>59</w:t>
      </w:r>
      <w:r w:rsidR="002B6D72" w:rsidRPr="007A3749">
        <w:t xml:space="preserve"> tun,</w:t>
      </w:r>
      <w:r w:rsidR="00345DE9">
        <w:t xml:space="preserve"> tj.</w:t>
      </w:r>
      <w:r w:rsidR="002B6D72" w:rsidRPr="007A3749">
        <w:t xml:space="preserve"> o </w:t>
      </w:r>
      <w:r w:rsidR="001A640F">
        <w:t>0</w:t>
      </w:r>
      <w:r w:rsidR="002B6D72" w:rsidRPr="007A3749">
        <w:t>,</w:t>
      </w:r>
      <w:r w:rsidR="001A640F">
        <w:t>1</w:t>
      </w:r>
      <w:r w:rsidR="002B6D72" w:rsidRPr="007A3749">
        <w:t xml:space="preserve"> % více v porovnání se stejným obdobím loňského roku.</w:t>
      </w:r>
      <w:r w:rsidR="00B07AE0" w:rsidRPr="007A3749">
        <w:rPr>
          <w:highlight w:val="yellow"/>
        </w:rPr>
        <w:t xml:space="preserve"> </w:t>
      </w:r>
    </w:p>
    <w:p w:rsidR="00E837FB" w:rsidRPr="009E561C" w:rsidRDefault="003A7460" w:rsidP="007A3749">
      <w:pPr>
        <w:pStyle w:val="NormalWeb"/>
      </w:pPr>
      <w:r w:rsidRPr="009E561C">
        <w:t xml:space="preserve">Podíl výnosů z prodeje netkaných textilií určených k výrobě hygienických produktů na celkových výnosech činil v prvním </w:t>
      </w:r>
      <w:r w:rsidR="009361D0" w:rsidRPr="009E561C">
        <w:t>pololetí</w:t>
      </w:r>
      <w:r w:rsidRPr="009E561C">
        <w:t xml:space="preserve"> roku 20</w:t>
      </w:r>
      <w:r w:rsidR="006F76AA" w:rsidRPr="009E561C">
        <w:t>1</w:t>
      </w:r>
      <w:r w:rsidR="009E561C" w:rsidRPr="009E561C">
        <w:t>6</w:t>
      </w:r>
      <w:r w:rsidRPr="009E561C">
        <w:t xml:space="preserve"> </w:t>
      </w:r>
      <w:r w:rsidR="009E7EF7" w:rsidRPr="009E561C">
        <w:t>8</w:t>
      </w:r>
      <w:r w:rsidR="009E561C" w:rsidRPr="009E561C">
        <w:t>6</w:t>
      </w:r>
      <w:r w:rsidR="009316E2" w:rsidRPr="009E561C">
        <w:t>,</w:t>
      </w:r>
      <w:r w:rsidR="009E561C" w:rsidRPr="009E561C">
        <w:t>2</w:t>
      </w:r>
      <w:r w:rsidR="009316E2" w:rsidRPr="009E561C">
        <w:t xml:space="preserve"> </w:t>
      </w:r>
      <w:r w:rsidRPr="009E561C">
        <w:t>%</w:t>
      </w:r>
      <w:r w:rsidR="002B6D72" w:rsidRPr="009E561C">
        <w:t xml:space="preserve"> a mírně se tak meziročně </w:t>
      </w:r>
      <w:r w:rsidR="009E561C" w:rsidRPr="009E561C">
        <w:t>zvýšil</w:t>
      </w:r>
      <w:r w:rsidR="00432FEB" w:rsidRPr="009E561C">
        <w:t xml:space="preserve">. </w:t>
      </w:r>
      <w:r w:rsidR="00CF50B7" w:rsidRPr="009E561C">
        <w:t>Vysoký podíl výrobků v této kategorii potvrzuje významnou pozici Společnosti na tomto trhu</w:t>
      </w:r>
      <w:r w:rsidRPr="009E561C">
        <w:t xml:space="preserve">. </w:t>
      </w:r>
      <w:r w:rsidR="00767FC6" w:rsidRPr="009E561C">
        <w:t>Ve druhém čtvrtletí 20</w:t>
      </w:r>
      <w:r w:rsidR="00071F1D" w:rsidRPr="009E561C">
        <w:t>1</w:t>
      </w:r>
      <w:r w:rsidR="009E561C" w:rsidRPr="009E561C">
        <w:t>6</w:t>
      </w:r>
      <w:r w:rsidR="00767FC6" w:rsidRPr="009E561C">
        <w:t xml:space="preserve"> činil podíl výnosů z prodeje netkaných textilií určených k výrobě hygienických produktů na celkových výnosech </w:t>
      </w:r>
      <w:r w:rsidR="002B6D72" w:rsidRPr="009E561C">
        <w:t>8</w:t>
      </w:r>
      <w:r w:rsidR="009E561C" w:rsidRPr="009E561C">
        <w:t>4</w:t>
      </w:r>
      <w:r w:rsidR="00541DBF" w:rsidRPr="009E561C">
        <w:t>,</w:t>
      </w:r>
      <w:r w:rsidR="009E561C" w:rsidRPr="009E561C">
        <w:t>5</w:t>
      </w:r>
      <w:r w:rsidR="00865CEE" w:rsidRPr="009E561C">
        <w:t xml:space="preserve"> </w:t>
      </w:r>
      <w:r w:rsidR="00767FC6" w:rsidRPr="009E561C">
        <w:t xml:space="preserve">%, což představuje </w:t>
      </w:r>
      <w:r w:rsidR="009E561C" w:rsidRPr="009E561C">
        <w:t xml:space="preserve">nárůst </w:t>
      </w:r>
      <w:r w:rsidR="00767FC6" w:rsidRPr="009E561C">
        <w:t xml:space="preserve">o </w:t>
      </w:r>
      <w:r w:rsidR="009E561C" w:rsidRPr="009E561C">
        <w:t>1</w:t>
      </w:r>
      <w:r w:rsidR="00541DBF" w:rsidRPr="009E561C">
        <w:t>,</w:t>
      </w:r>
      <w:r w:rsidR="009E561C" w:rsidRPr="009E561C">
        <w:t>2</w:t>
      </w:r>
      <w:r w:rsidR="00767FC6" w:rsidRPr="009E561C">
        <w:t xml:space="preserve"> proce</w:t>
      </w:r>
      <w:r w:rsidR="0086072E" w:rsidRPr="009E561C">
        <w:t>n</w:t>
      </w:r>
      <w:r w:rsidR="00767FC6" w:rsidRPr="009E561C">
        <w:t>tníh</w:t>
      </w:r>
      <w:r w:rsidR="00C931D2" w:rsidRPr="009E561C">
        <w:t>o</w:t>
      </w:r>
      <w:r w:rsidR="00767FC6" w:rsidRPr="009E561C">
        <w:t xml:space="preserve"> bod</w:t>
      </w:r>
      <w:r w:rsidR="00C931D2" w:rsidRPr="009E561C">
        <w:t>u</w:t>
      </w:r>
      <w:r w:rsidR="00767FC6" w:rsidRPr="009E561C">
        <w:t xml:space="preserve"> v porovnání se stejným obdobím loňského roku.</w:t>
      </w:r>
      <w:r w:rsidR="00E837FB" w:rsidRPr="009E561C">
        <w:t xml:space="preserve"> </w:t>
      </w:r>
    </w:p>
    <w:p w:rsidR="00E837FB" w:rsidRPr="009E561C" w:rsidRDefault="00E837FB" w:rsidP="007A3749">
      <w:pPr>
        <w:pStyle w:val="NormalWeb"/>
      </w:pPr>
      <w:r w:rsidRPr="009E561C">
        <w:t>Podíl výnosů z prodeje produktů mimo segment hygieny na celkových výnosech v prvním pololetí roku 201</w:t>
      </w:r>
      <w:r w:rsidR="009E561C" w:rsidRPr="009E561C">
        <w:t>6</w:t>
      </w:r>
      <w:r w:rsidRPr="009E561C">
        <w:t xml:space="preserve"> činil 1</w:t>
      </w:r>
      <w:r w:rsidR="009E561C" w:rsidRPr="009E561C">
        <w:t>3</w:t>
      </w:r>
      <w:r w:rsidRPr="009E561C">
        <w:t>,</w:t>
      </w:r>
      <w:r w:rsidR="009E561C" w:rsidRPr="009E561C">
        <w:t>8</w:t>
      </w:r>
      <w:r w:rsidRPr="009E561C">
        <w:t xml:space="preserve"> %</w:t>
      </w:r>
      <w:r w:rsidR="00835450" w:rsidRPr="009E561C">
        <w:t>, resp. 1</w:t>
      </w:r>
      <w:r w:rsidR="009E561C" w:rsidRPr="009E561C">
        <w:t>5</w:t>
      </w:r>
      <w:r w:rsidR="00835450" w:rsidRPr="009E561C">
        <w:t>,</w:t>
      </w:r>
      <w:r w:rsidR="009E561C" w:rsidRPr="009E561C">
        <w:t>5</w:t>
      </w:r>
      <w:r w:rsidR="00835450" w:rsidRPr="009E561C">
        <w:t xml:space="preserve"> %</w:t>
      </w:r>
      <w:r w:rsidRPr="009E561C">
        <w:t xml:space="preserve"> ve</w:t>
      </w:r>
      <w:r w:rsidR="00835450" w:rsidRPr="009E561C">
        <w:t xml:space="preserve"> druhém čtvrtletí.</w:t>
      </w:r>
    </w:p>
    <w:p w:rsidR="003A7460" w:rsidRPr="007A3749" w:rsidRDefault="003A7460" w:rsidP="007A3749">
      <w:pPr>
        <w:pStyle w:val="NormalWeb"/>
      </w:pPr>
      <w:r w:rsidRPr="009E561C">
        <w:t>Rozdělení výnosů dle geografie trhů</w:t>
      </w:r>
      <w:r w:rsidRPr="009E561C">
        <w:rPr>
          <w:rStyle w:val="FootnoteReference"/>
          <w:rFonts w:cs="Arial"/>
        </w:rPr>
        <w:footnoteReference w:id="1"/>
      </w:r>
      <w:r w:rsidRPr="009E561C">
        <w:t xml:space="preserve"> potvrzuje stálou koncentraci odbytu Společnosti na širší oblast Evropy. Výnosy z prodejů do západní Evropy dosáhly v prvním </w:t>
      </w:r>
      <w:r w:rsidR="009361D0" w:rsidRPr="009E561C">
        <w:t>pololetí</w:t>
      </w:r>
      <w:r w:rsidRPr="009E561C">
        <w:t xml:space="preserve"> roku 20</w:t>
      </w:r>
      <w:r w:rsidR="006F76AA" w:rsidRPr="009E561C">
        <w:t>1</w:t>
      </w:r>
      <w:r w:rsidR="009E561C" w:rsidRPr="009E561C">
        <w:t>6</w:t>
      </w:r>
      <w:r w:rsidRPr="009E561C">
        <w:t xml:space="preserve"> </w:t>
      </w:r>
      <w:r w:rsidR="00E837FB" w:rsidRPr="009E561C">
        <w:t>4</w:t>
      </w:r>
      <w:r w:rsidR="009E561C" w:rsidRPr="009E561C">
        <w:t>2</w:t>
      </w:r>
      <w:r w:rsidR="00B620E4" w:rsidRPr="009E561C">
        <w:t>,</w:t>
      </w:r>
      <w:r w:rsidR="009E561C" w:rsidRPr="009E561C">
        <w:t>6</w:t>
      </w:r>
      <w:r w:rsidRPr="009E561C">
        <w:t xml:space="preserve"> milion</w:t>
      </w:r>
      <w:r w:rsidR="00E837FB" w:rsidRPr="009E561C">
        <w:t>u</w:t>
      </w:r>
      <w:r w:rsidRPr="009E561C">
        <w:t xml:space="preserve"> EUR, což představuje </w:t>
      </w:r>
      <w:r w:rsidR="00B620E4" w:rsidRPr="009E561C">
        <w:t>3</w:t>
      </w:r>
      <w:r w:rsidR="009E561C" w:rsidRPr="009E561C">
        <w:t>9</w:t>
      </w:r>
      <w:r w:rsidR="00B620E4" w:rsidRPr="009E561C">
        <w:t>,</w:t>
      </w:r>
      <w:r w:rsidR="009E561C" w:rsidRPr="009E561C">
        <w:t>9</w:t>
      </w:r>
      <w:r w:rsidRPr="009E561C">
        <w:t>% podíl na celkových výnosech ve srovnání s</w:t>
      </w:r>
      <w:r w:rsidR="00CB3B97" w:rsidRPr="009E561C">
        <w:t> 3</w:t>
      </w:r>
      <w:r w:rsidR="009E561C" w:rsidRPr="009E561C">
        <w:t>6</w:t>
      </w:r>
      <w:r w:rsidR="00CB3B97" w:rsidRPr="009E561C">
        <w:t>,</w:t>
      </w:r>
      <w:r w:rsidR="009E561C" w:rsidRPr="009E561C">
        <w:t>2</w:t>
      </w:r>
      <w:r w:rsidRPr="009E561C">
        <w:t>% po</w:t>
      </w:r>
      <w:r w:rsidR="006F76AA" w:rsidRPr="009E561C">
        <w:t>d</w:t>
      </w:r>
      <w:r w:rsidR="00F437E8" w:rsidRPr="009E561C">
        <w:t>ílem ve stejném období roku 201</w:t>
      </w:r>
      <w:r w:rsidR="009E561C" w:rsidRPr="009E561C">
        <w:t>5</w:t>
      </w:r>
      <w:r w:rsidRPr="009E561C">
        <w:t xml:space="preserve">. Výnosy z prodeje do střední a východní Evropy a Ruska dosáhly v tomto období výše </w:t>
      </w:r>
      <w:r w:rsidR="00E837FB" w:rsidRPr="009E561C">
        <w:t>4</w:t>
      </w:r>
      <w:r w:rsidR="009E561C" w:rsidRPr="009E561C">
        <w:t>4</w:t>
      </w:r>
      <w:r w:rsidR="00B620E4" w:rsidRPr="009E561C">
        <w:t>,</w:t>
      </w:r>
      <w:r w:rsidR="009E561C" w:rsidRPr="009E561C">
        <w:t>9</w:t>
      </w:r>
      <w:r w:rsidRPr="009E561C">
        <w:t xml:space="preserve"> milionu EUR a představovaly tak </w:t>
      </w:r>
      <w:r w:rsidR="009E561C" w:rsidRPr="009E561C">
        <w:t>42</w:t>
      </w:r>
      <w:r w:rsidR="00B620E4" w:rsidRPr="009E561C">
        <w:t>,</w:t>
      </w:r>
      <w:r w:rsidR="009E561C" w:rsidRPr="009E561C">
        <w:t>1</w:t>
      </w:r>
      <w:r w:rsidR="00835450" w:rsidRPr="009E561C">
        <w:t>% podíl na celkových výnosech</w:t>
      </w:r>
      <w:r w:rsidR="0086072E" w:rsidRPr="009E561C">
        <w:t>.</w:t>
      </w:r>
      <w:r w:rsidRPr="009E561C">
        <w:t xml:space="preserve"> Výnosy z prodeje do ostatních teritorií činily </w:t>
      </w:r>
      <w:r w:rsidR="009E561C" w:rsidRPr="009E561C">
        <w:t>19</w:t>
      </w:r>
      <w:r w:rsidR="00B620E4" w:rsidRPr="009E561C">
        <w:t>,</w:t>
      </w:r>
      <w:r w:rsidR="009E561C" w:rsidRPr="009E561C">
        <w:t>2</w:t>
      </w:r>
      <w:r w:rsidRPr="009E561C">
        <w:t xml:space="preserve"> milion</w:t>
      </w:r>
      <w:r w:rsidR="007822F3" w:rsidRPr="009E561C">
        <w:t>u</w:t>
      </w:r>
      <w:r w:rsidRPr="009E561C">
        <w:t xml:space="preserve"> EUR a představovaly </w:t>
      </w:r>
      <w:r w:rsidR="009E561C" w:rsidRPr="009E561C">
        <w:t>18</w:t>
      </w:r>
      <w:r w:rsidR="00B620E4" w:rsidRPr="009E561C">
        <w:t>,</w:t>
      </w:r>
      <w:r w:rsidR="00E837FB" w:rsidRPr="009E561C">
        <w:t>0</w:t>
      </w:r>
      <w:r w:rsidRPr="009E561C">
        <w:t>%</w:t>
      </w:r>
      <w:r w:rsidR="00835450" w:rsidRPr="009E561C">
        <w:t xml:space="preserve"> </w:t>
      </w:r>
      <w:r w:rsidRPr="009E561C">
        <w:t>podíl na celkových výnosech</w:t>
      </w:r>
      <w:r w:rsidR="00602AC8" w:rsidRPr="009E561C">
        <w:t>.</w:t>
      </w:r>
    </w:p>
    <w:p w:rsidR="00403C79" w:rsidRPr="007A3749" w:rsidRDefault="00677CAE" w:rsidP="00396F0C">
      <w:pPr>
        <w:pStyle w:val="Heading2"/>
      </w:pPr>
      <w:bookmarkStart w:id="19" w:name="_Toc269907490"/>
      <w:bookmarkStart w:id="20" w:name="_Toc458586518"/>
      <w:bookmarkStart w:id="21" w:name="OLE_LINK1"/>
      <w:bookmarkStart w:id="22" w:name="OLE_LINK2"/>
      <w:bookmarkStart w:id="23" w:name="_Toc165188441"/>
      <w:r w:rsidRPr="008A66C6">
        <w:lastRenderedPageBreak/>
        <w:t>Výzkum</w:t>
      </w:r>
      <w:r w:rsidR="001C2FF9" w:rsidRPr="008A66C6">
        <w:t xml:space="preserve"> a</w:t>
      </w:r>
      <w:r w:rsidR="00403C79" w:rsidRPr="008A66C6">
        <w:t xml:space="preserve"> </w:t>
      </w:r>
      <w:r w:rsidRPr="008A66C6">
        <w:t>vývoj</w:t>
      </w:r>
      <w:bookmarkEnd w:id="19"/>
      <w:bookmarkEnd w:id="20"/>
    </w:p>
    <w:p w:rsidR="00C40188" w:rsidRDefault="00C40188" w:rsidP="00C40188">
      <w:bookmarkStart w:id="24" w:name="_Toc269111121"/>
      <w:bookmarkStart w:id="25" w:name="_Toc269118394"/>
      <w:bookmarkStart w:id="26" w:name="_Toc269139293"/>
      <w:bookmarkStart w:id="27" w:name="_Toc269111123"/>
      <w:bookmarkStart w:id="28" w:name="_Toc269118396"/>
      <w:bookmarkStart w:id="29" w:name="_Toc269139295"/>
      <w:bookmarkStart w:id="30" w:name="_Toc269111128"/>
      <w:bookmarkStart w:id="31" w:name="_Toc269118401"/>
      <w:bookmarkStart w:id="32" w:name="_Toc269139300"/>
      <w:bookmarkStart w:id="33" w:name="_Toc269907491"/>
      <w:bookmarkEnd w:id="21"/>
      <w:bookmarkEnd w:id="22"/>
      <w:bookmarkEnd w:id="24"/>
      <w:bookmarkEnd w:id="25"/>
      <w:bookmarkEnd w:id="26"/>
      <w:bookmarkEnd w:id="27"/>
      <w:bookmarkEnd w:id="28"/>
      <w:bookmarkEnd w:id="29"/>
      <w:bookmarkEnd w:id="30"/>
      <w:bookmarkEnd w:id="31"/>
      <w:bookmarkEnd w:id="32"/>
      <w:r>
        <w:t xml:space="preserve">Vývoj nových aplikací, výrobků a optimalizace technologií jsou jednou z klíčových součástí současné a budoucí strategie Společnosti. Tato základna je podporována týmem inženýrů, kteří se věnují vývoji nové výrobkové základny, zákaznické a technické podpoře našich partnerů.  </w:t>
      </w:r>
    </w:p>
    <w:p w:rsidR="00C40188" w:rsidRDefault="00C40188" w:rsidP="00C40188">
      <w:r>
        <w:t>Tým se zaměřuje na více směrů, které je možné obecně rozdělit na průmyslové a hygienické aplikace, s primárním zaměřením na oblast hygieny jako zásadní oblasti většiny důležitých projektů Společnosti.</w:t>
      </w:r>
    </w:p>
    <w:p w:rsidR="00C40188" w:rsidRDefault="00C40188" w:rsidP="00C40188">
      <w:r>
        <w:t xml:space="preserve">Z technologického hlediska pracuje technické oddělení na dvou základních cílech: </w:t>
      </w:r>
    </w:p>
    <w:p w:rsidR="00C40188" w:rsidRPr="00DF67C4" w:rsidRDefault="00C40188" w:rsidP="00C40188">
      <w:pPr>
        <w:rPr>
          <w:i/>
        </w:rPr>
      </w:pPr>
      <w:r>
        <w:t xml:space="preserve">1) </w:t>
      </w:r>
      <w:r w:rsidRPr="00DF67C4">
        <w:rPr>
          <w:i/>
        </w:rPr>
        <w:t xml:space="preserve">zlepšit kvalitu, výkonnost a efektivnost výroby standardních výrobků a </w:t>
      </w:r>
    </w:p>
    <w:p w:rsidR="00C40188" w:rsidRPr="00DF67C4" w:rsidRDefault="00C40188" w:rsidP="00C40188">
      <w:pPr>
        <w:rPr>
          <w:i/>
        </w:rPr>
      </w:pPr>
      <w:r w:rsidRPr="00DF67C4">
        <w:rPr>
          <w:i/>
        </w:rPr>
        <w:t>2) vyvíjet výrobky s přidanou hodnotou prostřednictvím současných a nových technologií včetně bikomponentní technologie zvlákňování</w:t>
      </w:r>
    </w:p>
    <w:p w:rsidR="00C40188" w:rsidRDefault="00C40188" w:rsidP="00C40188">
      <w:r>
        <w:t xml:space="preserve">Oba cíle jsou naplňovány společně s dodavateli surovin za použití standardních a nových speciálních polymerů a/nebo s dodavateli zařízení, což umožňuje Společnosti dosáhnout přidané hodnoty pro své zákazníky. </w:t>
      </w:r>
    </w:p>
    <w:p w:rsidR="00C40188" w:rsidRDefault="00C40188" w:rsidP="00C40188">
      <w:r w:rsidRPr="00CB0DAC">
        <w:t xml:space="preserve">V oblasti technologií vyvinul Pegas ve spolupráci s klíčovým dodavatelem zařízení novou technologii tzv. Compact, která by měla firmě umožnit jednodušší a rychlejší vstup na rozvíjející se trhy, které se vyznačují řadou specifických rizik spojených například s výší investice, okamžitým prodejem celkové kapacity linky nebo komplikovaností zprovoznění </w:t>
      </w:r>
      <w:r w:rsidRPr="00CB0DAC">
        <w:lastRenderedPageBreak/>
        <w:t xml:space="preserve">velkých výrobních linek. Pro první instalaci této nové linky byl </w:t>
      </w:r>
      <w:r w:rsidR="00735EF7">
        <w:t>nakonec</w:t>
      </w:r>
      <w:r w:rsidR="00C8380E">
        <w:t xml:space="preserve"> </w:t>
      </w:r>
      <w:r w:rsidRPr="00CB0DAC">
        <w:t xml:space="preserve">vybrán výrobní závod </w:t>
      </w:r>
      <w:r w:rsidR="004332FA" w:rsidRPr="009B25FA">
        <w:t xml:space="preserve">ve Znojmě </w:t>
      </w:r>
      <w:r w:rsidRPr="009B25FA">
        <w:t xml:space="preserve">a její uvedení do provozu se plánuje </w:t>
      </w:r>
      <w:r w:rsidR="004332FA" w:rsidRPr="009B25FA">
        <w:t xml:space="preserve">začátkem třetího </w:t>
      </w:r>
      <w:r w:rsidRPr="009B25FA">
        <w:t>čtvrtletí 2017</w:t>
      </w:r>
      <w:r w:rsidRPr="00CB0DAC">
        <w:t>. Po ověření jejích parametrů v reálném provozu by měla Společnosti přinést potenciál pro další rozvoj v nových regionech a zároveň posílit a potvrdit přední pozici Pegasu v oblasti technologie.</w:t>
      </w:r>
      <w:r>
        <w:t xml:space="preserve"> </w:t>
      </w:r>
    </w:p>
    <w:p w:rsidR="00C40188" w:rsidRDefault="00C40188" w:rsidP="00C40188">
      <w:r>
        <w:t>Kromě vývoje nových technologií  PEGAS aktivně pracuje na vývoji netkaných textilií, které jsou jemné, splývavé, objemné a příjemné na dotek. Tyto materiály jsou již dnes postupně úspěšně uváděny do komerční výroby, a přináší řadu výhod zákazníkům. Vývoj v této oblasti  dále pokračuje a bude v budo</w:t>
      </w:r>
      <w:r w:rsidR="00D17321">
        <w:t>u</w:t>
      </w:r>
      <w:r>
        <w:t>cnu zaměřen na tzv. 3D struktury netkaných textilií s potenciálním vizualním efektem.  Vývoj je postaven na bázi požadavků klíčových zákazníků a v řadě případů se jedná o výrobek šitý na míru pro daného konkretního partnera.</w:t>
      </w:r>
    </w:p>
    <w:p w:rsidR="00C40188" w:rsidRDefault="00C40188" w:rsidP="00C40188">
      <w:r>
        <w:t>Jedním z dalších možných směrů může být v budoucnu i prověření možnosti komercializace modifikované MB technologie do oblasti nanovláken a výroba netkané textilie na jejich bázi. Zde se očekává během roku 2016 komercializace prvního prototypu a významné zlepšení bariérových vlastností především pro účely aplikací v hygienické oblasti.</w:t>
      </w:r>
    </w:p>
    <w:p w:rsidR="00C40188" w:rsidRDefault="00C40188" w:rsidP="00C40188">
      <w:r>
        <w:t xml:space="preserve">PEGAS spolupracuje s mnoha institucemi, které podporují výzkumné zdroje Společnosti, zejména v oblasti modelování struktur netkaných textilií s cílem dosáhnout objemnosti a příjemného omaku, resp. efektivní bariérové ochranné funkce. Jsou mezi nimi některé z univerzit a výzkumných center především v České republice a na Slovensku, ale také v západní Evropě, které poskytují zvláštní </w:t>
      </w:r>
      <w:r>
        <w:lastRenderedPageBreak/>
        <w:t xml:space="preserve">podporu Společnosti v různých odborných a sofistikovaných laboratorních oblastech. </w:t>
      </w:r>
    </w:p>
    <w:p w:rsidR="006372C0" w:rsidRPr="007A3749" w:rsidRDefault="00313F5E" w:rsidP="00396F0C">
      <w:pPr>
        <w:pStyle w:val="Heading2"/>
      </w:pPr>
      <w:bookmarkStart w:id="34" w:name="_Toc458586519"/>
      <w:r w:rsidRPr="008A66C6">
        <w:t>Strategie</w:t>
      </w:r>
      <w:bookmarkEnd w:id="33"/>
      <w:bookmarkEnd w:id="34"/>
    </w:p>
    <w:p w:rsidR="00643DD6" w:rsidRDefault="00643DD6" w:rsidP="00643DD6">
      <w:r>
        <w:t>S</w:t>
      </w:r>
      <w:r w:rsidR="002F454E">
        <w:t xml:space="preserve">trategickým záměrem Společnosti </w:t>
      </w:r>
      <w:r>
        <w:t xml:space="preserve">v budoucnosti bude: </w:t>
      </w:r>
    </w:p>
    <w:p w:rsidR="00643DD6" w:rsidRPr="00DF67C4" w:rsidRDefault="00643DD6" w:rsidP="00643DD6">
      <w:pPr>
        <w:rPr>
          <w:i/>
        </w:rPr>
      </w:pPr>
      <w:r>
        <w:t>1</w:t>
      </w:r>
      <w:r w:rsidRPr="00DF67C4">
        <w:rPr>
          <w:i/>
        </w:rPr>
        <w:t>) rozvíjení a využití růstových tržních příležitostí k posílení tržní pozice,</w:t>
      </w:r>
    </w:p>
    <w:p w:rsidR="00643DD6" w:rsidRPr="00DF67C4" w:rsidRDefault="00643DD6" w:rsidP="00643DD6">
      <w:pPr>
        <w:rPr>
          <w:i/>
        </w:rPr>
      </w:pPr>
      <w:r w:rsidRPr="00DF67C4">
        <w:rPr>
          <w:i/>
        </w:rPr>
        <w:t xml:space="preserve">2) udržení a rozšíření technologické </w:t>
      </w:r>
      <w:r w:rsidR="00905037">
        <w:rPr>
          <w:i/>
        </w:rPr>
        <w:t xml:space="preserve">excelence </w:t>
      </w:r>
      <w:r w:rsidRPr="00DF67C4">
        <w:rPr>
          <w:i/>
        </w:rPr>
        <w:t>na evropském trhu netkaných textilií typu spunmelt pro výrobu hygienických výrobků na jednorázové použití v EMEA regionu, a</w:t>
      </w:r>
    </w:p>
    <w:p w:rsidR="00643DD6" w:rsidRPr="00DF67C4" w:rsidRDefault="00643DD6" w:rsidP="00643DD6">
      <w:pPr>
        <w:rPr>
          <w:i/>
        </w:rPr>
      </w:pPr>
      <w:r w:rsidRPr="00DF67C4">
        <w:rPr>
          <w:i/>
        </w:rPr>
        <w:t xml:space="preserve">3) zajištění solidní návratnosti pro akcionáře. </w:t>
      </w:r>
    </w:p>
    <w:p w:rsidR="00643DD6" w:rsidRDefault="00643DD6" w:rsidP="00643DD6">
      <w:r>
        <w:t>Záměrem PEGASu je naplňovat tuto strategii tím, že se zaměří na následující oblasti:</w:t>
      </w:r>
    </w:p>
    <w:p w:rsidR="00643DD6" w:rsidRDefault="00643DD6" w:rsidP="00643DD6">
      <w:r w:rsidRPr="004E4380">
        <w:rPr>
          <w:b/>
          <w:color w:val="E2001C"/>
        </w:rPr>
        <w:t>Pokračování v investicích do technologicky vyspělých výrobních kapacit:</w:t>
      </w:r>
      <w:r w:rsidRPr="004E4380">
        <w:t xml:space="preserve"> PEGAS bude pokračovat v instalacích nejmodernějších výrobních kapacit. Poslední výrobní linka ve Znojmě byla spuštěna ve druhé polovině roku 2011 ve Znojmě a nová výrobní linka v Egyptě započala výrobu v roce 2013. </w:t>
      </w:r>
      <w:r w:rsidRPr="009B25FA">
        <w:t>Společnost uzavřela smlouv</w:t>
      </w:r>
      <w:r w:rsidR="004332FA" w:rsidRPr="009B25FA">
        <w:t>u</w:t>
      </w:r>
      <w:r w:rsidRPr="009B25FA">
        <w:t xml:space="preserve"> na dodávku </w:t>
      </w:r>
      <w:r w:rsidR="004332FA" w:rsidRPr="009B25FA">
        <w:t xml:space="preserve">nové </w:t>
      </w:r>
      <w:r w:rsidRPr="009B25FA">
        <w:t>výrobní linky</w:t>
      </w:r>
      <w:r w:rsidR="004332FA" w:rsidRPr="009B25FA">
        <w:t xml:space="preserve"> typu COMPACT</w:t>
      </w:r>
      <w:r w:rsidRPr="004E4380">
        <w:t>, která představuje významný milník v historii Společnosti, jelikož se jedná se o úplně novou platformu, první svého druhu v odvětví netkaných textilií. Tento nový typ výrobní linky je vzhledem k nižším celkovým investičním výdajům, nižším nárokům na infrastrukturu a nižší kapacitě považován za expanzivní platformu vhodnou pro etablování se na nových, zejména rozvíjejících se trzích.</w:t>
      </w:r>
    </w:p>
    <w:p w:rsidR="00643DD6" w:rsidRDefault="00643DD6" w:rsidP="00643DD6">
      <w:r w:rsidRPr="00643DD6">
        <w:rPr>
          <w:b/>
          <w:color w:val="E2001C"/>
        </w:rPr>
        <w:lastRenderedPageBreak/>
        <w:t>Úzká spolupráce se zákazníky a dodavateli:</w:t>
      </w:r>
      <w:r>
        <w:t xml:space="preserve"> PEGAS bude dále pokračovat ve spolupráci se svými zákazníky, výrobci zařízení a dodavateli surovin ve vývoji nových projektů výzkumu a vývoje s předstihem trhu. Cílem Společnosti je zůstat na špičce technického rozvoje v odvětví, dodávat zákazníkům výrobky té nejvyšší kvality a pravidelně vyvíjet nové materiály.</w:t>
      </w:r>
    </w:p>
    <w:p w:rsidR="00643DD6" w:rsidRDefault="00643DD6" w:rsidP="00643DD6">
      <w:r w:rsidRPr="00643DD6">
        <w:rPr>
          <w:b/>
          <w:color w:val="E2001C"/>
        </w:rPr>
        <w:t>Zaměření na technologicky pokročilé produkty:</w:t>
      </w:r>
      <w:r>
        <w:t xml:space="preserve"> PEGAS je největším výrobcem speciálních bi-komponentních netkaných textilií typu spunmelt v regionu EMEA s rozsáhlými zkušenostmi s konfigurací a výrobou ultralehkých materiálů. </w:t>
      </w:r>
      <w:r w:rsidRPr="009B25FA">
        <w:t>V</w:t>
      </w:r>
      <w:r w:rsidR="004332FA" w:rsidRPr="009B25FA">
        <w:t xml:space="preserve"> minulých </w:t>
      </w:r>
      <w:r w:rsidRPr="009B25FA">
        <w:t>letech Společnost</w:t>
      </w:r>
      <w:r>
        <w:t xml:space="preserve"> úspěšně komercializovala nové materiály s mimořádnými vlastnostmi.</w:t>
      </w:r>
    </w:p>
    <w:p w:rsidR="00643DD6" w:rsidRDefault="00643DD6" w:rsidP="00643DD6">
      <w:r w:rsidRPr="00643DD6">
        <w:rPr>
          <w:b/>
          <w:color w:val="E2001C"/>
        </w:rPr>
        <w:t xml:space="preserve">Udržení </w:t>
      </w:r>
      <w:r w:rsidR="00D17321">
        <w:rPr>
          <w:b/>
          <w:color w:val="E2001C"/>
        </w:rPr>
        <w:t xml:space="preserve">dobré </w:t>
      </w:r>
      <w:r w:rsidRPr="00643DD6">
        <w:rPr>
          <w:b/>
          <w:color w:val="E2001C"/>
        </w:rPr>
        <w:t>finanční výkonnosti v odvětví:</w:t>
      </w:r>
      <w:r>
        <w:t xml:space="preserve">  Hlavními cíli PEGASu je růst spolu se svým hlavním trhem, vykazování tržeb v souladu s tímto růstem a  dosahování vysokých provozních marží v porovnání se svými konkurenty. PEGAS efektivně vytváří velké hotovostní prostředky, které jsou dále používány na další expanzi, snížení dluhu a umožňují výplatu dividendy.</w:t>
      </w:r>
    </w:p>
    <w:p w:rsidR="008D5593" w:rsidRPr="007A3749" w:rsidRDefault="00643DD6" w:rsidP="00643DD6">
      <w:r w:rsidRPr="00643DD6">
        <w:rPr>
          <w:b/>
          <w:color w:val="E2001C"/>
        </w:rPr>
        <w:t>Monitorování investičních příležitostí:</w:t>
      </w:r>
      <w:r>
        <w:t xml:space="preserve"> Společnost bude i nadále monitorovat investiční příležitosti mimo Českou republiku, jež by mohly vést buď k akvizici, nebo k otevření výrobních kapacit v jiných teritoriích.</w:t>
      </w:r>
    </w:p>
    <w:p w:rsidR="00C80B0E" w:rsidRPr="007A3749" w:rsidRDefault="00161F66" w:rsidP="00396F0C">
      <w:pPr>
        <w:pStyle w:val="Heading2"/>
      </w:pPr>
      <w:bookmarkStart w:id="35" w:name="_Toc269907492"/>
      <w:bookmarkStart w:id="36" w:name="_Toc458586520"/>
      <w:r w:rsidRPr="008A66C6">
        <w:t>Rizikové faktory</w:t>
      </w:r>
      <w:bookmarkEnd w:id="35"/>
      <w:bookmarkEnd w:id="36"/>
    </w:p>
    <w:p w:rsidR="002F454E" w:rsidRDefault="002F454E" w:rsidP="002F454E">
      <w:r>
        <w:t>Podnikání, provozní a finanční činnost Společnosti mohou být nepříznivě ovlivněny následujícími faktory:</w:t>
      </w:r>
    </w:p>
    <w:p w:rsidR="002F454E" w:rsidRDefault="00966F02" w:rsidP="002F454E">
      <w:pPr>
        <w:pStyle w:val="Heading4"/>
      </w:pPr>
      <w:r>
        <w:br w:type="column"/>
      </w:r>
      <w:r w:rsidR="002F454E">
        <w:lastRenderedPageBreak/>
        <w:t>Marketing a Prodej</w:t>
      </w:r>
    </w:p>
    <w:p w:rsidR="002F454E" w:rsidRDefault="002F454E" w:rsidP="002F454E">
      <w:r>
        <w:t>PEGAS provozuje podnikání na vysoce konkurenčním trhu a vznik nových konkurentů nebo spuštění nových výrobních kapacit jedním ze stávajících konkurentů může negativně ovlivnit prodeje a marže Společnosti.</w:t>
      </w:r>
    </w:p>
    <w:p w:rsidR="002F454E" w:rsidRDefault="002F454E" w:rsidP="002F454E">
      <w:r>
        <w:t>Vysoká koncentrace zákazníků, kteří představují významné procento tržeb Společnosti a ztráta jednoho nebo více takových zákazníků může mít negativní vliv na tržby a ziskovost Společnosti.</w:t>
      </w:r>
    </w:p>
    <w:p w:rsidR="002F454E" w:rsidRDefault="002F454E" w:rsidP="002F454E">
      <w:r>
        <w:t>Změna v poptávce koncových uživatelů hygienických výrobků a přesun preferencí k levnějším výrobkům může vést ke změně prodejního portfolia a ovlivnit prodeje a ziskovost Společnosti.</w:t>
      </w:r>
    </w:p>
    <w:p w:rsidR="002F454E" w:rsidRDefault="002F454E" w:rsidP="002F454E">
      <w:pPr>
        <w:pStyle w:val="Heading4"/>
      </w:pPr>
      <w:r>
        <w:t>Výroba</w:t>
      </w:r>
    </w:p>
    <w:p w:rsidR="002F454E" w:rsidRDefault="002F454E" w:rsidP="002F454E">
      <w:r>
        <w:t xml:space="preserve">Přerušení výroby může mít </w:t>
      </w:r>
      <w:r w:rsidR="004332FA">
        <w:t>významný</w:t>
      </w:r>
      <w:r>
        <w:t xml:space="preserve"> vliv na chod Společnosti. PEGAS je závislý na jednom výrobci strojů a poskytovateli technické podpory výrobních linek. PEGAS nebude moci rekonfigurovat své výrobní linky včas a tímto reagovat na změny poptávky po určitých typech netkaných textilií. Výrobní zařízení od jiných výrobců se mohou ukázat jako výkonnější a rychleji rozvíjející se nežli dodavatel zařízení pro PEGAS.</w:t>
      </w:r>
    </w:p>
    <w:p w:rsidR="002F454E" w:rsidRDefault="002F454E" w:rsidP="002F454E">
      <w:r>
        <w:t>Konkurenti Společnosti mohou mít přístup k většímu objemu kapitálových zdrojů za lepších podmínek a tímto mohou být schopni modernizovat a expandovat jejich výrobu rychleji než PEGAS a získat tak významnou konkurenční výhodu.</w:t>
      </w:r>
    </w:p>
    <w:p w:rsidR="002F454E" w:rsidRDefault="002F454E" w:rsidP="002F454E">
      <w:r>
        <w:t xml:space="preserve">Stabilita dodávek a dopravy výrobků Společnosti zákazníkům může být předmětem rizik a nejistot. </w:t>
      </w:r>
    </w:p>
    <w:p w:rsidR="002F454E" w:rsidRDefault="002F454E" w:rsidP="002F454E">
      <w:r>
        <w:lastRenderedPageBreak/>
        <w:t xml:space="preserve">PEGAS je závislý na externích dodavatelích klíčových surovin a růst nákladů surovin a elektrické energie může mít materiální vliv na finanční a provozní výkonnost Společnosti, přestože je růst cen polymerů převážně přenesen do zákaznických cen. </w:t>
      </w:r>
    </w:p>
    <w:p w:rsidR="002F454E" w:rsidRDefault="002F454E" w:rsidP="002F454E">
      <w:pPr>
        <w:pStyle w:val="Heading4"/>
      </w:pPr>
      <w:r>
        <w:t>Výzkum a vývoj</w:t>
      </w:r>
    </w:p>
    <w:p w:rsidR="002F454E" w:rsidRDefault="002F454E" w:rsidP="002F454E">
      <w:r>
        <w:t xml:space="preserve">Konkurenti Společnosti mohou vyvinout nové materiály požadované zákazníky a získat tak konkurenční výhodu, jenž může mít negativní vliv na tržby a ziskovost Společnosti. </w:t>
      </w:r>
    </w:p>
    <w:p w:rsidR="002F454E" w:rsidRDefault="002F454E" w:rsidP="002F454E">
      <w:pPr>
        <w:pStyle w:val="Heading4"/>
      </w:pPr>
      <w:r>
        <w:t>Potenciální expanze</w:t>
      </w:r>
    </w:p>
    <w:p w:rsidR="002F454E" w:rsidRDefault="002F454E" w:rsidP="002F454E">
      <w:r>
        <w:t>PEGAS je vystaven riziku spojenému s možnými akvizicemi</w:t>
      </w:r>
      <w:r w:rsidR="004332FA">
        <w:t xml:space="preserve"> nebo</w:t>
      </w:r>
      <w:r>
        <w:t xml:space="preserve"> investicemi, strategickým partnerstvím nebo alianc</w:t>
      </w:r>
      <w:r w:rsidR="004332FA">
        <w:t>emi</w:t>
      </w:r>
      <w:r>
        <w:t xml:space="preserve">, </w:t>
      </w:r>
      <w:r w:rsidR="004332FA">
        <w:t xml:space="preserve">které </w:t>
      </w:r>
      <w:r>
        <w:t>zahrnuj</w:t>
      </w:r>
      <w:r w:rsidR="004332FA">
        <w:t>e</w:t>
      </w:r>
      <w:r>
        <w:t xml:space="preserve"> identifikaci příležitosti, riziko dokončení transakce a integrace třetích stran do Společnosti.</w:t>
      </w:r>
    </w:p>
    <w:p w:rsidR="002F454E" w:rsidRDefault="002F454E" w:rsidP="002F454E">
      <w:pPr>
        <w:pStyle w:val="Heading4"/>
      </w:pPr>
      <w:r>
        <w:t>Právo a duševní vlastnictví</w:t>
      </w:r>
    </w:p>
    <w:p w:rsidR="002F454E" w:rsidRDefault="002F454E" w:rsidP="002F454E">
      <w:r>
        <w:t xml:space="preserve">Podnikání Společnosti je vystaveno finančním a provozním nejistotám a ovlivněno legislativou a právním rámcem, jež mohou mít vliv na provozní a finanční výkonnost.  </w:t>
      </w:r>
    </w:p>
    <w:p w:rsidR="002F454E" w:rsidRDefault="002F454E" w:rsidP="002F454E">
      <w:r>
        <w:t xml:space="preserve">PEGAS může porušovat právo týkající se duševního vlastnictví jiných osob. </w:t>
      </w:r>
    </w:p>
    <w:p w:rsidR="002F454E" w:rsidRDefault="002F454E" w:rsidP="002F454E">
      <w:r>
        <w:t>Negativní výsledek soudních sporů PEGASu může mít vliv na chod Společnosti a její budoucí výhledy.</w:t>
      </w:r>
    </w:p>
    <w:p w:rsidR="002F454E" w:rsidRDefault="002F454E" w:rsidP="002F454E">
      <w:pPr>
        <w:pStyle w:val="Heading4"/>
      </w:pPr>
      <w:r>
        <w:t>Finance</w:t>
      </w:r>
    </w:p>
    <w:p w:rsidR="002F454E" w:rsidRDefault="002F454E" w:rsidP="002F454E">
      <w:r>
        <w:t xml:space="preserve">Zadlužení Společnosti může negativně ovlivnit finanční podmínky a provozní výsledky. Výše úroků placených na externím dluhu může být bankami přehodnocena důsledkem krize finančního </w:t>
      </w:r>
      <w:r>
        <w:lastRenderedPageBreak/>
        <w:t>sektoru a zvýšené úrokové náklady mohou negativně ovlivnit ziskovost Společnosti.</w:t>
      </w:r>
    </w:p>
    <w:p w:rsidR="002F454E" w:rsidRDefault="002F454E" w:rsidP="002F454E">
      <w:r>
        <w:t>Současné zadlužení a změna podmínek externího dluhu (kovenanty) mohou vést k změně současné progresivní dividendové politiky Společnosti.</w:t>
      </w:r>
    </w:p>
    <w:p w:rsidR="004332FA" w:rsidRDefault="002F454E" w:rsidP="002F454E">
      <w:r>
        <w:t xml:space="preserve">Volatilita kurzu české koruny a Eura může negativně ovlivnit ziskovost Společnosti. </w:t>
      </w:r>
    </w:p>
    <w:p w:rsidR="002F454E" w:rsidRDefault="002F454E" w:rsidP="002F454E">
      <w:r>
        <w:t>Provozní společnosti PEGASu těží z daňových výhod přiznaných českou vládou. Pokud dojde ke změnám v daňovém systému, snížení nebo zrušení daňových výhod, bude to mít negativní vliv na ziskovost Společnosti.</w:t>
      </w:r>
    </w:p>
    <w:p w:rsidR="002F454E" w:rsidRDefault="002F454E" w:rsidP="002F454E">
      <w:r>
        <w:t>Fluktuace cen polymerů, jež je přenášena na zákazníka s určitým zpožděním</w:t>
      </w:r>
      <w:r w:rsidR="004332FA">
        <w:t>,</w:t>
      </w:r>
      <w:r>
        <w:t xml:space="preserve"> může krátkodobě ovlivnit výnosy Společnosti a její ziskovost.</w:t>
      </w:r>
    </w:p>
    <w:p w:rsidR="002F454E" w:rsidRDefault="002F454E" w:rsidP="002F454E">
      <w:r>
        <w:t>Pojistné krytí nemusí dostatečně krýt veškerá rizika ztráty.</w:t>
      </w:r>
    </w:p>
    <w:p w:rsidR="002F454E" w:rsidRDefault="002F454E" w:rsidP="002F454E">
      <w:pPr>
        <w:pStyle w:val="Heading4"/>
      </w:pPr>
      <w:r>
        <w:t>Bezpečnost, životní prostředí a bezpečnost práce</w:t>
      </w:r>
    </w:p>
    <w:p w:rsidR="002F454E" w:rsidRDefault="002F454E" w:rsidP="002F454E">
      <w:r>
        <w:t>Plnění zákonných povinností a změny v zákonech týkající se bezpečnosti, zdraví a životního prostředí mohou mít vliv na provozní a finanční výkonnost Společnosti.</w:t>
      </w:r>
    </w:p>
    <w:p w:rsidR="002F454E" w:rsidRDefault="002F454E" w:rsidP="002F454E">
      <w:pPr>
        <w:pStyle w:val="Heading4"/>
      </w:pPr>
      <w:r>
        <w:t xml:space="preserve">Klíčoví zaměstnanci a technická expertíza </w:t>
      </w:r>
    </w:p>
    <w:p w:rsidR="002F454E" w:rsidRDefault="002F454E" w:rsidP="002F454E">
      <w:r>
        <w:t xml:space="preserve">Ztráta klíčových manažerů Společnosti může mít negativní vliv na chod Společnosti. </w:t>
      </w:r>
    </w:p>
    <w:p w:rsidR="002F454E" w:rsidRDefault="002F454E" w:rsidP="002F454E">
      <w:r>
        <w:t xml:space="preserve">PEGAS nemusí být schopen zaměstnat a udržet požadovaný počet kvalifikovaných pracovních sil vzhledem k jejich omezenému počtu na trhu a vysoké poptávce. </w:t>
      </w:r>
    </w:p>
    <w:p w:rsidR="002F454E" w:rsidRDefault="00905037" w:rsidP="002F454E">
      <w:pPr>
        <w:pStyle w:val="Heading4"/>
      </w:pPr>
      <w:r>
        <w:br w:type="column"/>
      </w:r>
      <w:r w:rsidR="002F454E">
        <w:lastRenderedPageBreak/>
        <w:t>Změny vlastnictví</w:t>
      </w:r>
    </w:p>
    <w:p w:rsidR="002F454E" w:rsidRDefault="002F454E" w:rsidP="002F454E">
      <w:r>
        <w:t xml:space="preserve">100% akcií PEGASu je volně obchodovatelných a vlastnická struktura je velmi roztříštěná a rozdělená mezi mnoho akcionářů. Potenciální vstup majoritního investora do Společnosti může vést k náhlé změně dlouhodobé strategie a ovlivnit hodnotu akcií. </w:t>
      </w:r>
    </w:p>
    <w:p w:rsidR="002F454E" w:rsidRDefault="002F454E" w:rsidP="002F454E">
      <w:pPr>
        <w:pStyle w:val="Heading4"/>
      </w:pPr>
      <w:r>
        <w:t>Rizikové faktory související s investicí v Egyptě</w:t>
      </w:r>
    </w:p>
    <w:p w:rsidR="002F454E" w:rsidRDefault="002F454E" w:rsidP="002F454E">
      <w:r>
        <w:t xml:space="preserve">Investice na rozvíjejících se trzích jako je Egypt obvykle nesou vyšší úroveň rizika nežli investice v rozvinutějších zemích. Tyto rizika zahrnují, ale nejsou omezeny na, změny v politickém prostředí, transfer zisků, znárodnění nebo politicky motivované páchání škod. Egyptská ekonomika může být v budoucnu náchylná k negativním dopadům, které jsou obdobné jako v jiných rozvíjejících se zemích. </w:t>
      </w:r>
    </w:p>
    <w:p w:rsidR="002F454E" w:rsidRDefault="002F454E" w:rsidP="002F454E">
      <w:r>
        <w:t xml:space="preserve">Egypt se nachází v regionu, který je zejména v posledních letech předmětem neustálých politických a bezpečnostních nepokojů. Stejně jako v jiných zemích v tomto regionu, Egypt byl v minulosti cílem náhodných teroristických útoků. Není zaručeno, že extremisté nebo teroristické skupiny nebudou vyvolávat nebo pokračovat v Egyptě v náhodných aktech násilí nebo že vláda bude i nadále schopna relativně úspěšně udržet současnou úroveň pořádku a stability v zemi. </w:t>
      </w:r>
    </w:p>
    <w:p w:rsidR="007B4094" w:rsidRPr="007A3749" w:rsidRDefault="00905037" w:rsidP="002F454E">
      <w:pPr>
        <w:rPr>
          <w:rFonts w:cs="Arial"/>
        </w:rPr>
      </w:pPr>
      <w:r>
        <w:br w:type="column"/>
      </w:r>
      <w:r w:rsidR="002F454E">
        <w:lastRenderedPageBreak/>
        <w:t>Ačkoliv PEGAS uzavřel pojistnou smlouvu s EGAPem na krytí rizik spojených s investicí v Egyptě, která zahrnuje pojištění investice vůči rizikům jako je ochrana transferu zisků, znárodnění nebo politicky motivované páchání škod, je tu riziko, že pojistné krytí dostatečně neochrání PEGAS vůči veškerým možným ztrátám v souvislosti s investicí v Egyptě.</w:t>
      </w:r>
    </w:p>
    <w:p w:rsidR="00BD78CE" w:rsidRPr="007A3749" w:rsidRDefault="00BD78CE" w:rsidP="007A3749">
      <w:pPr>
        <w:pStyle w:val="NormalWeb"/>
      </w:pPr>
      <w:r w:rsidRPr="007A3749">
        <w:t xml:space="preserve"> </w:t>
      </w:r>
    </w:p>
    <w:p w:rsidR="00A910E6" w:rsidRPr="007A3749" w:rsidRDefault="00A910E6" w:rsidP="00396F0C">
      <w:pPr>
        <w:pStyle w:val="Heading1"/>
        <w:sectPr w:rsidR="00A910E6" w:rsidRPr="007A3749" w:rsidSect="00396F0C">
          <w:type w:val="continuous"/>
          <w:pgSz w:w="11906" w:h="16838"/>
          <w:pgMar w:top="1417" w:right="1417" w:bottom="1417" w:left="1417" w:header="708" w:footer="708" w:gutter="0"/>
          <w:cols w:num="2" w:space="708"/>
          <w:docGrid w:linePitch="360"/>
        </w:sectPr>
      </w:pPr>
      <w:bookmarkStart w:id="37" w:name="_Toc165188447"/>
      <w:bookmarkEnd w:id="23"/>
    </w:p>
    <w:p w:rsidR="006E2C36" w:rsidRDefault="00A910E6" w:rsidP="00396F0C">
      <w:pPr>
        <w:pStyle w:val="Heading1"/>
      </w:pPr>
      <w:bookmarkStart w:id="38" w:name="_Toc269907493"/>
      <w:bookmarkStart w:id="39" w:name="_Toc458586521"/>
      <w:r w:rsidRPr="002C2EF0">
        <w:lastRenderedPageBreak/>
        <w:t>Akcie a akcionářská struktura</w:t>
      </w:r>
      <w:bookmarkEnd w:id="38"/>
      <w:bookmarkEnd w:id="39"/>
    </w:p>
    <w:p w:rsidR="00153CF7" w:rsidRDefault="00153CF7" w:rsidP="00396F0C">
      <w:pPr>
        <w:pStyle w:val="Heading1"/>
      </w:pPr>
      <w:r w:rsidRPr="002C2EF0">
        <w:t xml:space="preserve"> </w:t>
      </w:r>
    </w:p>
    <w:p w:rsidR="006E2C36" w:rsidRDefault="006E2C36" w:rsidP="006E2C36">
      <w:pPr>
        <w:sectPr w:rsidR="006E2C36" w:rsidSect="006E2C36">
          <w:pgSz w:w="11906" w:h="16838"/>
          <w:pgMar w:top="1417" w:right="1417" w:bottom="1417" w:left="1417" w:header="708" w:footer="708" w:gutter="0"/>
          <w:cols w:space="708"/>
          <w:docGrid w:linePitch="360"/>
        </w:sectPr>
      </w:pPr>
    </w:p>
    <w:p w:rsidR="00C7706F" w:rsidRPr="002C2EF0" w:rsidRDefault="00A910E6" w:rsidP="00396F0C">
      <w:pPr>
        <w:pStyle w:val="Heading4"/>
      </w:pPr>
      <w:r w:rsidRPr="008A66C6">
        <w:lastRenderedPageBreak/>
        <w:t>Struktura akcionářů k 30</w:t>
      </w:r>
      <w:r w:rsidR="00EC395D" w:rsidRPr="008A66C6">
        <w:t>. červnu 20</w:t>
      </w:r>
      <w:r w:rsidR="00BB2343" w:rsidRPr="008A66C6">
        <w:t>16</w:t>
      </w:r>
    </w:p>
    <w:tbl>
      <w:tblPr>
        <w:tblW w:w="4625" w:type="pct"/>
        <w:tblBorders>
          <w:top w:val="single" w:sz="4" w:space="0" w:color="9C9D9F"/>
          <w:left w:val="single" w:sz="4" w:space="0" w:color="9C9D9F"/>
          <w:bottom w:val="single" w:sz="4" w:space="0" w:color="9C9D9F"/>
          <w:right w:val="single" w:sz="4" w:space="0" w:color="9C9D9F"/>
          <w:insideH w:val="single" w:sz="4" w:space="0" w:color="9C9D9F"/>
        </w:tblBorders>
        <w:tblLook w:val="01E0" w:firstRow="1" w:lastRow="1" w:firstColumn="1" w:lastColumn="1" w:noHBand="0" w:noVBand="0"/>
      </w:tblPr>
      <w:tblGrid>
        <w:gridCol w:w="2988"/>
        <w:gridCol w:w="1080"/>
      </w:tblGrid>
      <w:tr w:rsidR="00C7706F" w:rsidRPr="007A3749" w:rsidTr="009358D2">
        <w:tc>
          <w:tcPr>
            <w:tcW w:w="3673" w:type="pct"/>
          </w:tcPr>
          <w:p w:rsidR="00C7706F" w:rsidRPr="007A3749" w:rsidRDefault="00A910E6" w:rsidP="009358D2">
            <w:pPr>
              <w:jc w:val="left"/>
            </w:pPr>
            <w:r w:rsidRPr="007A3749">
              <w:t xml:space="preserve">Institucionální a drobní investoři </w:t>
            </w:r>
          </w:p>
        </w:tc>
        <w:tc>
          <w:tcPr>
            <w:tcW w:w="1327" w:type="pct"/>
          </w:tcPr>
          <w:p w:rsidR="00C7706F" w:rsidRPr="007A3749" w:rsidRDefault="00D04D50" w:rsidP="00396F0C">
            <w:pPr>
              <w:jc w:val="right"/>
            </w:pPr>
            <w:r w:rsidRPr="007A3749">
              <w:t>100</w:t>
            </w:r>
            <w:r w:rsidR="00396F0C">
              <w:t>,0</w:t>
            </w:r>
            <w:r w:rsidR="00865CEE" w:rsidRPr="007A3749">
              <w:t xml:space="preserve"> </w:t>
            </w:r>
            <w:r w:rsidR="00C7706F" w:rsidRPr="007A3749">
              <w:t>%</w:t>
            </w:r>
          </w:p>
        </w:tc>
      </w:tr>
      <w:tr w:rsidR="00C7706F" w:rsidRPr="007A3749" w:rsidTr="009358D2">
        <w:tc>
          <w:tcPr>
            <w:tcW w:w="3673" w:type="pct"/>
          </w:tcPr>
          <w:p w:rsidR="00C7706F" w:rsidRPr="007A3749" w:rsidRDefault="000D6B8A" w:rsidP="009358D2">
            <w:pPr>
              <w:ind w:left="270"/>
              <w:jc w:val="left"/>
            </w:pPr>
            <w:r w:rsidRPr="007A3749">
              <w:t>z</w:t>
            </w:r>
            <w:r w:rsidR="0094528D" w:rsidRPr="007A3749">
              <w:t xml:space="preserve"> toho</w:t>
            </w:r>
            <w:r w:rsidR="00A910E6" w:rsidRPr="007A3749">
              <w:t xml:space="preserve"> management Společnosti</w:t>
            </w:r>
          </w:p>
        </w:tc>
        <w:tc>
          <w:tcPr>
            <w:tcW w:w="1327" w:type="pct"/>
          </w:tcPr>
          <w:p w:rsidR="00C7706F" w:rsidRPr="007A3749" w:rsidRDefault="009358D2" w:rsidP="00396F0C">
            <w:pPr>
              <w:jc w:val="right"/>
            </w:pPr>
            <w:r>
              <w:t>0,0</w:t>
            </w:r>
            <w:r w:rsidR="002A78C5" w:rsidRPr="007A3749">
              <w:t xml:space="preserve"> </w:t>
            </w:r>
            <w:r w:rsidR="00C7706F" w:rsidRPr="007A3749">
              <w:t>%</w:t>
            </w:r>
          </w:p>
        </w:tc>
      </w:tr>
    </w:tbl>
    <w:p w:rsidR="00A910E6" w:rsidRPr="007A3749" w:rsidRDefault="00BB2343" w:rsidP="007A3749">
      <w:pPr>
        <w:pStyle w:val="NormalWeb"/>
      </w:pPr>
      <w:r>
        <w:t xml:space="preserve">K </w:t>
      </w:r>
      <w:r w:rsidR="009358D2">
        <w:t xml:space="preserve">31. prosinci 2015 a </w:t>
      </w:r>
      <w:r>
        <w:t xml:space="preserve">30. </w:t>
      </w:r>
      <w:r w:rsidR="009358D2">
        <w:t>č</w:t>
      </w:r>
      <w:r>
        <w:t xml:space="preserve">ervnu 2016 </w:t>
      </w:r>
      <w:r w:rsidR="004332FA">
        <w:t>nevlastnil</w:t>
      </w:r>
      <w:r>
        <w:t xml:space="preserve"> </w:t>
      </w:r>
      <w:r w:rsidR="004C4DE2" w:rsidRPr="007A3749">
        <w:t>management</w:t>
      </w:r>
      <w:r w:rsidR="00A910E6" w:rsidRPr="007A3749">
        <w:t xml:space="preserve"> </w:t>
      </w:r>
      <w:r>
        <w:t xml:space="preserve">žádnou akcii </w:t>
      </w:r>
      <w:r w:rsidR="00A910E6" w:rsidRPr="007A3749">
        <w:t>Společnosti</w:t>
      </w:r>
      <w:r>
        <w:t>.</w:t>
      </w:r>
      <w:r w:rsidR="00A910E6" w:rsidRPr="007A3749">
        <w:t xml:space="preserve"> </w:t>
      </w:r>
    </w:p>
    <w:p w:rsidR="009358D2" w:rsidRDefault="009358D2" w:rsidP="009358D2">
      <w:r>
        <w:t>Dne 2. dubna 2016 obdržela Společnost hlášení akcionáře o tom, že společnost Templeton Asset Management Ltd. držela ke dni 31. března 2016 197 073 akcií společnosti PEGAS NONWOVENS SA, což představuje 2,14% podíl na základním kapitálu a hlasovacích právech Společnosti. Před 31. březnem 2016 Templeton Asset Management Ltd. držel 903 059 akcií Společnosti, což představovalo 9,78% podíl na základním kapitálu a hlasovacích právech Společnosti.</w:t>
      </w:r>
    </w:p>
    <w:p w:rsidR="00E72C01" w:rsidRPr="007A3749" w:rsidRDefault="009358D2" w:rsidP="009358D2">
      <w:r>
        <w:t>Dne 2. dubna 2016 obdržela Společnost hlášení akcionáře o tom, že společnost Franklin Templeton Investment Management Limited držela ke dni 31. března 2016 494 963 akcií společnosti PEGAS NONWOVENS SA, což představuje 5,36% podíl na základním kapitálu a hlasovacích právech Společnosti.</w:t>
      </w:r>
    </w:p>
    <w:p w:rsidR="00801657" w:rsidRPr="007A3749" w:rsidRDefault="004D2A3A" w:rsidP="007A3749">
      <w:r w:rsidRPr="007A3749">
        <w:t xml:space="preserve">Kromě </w:t>
      </w:r>
      <w:r w:rsidR="009358D2">
        <w:t xml:space="preserve">těchto </w:t>
      </w:r>
      <w:r w:rsidRPr="007A3749">
        <w:t xml:space="preserve">hlášení Společnost neobdržela za </w:t>
      </w:r>
      <w:r w:rsidR="00BD78CE" w:rsidRPr="007A3749">
        <w:t>období prvních šesti měsíc</w:t>
      </w:r>
      <w:r w:rsidR="00A34576" w:rsidRPr="007A3749">
        <w:t xml:space="preserve">ů </w:t>
      </w:r>
      <w:r w:rsidR="007F2709" w:rsidRPr="007A3749">
        <w:t>roku</w:t>
      </w:r>
      <w:r w:rsidR="00801657" w:rsidRPr="007A3749">
        <w:t xml:space="preserve"> 201</w:t>
      </w:r>
      <w:r w:rsidR="009358D2">
        <w:t>6</w:t>
      </w:r>
      <w:r w:rsidR="003426C4" w:rsidRPr="007A3749">
        <w:t xml:space="preserve"> žádn</w:t>
      </w:r>
      <w:r w:rsidR="008601BB" w:rsidRPr="007A3749">
        <w:t>é</w:t>
      </w:r>
      <w:r w:rsidR="003426C4" w:rsidRPr="007A3749">
        <w:t xml:space="preserve"> </w:t>
      </w:r>
      <w:r w:rsidRPr="007A3749">
        <w:t xml:space="preserve">další </w:t>
      </w:r>
      <w:r w:rsidR="003426C4" w:rsidRPr="007A3749">
        <w:t xml:space="preserve">hlášení akcionáře o nabytí či změně významného podílu na základním kapitálu a hlasovacích právech </w:t>
      </w:r>
      <w:r w:rsidR="00BD1725" w:rsidRPr="007A3749">
        <w:t>spojených s akciemi vydan</w:t>
      </w:r>
      <w:r w:rsidR="006902A4" w:rsidRPr="007A3749">
        <w:t xml:space="preserve">ých Společností. </w:t>
      </w:r>
    </w:p>
    <w:p w:rsidR="00C7706F" w:rsidRPr="002C2EF0" w:rsidRDefault="00BD1725" w:rsidP="00396F0C">
      <w:pPr>
        <w:pStyle w:val="Heading4"/>
      </w:pPr>
      <w:r w:rsidRPr="008A66C6">
        <w:lastRenderedPageBreak/>
        <w:t xml:space="preserve">Vývoj ceny akcií a vývoj obchodování v první polovině </w:t>
      </w:r>
      <w:r w:rsidR="00C036D9" w:rsidRPr="008A66C6">
        <w:t xml:space="preserve">roku </w:t>
      </w:r>
      <w:r w:rsidR="003426C4" w:rsidRPr="008A66C6">
        <w:t>20</w:t>
      </w:r>
      <w:r w:rsidR="00640CBC" w:rsidRPr="008A66C6">
        <w:t>1</w:t>
      </w:r>
      <w:r w:rsidR="009358D2" w:rsidRPr="008A66C6">
        <w:t>6</w:t>
      </w:r>
    </w:p>
    <w:p w:rsidR="006505EC" w:rsidRPr="007A3749" w:rsidRDefault="006505EC" w:rsidP="007A3749">
      <w:pPr>
        <w:pStyle w:val="NormalWeb"/>
      </w:pPr>
      <w:r w:rsidRPr="007A3749">
        <w:t>Akc</w:t>
      </w:r>
      <w:r w:rsidR="00C00806" w:rsidRPr="007A3749">
        <w:t xml:space="preserve">ie jsou obchodovány na </w:t>
      </w:r>
      <w:r w:rsidR="004E6C73">
        <w:t>B</w:t>
      </w:r>
      <w:r w:rsidR="00C036D9" w:rsidRPr="007A3749">
        <w:t xml:space="preserve">urze cenných papírů </w:t>
      </w:r>
      <w:r w:rsidR="00187ADB" w:rsidRPr="007A3749">
        <w:t xml:space="preserve">v </w:t>
      </w:r>
      <w:r w:rsidR="00C036D9" w:rsidRPr="007A3749">
        <w:t>Pra</w:t>
      </w:r>
      <w:r w:rsidR="00187ADB" w:rsidRPr="007A3749">
        <w:t>ze</w:t>
      </w:r>
      <w:r w:rsidR="00C036D9" w:rsidRPr="007A3749">
        <w:t xml:space="preserve"> (</w:t>
      </w:r>
      <w:r w:rsidR="00C00806" w:rsidRPr="007A3749">
        <w:t>BCP</w:t>
      </w:r>
      <w:r w:rsidRPr="007A3749">
        <w:t>P</w:t>
      </w:r>
      <w:r w:rsidR="00C036D9" w:rsidRPr="007A3749">
        <w:t>)</w:t>
      </w:r>
      <w:r w:rsidRPr="007A3749">
        <w:t xml:space="preserve"> pod </w:t>
      </w:r>
      <w:r w:rsidR="00C036D9" w:rsidRPr="007A3749">
        <w:t xml:space="preserve">identifikačním číslem </w:t>
      </w:r>
      <w:r w:rsidR="00C7706F" w:rsidRPr="007A3749">
        <w:t>ISIN LU0275164910</w:t>
      </w:r>
      <w:r w:rsidR="00C036D9" w:rsidRPr="007A3749">
        <w:t xml:space="preserve">, zkratkou </w:t>
      </w:r>
      <w:r w:rsidR="00C7706F" w:rsidRPr="007A3749">
        <w:t>BAAPEGAS a</w:t>
      </w:r>
      <w:r w:rsidRPr="007A3749">
        <w:t xml:space="preserve"> na burze ve Varšavě pod </w:t>
      </w:r>
      <w:r w:rsidR="00C036D9" w:rsidRPr="007A3749">
        <w:t xml:space="preserve">zkratkou </w:t>
      </w:r>
      <w:r w:rsidR="00C7706F" w:rsidRPr="007A3749">
        <w:t xml:space="preserve">PGS. </w:t>
      </w:r>
      <w:r w:rsidRPr="007A3749">
        <w:t>Akcie</w:t>
      </w:r>
      <w:r w:rsidR="00C7706F" w:rsidRPr="007A3749">
        <w:t xml:space="preserve"> PEGAS </w:t>
      </w:r>
      <w:r w:rsidR="004A3055" w:rsidRPr="007A3749">
        <w:t>NONWOVENS SA</w:t>
      </w:r>
      <w:r w:rsidR="00C7706F" w:rsidRPr="007A3749">
        <w:t xml:space="preserve"> </w:t>
      </w:r>
      <w:r w:rsidRPr="007A3749">
        <w:t xml:space="preserve">jsou od 19. března 2007 součástí </w:t>
      </w:r>
      <w:r w:rsidR="00C7706F" w:rsidRPr="007A3749">
        <w:t>PX index</w:t>
      </w:r>
      <w:r w:rsidRPr="007A3749">
        <w:t>u</w:t>
      </w:r>
      <w:r w:rsidR="00C7706F" w:rsidRPr="007A3749">
        <w:t>,</w:t>
      </w:r>
      <w:r w:rsidRPr="007A3749">
        <w:t xml:space="preserve"> jenž se sestává</w:t>
      </w:r>
      <w:r w:rsidR="00EB18EC" w:rsidRPr="007A3749">
        <w:t xml:space="preserve"> ze všech hlavních emisí na B</w:t>
      </w:r>
      <w:r w:rsidRPr="007A3749">
        <w:t>CP</w:t>
      </w:r>
      <w:r w:rsidR="00EB18EC" w:rsidRPr="007A3749">
        <w:t>P</w:t>
      </w:r>
      <w:r w:rsidRPr="007A3749">
        <w:t>.</w:t>
      </w:r>
      <w:r w:rsidR="00C7706F" w:rsidRPr="007A3749">
        <w:t xml:space="preserve"> </w:t>
      </w:r>
    </w:p>
    <w:p w:rsidR="006505EC" w:rsidRPr="007A3749" w:rsidRDefault="00EE3124" w:rsidP="007A3749">
      <w:pPr>
        <w:pStyle w:val="NormalWeb"/>
      </w:pPr>
      <w:r w:rsidRPr="007A3749">
        <w:t xml:space="preserve">V první polovině </w:t>
      </w:r>
      <w:r w:rsidR="00187ADB" w:rsidRPr="007A3749">
        <w:t xml:space="preserve">roku </w:t>
      </w:r>
      <w:r w:rsidRPr="007A3749">
        <w:t>201</w:t>
      </w:r>
      <w:r w:rsidR="009358D2">
        <w:t>6</w:t>
      </w:r>
      <w:r w:rsidR="006505EC" w:rsidRPr="007A3749">
        <w:t xml:space="preserve"> se akcie PEGASu na BC</w:t>
      </w:r>
      <w:r w:rsidR="00C00806" w:rsidRPr="007A3749">
        <w:t>P</w:t>
      </w:r>
      <w:r w:rsidR="006505EC" w:rsidRPr="007A3749">
        <w:t xml:space="preserve">P zobchodovaly v celkovém objemu </w:t>
      </w:r>
      <w:r w:rsidR="009358D2">
        <w:t>613</w:t>
      </w:r>
      <w:r w:rsidR="001D4B26" w:rsidRPr="007A3749">
        <w:t xml:space="preserve"> </w:t>
      </w:r>
      <w:r w:rsidR="00B37D73" w:rsidRPr="007A3749">
        <w:t>milionů</w:t>
      </w:r>
      <w:r w:rsidR="006505EC" w:rsidRPr="007A3749">
        <w:t xml:space="preserve"> Kč a na burze ve Varšavě v celkovém objemu </w:t>
      </w:r>
      <w:r w:rsidR="00BE2338">
        <w:t>3,6</w:t>
      </w:r>
      <w:r w:rsidR="00B37D73" w:rsidRPr="007A3749">
        <w:t xml:space="preserve"> </w:t>
      </w:r>
      <w:r w:rsidR="00326B49" w:rsidRPr="007A3749">
        <w:t>milionu</w:t>
      </w:r>
      <w:r w:rsidR="006505EC" w:rsidRPr="007A3749">
        <w:t xml:space="preserve"> PLN. Nejnižší cena byl</w:t>
      </w:r>
      <w:r w:rsidR="00D04D50" w:rsidRPr="007A3749">
        <w:t>a</w:t>
      </w:r>
      <w:r w:rsidR="00C036D9" w:rsidRPr="007A3749">
        <w:t xml:space="preserve"> </w:t>
      </w:r>
      <w:r w:rsidR="005F221E" w:rsidRPr="007A3749">
        <w:t>v průběhu</w:t>
      </w:r>
      <w:r w:rsidR="00C036D9" w:rsidRPr="007A3749">
        <w:t xml:space="preserve"> </w:t>
      </w:r>
      <w:r w:rsidR="0084562B" w:rsidRPr="007A3749">
        <w:t xml:space="preserve">prvních </w:t>
      </w:r>
      <w:r w:rsidR="005F221E" w:rsidRPr="007A3749">
        <w:t>šesti</w:t>
      </w:r>
      <w:r w:rsidR="00C036D9" w:rsidRPr="007A3749">
        <w:t xml:space="preserve"> měsíců</w:t>
      </w:r>
      <w:r w:rsidR="00D04D50" w:rsidRPr="007A3749">
        <w:t xml:space="preserve"> </w:t>
      </w:r>
      <w:r w:rsidR="00801657" w:rsidRPr="007A3749">
        <w:t>roku 201</w:t>
      </w:r>
      <w:r w:rsidR="00996FAE">
        <w:t>6</w:t>
      </w:r>
      <w:r w:rsidR="0084562B" w:rsidRPr="007A3749">
        <w:t xml:space="preserve"> </w:t>
      </w:r>
      <w:r w:rsidR="00996FAE">
        <w:t>685,10</w:t>
      </w:r>
      <w:r w:rsidR="001D4B26" w:rsidRPr="007A3749">
        <w:t xml:space="preserve"> </w:t>
      </w:r>
      <w:r w:rsidR="00C036D9" w:rsidRPr="007A3749">
        <w:t>K</w:t>
      </w:r>
      <w:r w:rsidR="00C036D9" w:rsidRPr="00BE2338">
        <w:t xml:space="preserve">č a </w:t>
      </w:r>
      <w:r w:rsidR="00BE2338" w:rsidRPr="00BE2338">
        <w:t>111</w:t>
      </w:r>
      <w:r w:rsidR="00E72C01" w:rsidRPr="00BE2338">
        <w:t>,</w:t>
      </w:r>
      <w:r w:rsidR="00BE2338" w:rsidRPr="00BE2338">
        <w:t>60</w:t>
      </w:r>
      <w:r w:rsidR="003426C4" w:rsidRPr="007A3749">
        <w:t xml:space="preserve"> </w:t>
      </w:r>
      <w:r w:rsidR="00C036D9" w:rsidRPr="007A3749">
        <w:t>PLN a nejvyšší</w:t>
      </w:r>
      <w:r w:rsidR="006505EC" w:rsidRPr="007A3749">
        <w:t xml:space="preserve"> </w:t>
      </w:r>
      <w:r w:rsidR="00996FAE">
        <w:t>838,90</w:t>
      </w:r>
      <w:r w:rsidR="001D4B26" w:rsidRPr="007A3749">
        <w:t xml:space="preserve"> </w:t>
      </w:r>
      <w:r w:rsidR="00BD78CE" w:rsidRPr="007A3749">
        <w:t xml:space="preserve">Kč </w:t>
      </w:r>
      <w:r w:rsidR="006505EC" w:rsidRPr="007A3749">
        <w:t>a</w:t>
      </w:r>
      <w:r w:rsidR="00E72C01" w:rsidRPr="007A3749">
        <w:t xml:space="preserve"> </w:t>
      </w:r>
      <w:r w:rsidR="00BE2338">
        <w:t>137</w:t>
      </w:r>
      <w:r w:rsidR="00E72C01" w:rsidRPr="00BE2338">
        <w:t>,</w:t>
      </w:r>
      <w:r w:rsidR="00BE2338">
        <w:t>90</w:t>
      </w:r>
      <w:r w:rsidR="00E72C01" w:rsidRPr="007A3749">
        <w:t> </w:t>
      </w:r>
      <w:r w:rsidR="006505EC" w:rsidRPr="007A3749">
        <w:t>PLN na</w:t>
      </w:r>
      <w:r w:rsidR="00C00806" w:rsidRPr="007A3749">
        <w:t xml:space="preserve"> BCP</w:t>
      </w:r>
      <w:r w:rsidR="001736F6" w:rsidRPr="007A3749">
        <w:t>P a varšavské burze.</w:t>
      </w:r>
    </w:p>
    <w:p w:rsidR="00C7706F" w:rsidRPr="007A3749" w:rsidRDefault="006505EC" w:rsidP="007A3749">
      <w:pPr>
        <w:pStyle w:val="NormalWeb"/>
      </w:pPr>
      <w:r w:rsidRPr="007A3749">
        <w:t>Z</w:t>
      </w:r>
      <w:r w:rsidR="00C036D9" w:rsidRPr="007A3749">
        <w:t>ávěrečná</w:t>
      </w:r>
      <w:r w:rsidR="0028728A" w:rsidRPr="007A3749">
        <w:t xml:space="preserve"> cena 30. června 201</w:t>
      </w:r>
      <w:r w:rsidR="00996FAE">
        <w:t>6</w:t>
      </w:r>
      <w:r w:rsidRPr="007A3749">
        <w:t xml:space="preserve"> činila </w:t>
      </w:r>
      <w:r w:rsidR="00996FAE">
        <w:t>798,60</w:t>
      </w:r>
      <w:r w:rsidR="001D4B26" w:rsidRPr="007A3749">
        <w:t xml:space="preserve"> </w:t>
      </w:r>
      <w:r w:rsidRPr="007A3749">
        <w:t xml:space="preserve">Kč </w:t>
      </w:r>
      <w:r w:rsidR="00C00806" w:rsidRPr="007A3749">
        <w:t>na BCP</w:t>
      </w:r>
      <w:r w:rsidRPr="007A3749">
        <w:t xml:space="preserve">P a </w:t>
      </w:r>
      <w:r w:rsidR="00BE2338">
        <w:t>131,60</w:t>
      </w:r>
      <w:r w:rsidR="001346B0" w:rsidRPr="007A3749">
        <w:t xml:space="preserve"> </w:t>
      </w:r>
      <w:r w:rsidR="00C00806" w:rsidRPr="007A3749">
        <w:t xml:space="preserve">PLN na burze ve Varšavě a tržní kapitalizace dosáhla </w:t>
      </w:r>
      <w:r w:rsidR="00E72C01" w:rsidRPr="007A3749">
        <w:t>7</w:t>
      </w:r>
      <w:r w:rsidR="00326B49" w:rsidRPr="007A3749">
        <w:t>,</w:t>
      </w:r>
      <w:r w:rsidR="00BE2338">
        <w:t>0</w:t>
      </w:r>
      <w:r w:rsidR="00C00806" w:rsidRPr="007A3749">
        <w:t xml:space="preserve"> miliard</w:t>
      </w:r>
      <w:r w:rsidR="006762F4" w:rsidRPr="007A3749">
        <w:t>y</w:t>
      </w:r>
      <w:r w:rsidR="00C00806" w:rsidRPr="007A3749">
        <w:t xml:space="preserve"> Kč (dle ceny na BCPP)</w:t>
      </w:r>
      <w:r w:rsidR="003E2244" w:rsidRPr="007A3749">
        <w:t>.</w:t>
      </w:r>
      <w:r w:rsidR="00C00806" w:rsidRPr="007A3749">
        <w:t xml:space="preserve"> </w:t>
      </w:r>
    </w:p>
    <w:p w:rsidR="006E2C36" w:rsidRDefault="006E2C36">
      <w:pPr>
        <w:spacing w:before="0" w:beforeAutospacing="0" w:after="0" w:afterAutospacing="0"/>
        <w:jc w:val="left"/>
        <w:rPr>
          <w:b/>
          <w:color w:val="E2001C"/>
        </w:rPr>
        <w:sectPr w:rsidR="006E2C36" w:rsidSect="006E2C36">
          <w:type w:val="continuous"/>
          <w:pgSz w:w="11906" w:h="16838"/>
          <w:pgMar w:top="1417" w:right="1417" w:bottom="1417" w:left="1417" w:header="708" w:footer="708" w:gutter="0"/>
          <w:cols w:num="2" w:space="708"/>
          <w:docGrid w:linePitch="360"/>
        </w:sectPr>
      </w:pPr>
    </w:p>
    <w:p w:rsidR="006E2C36" w:rsidRDefault="006E2C36">
      <w:pPr>
        <w:spacing w:before="0" w:beforeAutospacing="0" w:after="0" w:afterAutospacing="0"/>
        <w:jc w:val="left"/>
        <w:rPr>
          <w:b/>
          <w:color w:val="E2001C"/>
        </w:rPr>
      </w:pPr>
    </w:p>
    <w:p w:rsidR="003C4710" w:rsidRDefault="00B07026" w:rsidP="00FA0E74">
      <w:pPr>
        <w:rPr>
          <w:b/>
          <w:color w:val="E2001C"/>
        </w:rPr>
      </w:pPr>
      <w:r w:rsidRPr="008A66C6">
        <w:rPr>
          <w:b/>
          <w:color w:val="E2001C"/>
        </w:rPr>
        <w:t>Vývoj ceny akcie PEGASu na BCPP</w:t>
      </w:r>
      <w:r w:rsidR="00C7706F" w:rsidRPr="008A66C6">
        <w:rPr>
          <w:b/>
          <w:color w:val="E2001C"/>
        </w:rPr>
        <w:t xml:space="preserve"> (</w:t>
      </w:r>
      <w:r w:rsidR="00CF2597" w:rsidRPr="008A66C6">
        <w:rPr>
          <w:b/>
          <w:color w:val="E2001C"/>
        </w:rPr>
        <w:t>od 1. led</w:t>
      </w:r>
      <w:r w:rsidRPr="008A66C6">
        <w:rPr>
          <w:b/>
          <w:color w:val="E2001C"/>
        </w:rPr>
        <w:t>n</w:t>
      </w:r>
      <w:r w:rsidR="00CF2597" w:rsidRPr="008A66C6">
        <w:rPr>
          <w:b/>
          <w:color w:val="E2001C"/>
        </w:rPr>
        <w:t>a</w:t>
      </w:r>
      <w:r w:rsidR="00801657" w:rsidRPr="008A66C6">
        <w:rPr>
          <w:b/>
          <w:color w:val="E2001C"/>
        </w:rPr>
        <w:t xml:space="preserve"> 201</w:t>
      </w:r>
      <w:r w:rsidR="00170FA2" w:rsidRPr="008A66C6">
        <w:rPr>
          <w:b/>
          <w:color w:val="E2001C"/>
        </w:rPr>
        <w:t>6</w:t>
      </w:r>
      <w:r w:rsidR="00CF2597" w:rsidRPr="008A66C6">
        <w:rPr>
          <w:b/>
          <w:color w:val="E2001C"/>
        </w:rPr>
        <w:t xml:space="preserve"> do</w:t>
      </w:r>
      <w:r w:rsidR="00C7706F" w:rsidRPr="008A66C6">
        <w:rPr>
          <w:b/>
          <w:color w:val="E2001C"/>
        </w:rPr>
        <w:t xml:space="preserve"> </w:t>
      </w:r>
      <w:r w:rsidRPr="008A66C6">
        <w:rPr>
          <w:b/>
          <w:color w:val="E2001C"/>
        </w:rPr>
        <w:t>30. červn</w:t>
      </w:r>
      <w:r w:rsidR="00CF2597" w:rsidRPr="008A66C6">
        <w:rPr>
          <w:b/>
          <w:color w:val="E2001C"/>
        </w:rPr>
        <w:t>a</w:t>
      </w:r>
      <w:r w:rsidRPr="008A66C6">
        <w:rPr>
          <w:b/>
          <w:color w:val="E2001C"/>
        </w:rPr>
        <w:t xml:space="preserve"> </w:t>
      </w:r>
      <w:r w:rsidR="00666921" w:rsidRPr="008A66C6">
        <w:rPr>
          <w:b/>
          <w:color w:val="E2001C"/>
        </w:rPr>
        <w:t>201</w:t>
      </w:r>
      <w:r w:rsidR="00170FA2" w:rsidRPr="008A66C6">
        <w:rPr>
          <w:b/>
          <w:color w:val="E2001C"/>
        </w:rPr>
        <w:t>6</w:t>
      </w:r>
      <w:r w:rsidR="00C7706F" w:rsidRPr="008A66C6">
        <w:rPr>
          <w:b/>
          <w:color w:val="E2001C"/>
        </w:rPr>
        <w:t>)</w:t>
      </w:r>
    </w:p>
    <w:p w:rsidR="003322B0" w:rsidRPr="00FA0E74" w:rsidRDefault="003322B0" w:rsidP="00FA0E74">
      <w:pPr>
        <w:rPr>
          <w:b/>
          <w:color w:val="E2001C"/>
        </w:rPr>
      </w:pPr>
    </w:p>
    <w:p w:rsidR="00BE2338" w:rsidRDefault="003322B0" w:rsidP="007A3749">
      <w:r>
        <w:rPr>
          <w:noProof/>
          <w:lang w:val="en-US" w:eastAsia="en-US"/>
        </w:rPr>
        <w:drawing>
          <wp:inline distT="0" distB="0" distL="0" distR="0" wp14:anchorId="00423287" wp14:editId="06990EDB">
            <wp:extent cx="5688330" cy="3785870"/>
            <wp:effectExtent l="0" t="0" r="762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3785870"/>
                    </a:xfrm>
                    <a:prstGeom prst="rect">
                      <a:avLst/>
                    </a:prstGeom>
                    <a:noFill/>
                  </pic:spPr>
                </pic:pic>
              </a:graphicData>
            </a:graphic>
          </wp:inline>
        </w:drawing>
      </w:r>
    </w:p>
    <w:p w:rsidR="00C7706F" w:rsidRPr="007A3749" w:rsidRDefault="003322B0" w:rsidP="007A3749">
      <w:r>
        <w:rPr>
          <w:noProof/>
          <w:lang w:val="en-US" w:eastAsia="en-US"/>
        </w:rPr>
        <w:drawing>
          <wp:inline distT="0" distB="0" distL="0" distR="0" wp14:anchorId="38DBA8AC" wp14:editId="5DE2B0C6">
            <wp:extent cx="5749290" cy="242633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9290" cy="2426335"/>
                    </a:xfrm>
                    <a:prstGeom prst="rect">
                      <a:avLst/>
                    </a:prstGeom>
                    <a:noFill/>
                  </pic:spPr>
                </pic:pic>
              </a:graphicData>
            </a:graphic>
          </wp:inline>
        </w:drawing>
      </w:r>
    </w:p>
    <w:p w:rsidR="00F85AB0" w:rsidRPr="007A3749" w:rsidRDefault="00F85AB0" w:rsidP="007A3749">
      <w:pPr>
        <w:sectPr w:rsidR="00F85AB0" w:rsidRPr="007A3749" w:rsidSect="006E2C36">
          <w:pgSz w:w="11906" w:h="16838"/>
          <w:pgMar w:top="1417" w:right="1417" w:bottom="1417" w:left="1417" w:header="708" w:footer="708" w:gutter="0"/>
          <w:cols w:space="708"/>
          <w:docGrid w:linePitch="360"/>
        </w:sectPr>
      </w:pPr>
    </w:p>
    <w:p w:rsidR="00943A77" w:rsidRDefault="00943A77" w:rsidP="00396F0C">
      <w:pPr>
        <w:pStyle w:val="Heading1"/>
      </w:pPr>
      <w:bookmarkStart w:id="40" w:name="_Toc269907494"/>
      <w:bookmarkStart w:id="41" w:name="_Toc458586522"/>
      <w:r w:rsidRPr="008A66C6">
        <w:lastRenderedPageBreak/>
        <w:t>Dividend</w:t>
      </w:r>
      <w:r w:rsidR="00E96538" w:rsidRPr="008A66C6">
        <w:t>ová politika a vyhlášení dividendy</w:t>
      </w:r>
      <w:bookmarkEnd w:id="40"/>
      <w:bookmarkEnd w:id="41"/>
    </w:p>
    <w:p w:rsidR="006E2C36" w:rsidRDefault="006E2C36" w:rsidP="006E2C36">
      <w:pPr>
        <w:sectPr w:rsidR="006E2C36" w:rsidSect="00B520ED">
          <w:pgSz w:w="11906" w:h="16838"/>
          <w:pgMar w:top="1417" w:right="1417" w:bottom="1417" w:left="1417" w:header="708" w:footer="708" w:gutter="0"/>
          <w:cols w:space="708"/>
          <w:docGrid w:linePitch="360"/>
        </w:sectPr>
      </w:pPr>
    </w:p>
    <w:p w:rsidR="006E2C36" w:rsidRPr="006E2C36" w:rsidRDefault="006E2C36" w:rsidP="006E2C36"/>
    <w:p w:rsidR="00C52BAC" w:rsidRPr="007A3749" w:rsidRDefault="00C52BAC" w:rsidP="007A3749">
      <w:pPr>
        <w:pStyle w:val="NormalWeb"/>
      </w:pPr>
      <w:r w:rsidRPr="007A3749">
        <w:t>Řádná valná hromada společnosti PEGAS NONWOVENS SA, jež se konala dne 1</w:t>
      </w:r>
      <w:r w:rsidR="00CB450F" w:rsidRPr="007A3749">
        <w:t>5</w:t>
      </w:r>
      <w:r w:rsidR="00170FA2">
        <w:t>. </w:t>
      </w:r>
      <w:r w:rsidRPr="007A3749">
        <w:t>června 201</w:t>
      </w:r>
      <w:r w:rsidR="00170FA2">
        <w:t>6</w:t>
      </w:r>
      <w:r w:rsidRPr="007A3749">
        <w:t xml:space="preserve"> v Lucemburku, rozhodla o schválení navržené výplaty dividendy ve výši </w:t>
      </w:r>
      <w:r w:rsidR="00170FA2" w:rsidRPr="00170FA2">
        <w:t>11 536 750</w:t>
      </w:r>
      <w:r w:rsidR="003C4710" w:rsidRPr="007A3749">
        <w:t xml:space="preserve"> </w:t>
      </w:r>
      <w:r w:rsidRPr="007A3749">
        <w:t>EUR, tj. 1,</w:t>
      </w:r>
      <w:r w:rsidR="00170FA2">
        <w:t>2</w:t>
      </w:r>
      <w:r w:rsidR="00CB450F" w:rsidRPr="007A3749">
        <w:t>5</w:t>
      </w:r>
      <w:r w:rsidRPr="007A3749">
        <w:t xml:space="preserve"> EUR na akcii. Zdrojem výplaty dividendy bude zisk roku 201</w:t>
      </w:r>
      <w:r w:rsidR="00170FA2">
        <w:t>5</w:t>
      </w:r>
      <w:r w:rsidRPr="007A3749">
        <w:t xml:space="preserve"> a nerozdělený zisk minulých let. 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170FA2">
        <w:t>4</w:t>
      </w:r>
      <w:r w:rsidRPr="007A3749">
        <w:t>. října 201</w:t>
      </w:r>
      <w:r w:rsidR="00170FA2">
        <w:t>6</w:t>
      </w:r>
      <w:r w:rsidRPr="007A3749">
        <w:t xml:space="preserve"> a den výplaty dividendy na </w:t>
      </w:r>
      <w:r w:rsidR="00871F2A" w:rsidRPr="007A3749">
        <w:t>2</w:t>
      </w:r>
      <w:r w:rsidR="00170FA2">
        <w:t>6</w:t>
      </w:r>
      <w:r w:rsidRPr="007A3749">
        <w:t>. října 201</w:t>
      </w:r>
      <w:r w:rsidR="00170FA2">
        <w:t>6</w:t>
      </w:r>
      <w:r w:rsidRPr="007A3749">
        <w:t>.</w:t>
      </w:r>
    </w:p>
    <w:p w:rsidR="00111C15" w:rsidRPr="007A3749" w:rsidRDefault="0028728A" w:rsidP="007A3749">
      <w:pPr>
        <w:pStyle w:val="NormalWeb"/>
      </w:pPr>
      <w:r w:rsidRPr="007A3749">
        <w:t xml:space="preserve">Podaří-li se udržet uspokojivé finanční výsledky a nevyskytnou-li se jiné atraktivní </w:t>
      </w:r>
      <w:r w:rsidR="003C4710" w:rsidRPr="007A3749">
        <w:t xml:space="preserve">investiční </w:t>
      </w:r>
      <w:r w:rsidRPr="007A3749">
        <w:t>příležitosti, bude se PEGAS snažit pokračovat ve své progresivní dividendové politice. Konkrétní cíle jako poměr výplaty dividendy na čistém zisku nebo předpokládaný dividendový výnos nebyly Společností stanoveny.</w:t>
      </w:r>
    </w:p>
    <w:p w:rsidR="00C7706F" w:rsidRPr="007A3749" w:rsidRDefault="00C7706F" w:rsidP="007A3749"/>
    <w:p w:rsidR="00F85AB0" w:rsidRPr="007A3749" w:rsidRDefault="00F85AB0" w:rsidP="007A3749">
      <w:pPr>
        <w:sectPr w:rsidR="00F85AB0" w:rsidRPr="007A3749" w:rsidSect="006E2C36">
          <w:type w:val="continuous"/>
          <w:pgSz w:w="11906" w:h="16838"/>
          <w:pgMar w:top="1417" w:right="1417" w:bottom="1417" w:left="1417" w:header="708" w:footer="708" w:gutter="0"/>
          <w:cols w:num="2" w:space="708"/>
          <w:docGrid w:linePitch="360"/>
        </w:sectPr>
      </w:pPr>
    </w:p>
    <w:p w:rsidR="00943A77" w:rsidRDefault="00136A1A" w:rsidP="00396F0C">
      <w:pPr>
        <w:pStyle w:val="Heading1"/>
      </w:pPr>
      <w:bookmarkStart w:id="42" w:name="_Toc269907495"/>
      <w:bookmarkStart w:id="43" w:name="_Toc458586523"/>
      <w:r w:rsidRPr="007A3749">
        <w:lastRenderedPageBreak/>
        <w:t>Zpráva o vztazích</w:t>
      </w:r>
      <w:bookmarkEnd w:id="42"/>
      <w:bookmarkEnd w:id="43"/>
    </w:p>
    <w:p w:rsidR="006E2C36" w:rsidRDefault="006E2C36" w:rsidP="006E2C36">
      <w:pPr>
        <w:sectPr w:rsidR="006E2C36" w:rsidSect="002508E3">
          <w:pgSz w:w="11906" w:h="16838"/>
          <w:pgMar w:top="1417" w:right="1417" w:bottom="1417" w:left="1417" w:header="708" w:footer="708" w:gutter="0"/>
          <w:cols w:space="708"/>
          <w:docGrid w:linePitch="360"/>
        </w:sectPr>
      </w:pPr>
    </w:p>
    <w:p w:rsidR="00BD2B0F" w:rsidRPr="00781223" w:rsidRDefault="00BD2B0F" w:rsidP="00995FDF">
      <w:pPr>
        <w:pStyle w:val="Heading4"/>
        <w:jc w:val="left"/>
      </w:pPr>
      <w:r w:rsidRPr="008A66C6">
        <w:lastRenderedPageBreak/>
        <w:t>Odměňování exekutivní</w:t>
      </w:r>
      <w:r w:rsidR="00851A96" w:rsidRPr="008A66C6">
        <w:t>ch</w:t>
      </w:r>
      <w:r w:rsidRPr="008A66C6">
        <w:t xml:space="preserve"> a neexekutivních ředitelů</w:t>
      </w:r>
    </w:p>
    <w:p w:rsidR="008E60DA" w:rsidRPr="007A3749" w:rsidRDefault="008E60DA" w:rsidP="007A3749">
      <w:r w:rsidRPr="007A3749">
        <w:t xml:space="preserve">Společnost </w:t>
      </w:r>
      <w:r w:rsidR="000A3491" w:rsidRPr="007A3749">
        <w:t xml:space="preserve">PEGAS NONWOVENS SA </w:t>
      </w:r>
      <w:r w:rsidRPr="007A3749">
        <w:t>uzavřela se svými exekutivními a neexekutivními řediteli smlouv</w:t>
      </w:r>
      <w:r w:rsidR="002673F3" w:rsidRPr="007A3749">
        <w:t>y</w:t>
      </w:r>
      <w:r w:rsidRPr="007A3749">
        <w:t xml:space="preserve"> o poskytování služeb. </w:t>
      </w:r>
      <w:r w:rsidR="000A3491" w:rsidRPr="007A3749">
        <w:t>Exekutivní ředitelé získávají od dceřiných společností Společnosti odměny za své služby.</w:t>
      </w:r>
      <w:r w:rsidRPr="007A3749">
        <w:t xml:space="preserve"> </w:t>
      </w:r>
    </w:p>
    <w:p w:rsidR="00BD2B0F" w:rsidRDefault="008E60DA" w:rsidP="007A3749">
      <w:r w:rsidRPr="007A3749">
        <w:t xml:space="preserve">Exekutivní </w:t>
      </w:r>
      <w:r w:rsidR="002673F3" w:rsidRPr="007A3749">
        <w:t xml:space="preserve">ředitelé, resp. </w:t>
      </w:r>
      <w:r w:rsidRPr="007A3749">
        <w:t>člen</w:t>
      </w:r>
      <w:r w:rsidR="002673F3" w:rsidRPr="007A3749">
        <w:t>ové</w:t>
      </w:r>
      <w:r w:rsidRPr="007A3749">
        <w:t xml:space="preserve"> představenst</w:t>
      </w:r>
      <w:r w:rsidR="002673F3" w:rsidRPr="007A3749">
        <w:t>e</w:t>
      </w:r>
      <w:r w:rsidRPr="007A3749">
        <w:t>v</w:t>
      </w:r>
      <w:r w:rsidR="002673F3" w:rsidRPr="007A3749">
        <w:t xml:space="preserve"> a jednatelé v České republice</w:t>
      </w:r>
      <w:r w:rsidRPr="007A3749">
        <w:t xml:space="preserve"> smí používat služební automobily i pro soukromé účely. Kromě výše zmíněného</w:t>
      </w:r>
      <w:r w:rsidR="00BC115C" w:rsidRPr="007A3749">
        <w:t xml:space="preserve"> nevyužívají exekutivní ředitelé</w:t>
      </w:r>
      <w:r w:rsidRPr="007A3749">
        <w:t xml:space="preserve"> žádných dalších výhod.</w:t>
      </w:r>
    </w:p>
    <w:p w:rsidR="00D17321" w:rsidRPr="00781223" w:rsidRDefault="00D17321" w:rsidP="00D17321">
      <w:pPr>
        <w:pStyle w:val="Heading4"/>
      </w:pPr>
      <w:r w:rsidRPr="008A66C6">
        <w:t>Manažerský bonusový plán</w:t>
      </w:r>
    </w:p>
    <w:p w:rsidR="00D17321" w:rsidRPr="007A3749" w:rsidRDefault="00D17321" w:rsidP="00D17321">
      <w:r w:rsidRPr="007A3749">
        <w:t>Valná hromada schválila v roce 2008 principy bonusového plánu určeného vrcholovému managementu Společnosti na rok 2008 a následující finanční roky.</w:t>
      </w:r>
    </w:p>
    <w:p w:rsidR="00D17321" w:rsidRPr="007A3749" w:rsidRDefault="00D17321" w:rsidP="00D17321">
      <w:r w:rsidRPr="007A3749">
        <w:t>Hlavní principy bonusového plánu:</w:t>
      </w:r>
    </w:p>
    <w:p w:rsidR="00D17321" w:rsidRDefault="00D17321" w:rsidP="00D17321">
      <w:pPr>
        <w:pStyle w:val="ListParagraph"/>
        <w:numPr>
          <w:ilvl w:val="0"/>
          <w:numId w:val="34"/>
        </w:numPr>
        <w:spacing w:before="0" w:beforeAutospacing="0" w:after="120" w:afterAutospacing="0"/>
        <w:ind w:left="360"/>
      </w:pPr>
      <w:r w:rsidRPr="007A3749">
        <w:t>Plán byl vytvořen s cílem zajistit motivaci vrcholového managementu na plnění ekonomických cílů stanovených obchodním plánem Společnosti, které v tomto případě představuje ukazatel plánované EBITDA. Tento bonusový plán je platný na rok 2008 a roky následující.</w:t>
      </w:r>
    </w:p>
    <w:p w:rsidR="00D17321" w:rsidRPr="009B25FA" w:rsidRDefault="00D17321" w:rsidP="00D17321">
      <w:pPr>
        <w:pStyle w:val="ListParagraph"/>
        <w:numPr>
          <w:ilvl w:val="0"/>
          <w:numId w:val="34"/>
        </w:numPr>
        <w:spacing w:before="0" w:beforeAutospacing="0" w:after="120" w:afterAutospacing="0"/>
        <w:ind w:left="360"/>
      </w:pPr>
      <w:r w:rsidRPr="009B25FA">
        <w:t>Základem pro výpočet bonusu je ukazatel EBITDA za Skupinu Pegas vypočtený v souladu s mezinárodními standardy pro účetní výkaznictví na konsolidované úrovni, jenž je očištěn o určité mimořádné a jednorázové položky.</w:t>
      </w:r>
    </w:p>
    <w:p w:rsidR="00D17321" w:rsidRPr="007A3749" w:rsidRDefault="00D17321" w:rsidP="00D17321">
      <w:pPr>
        <w:pStyle w:val="ListParagraph"/>
        <w:numPr>
          <w:ilvl w:val="0"/>
          <w:numId w:val="34"/>
        </w:numPr>
        <w:spacing w:before="0" w:beforeAutospacing="0" w:after="120" w:afterAutospacing="0"/>
        <w:ind w:left="360"/>
      </w:pPr>
      <w:r w:rsidRPr="007A3749">
        <w:t xml:space="preserve">Pokud bude skutečně dosažená EBITDA rovna plánované hodnotě EBITDA, potom bude vyplacen jako </w:t>
      </w:r>
      <w:r w:rsidRPr="007A3749">
        <w:lastRenderedPageBreak/>
        <w:t>bonus stanovený cílový bonus. Pokud bude skutečně dosažená EBITDA nižší nebo vyšší nežli plánovaná EBITDA, částka cílového bonusu bude snížena nebo zvýšena až do úrovně maximálního bonusu v souladu s principy, jež každoročně určí představenstvo Společnosti.</w:t>
      </w:r>
    </w:p>
    <w:p w:rsidR="00D17321" w:rsidRPr="007A3749" w:rsidRDefault="00D17321" w:rsidP="00D17321">
      <w:r w:rsidRPr="007A3749">
        <w:t>Kromě výše uvedených informací neexistovaly žádné další transakce mezi Skupinou a exekutivním managementem či neexekutivními řediteli.</w:t>
      </w:r>
    </w:p>
    <w:p w:rsidR="00BD2B0F" w:rsidRPr="00781223" w:rsidRDefault="008254AA" w:rsidP="006E2C36">
      <w:pPr>
        <w:pStyle w:val="Heading4"/>
      </w:pPr>
      <w:r w:rsidRPr="008A66C6">
        <w:t>Peněžní platby závislé na ceně akcií</w:t>
      </w:r>
    </w:p>
    <w:p w:rsidR="00921AF0" w:rsidRPr="007A3749" w:rsidRDefault="00BD2B0F" w:rsidP="007A3749">
      <w:r w:rsidRPr="007A3749">
        <w:t xml:space="preserve">V roce 2007 Společnost vytvořila </w:t>
      </w:r>
      <w:r w:rsidR="00610A66" w:rsidRPr="007A3749">
        <w:t xml:space="preserve">pro členy vrcholového vedení </w:t>
      </w:r>
      <w:r w:rsidRPr="007A3749">
        <w:t xml:space="preserve">a členy představenstva </w:t>
      </w:r>
      <w:r w:rsidR="00851A96" w:rsidRPr="007A3749">
        <w:t>schéma</w:t>
      </w:r>
      <w:r w:rsidRPr="007A3749">
        <w:t xml:space="preserve"> bonusů závislých na ceně akcií. </w:t>
      </w:r>
      <w:r w:rsidR="00921AF0" w:rsidRPr="007A3749">
        <w:t xml:space="preserve">Toto </w:t>
      </w:r>
      <w:r w:rsidR="00851A96" w:rsidRPr="007A3749">
        <w:t>schéma</w:t>
      </w:r>
      <w:r w:rsidR="00921AF0" w:rsidRPr="007A3749">
        <w:t xml:space="preserve"> je realizováno prostřednictvím stínových opcí. </w:t>
      </w:r>
    </w:p>
    <w:p w:rsidR="00652AB4" w:rsidRPr="007A3749" w:rsidRDefault="00652AB4" w:rsidP="007A3749">
      <w:r w:rsidRPr="007A3749">
        <w:t>Valná hromada dne 15. června 2007 schválila udělení celkového počtu 230 735 stínových akcií šesti exekutivním manažerům a dvěma neexekutivním ředitelům, a to bez náhrady. Dnem udělení stínových opcí byl 24. květen 2007. Každá stínová op</w:t>
      </w:r>
      <w:r w:rsidR="00610A66" w:rsidRPr="007A3749">
        <w:t>ce, v případě uplatnění, udělovala</w:t>
      </w:r>
      <w:r w:rsidRPr="007A3749">
        <w:t xml:space="preserve"> manažerovi právo získat hotovostní plnění vypočtené jako závěrečná cena jedné akcie Společnosti na </w:t>
      </w:r>
      <w:r w:rsidR="005F221E" w:rsidRPr="007A3749">
        <w:t>Burze cenných papírů Praha</w:t>
      </w:r>
      <w:r w:rsidRPr="007A3749">
        <w:t xml:space="preserve"> (nebo na jiném trhu v případě přerušení obchodování na BCPP) v den předcházející uplatnění stínové opce snížené o 749,20 Kč, tedy částku představující cenu, která byla nabídnuta při </w:t>
      </w:r>
      <w:r w:rsidR="00851A96" w:rsidRPr="007A3749">
        <w:t>primární emisi akcií společnosti</w:t>
      </w:r>
      <w:r w:rsidRPr="007A3749">
        <w:t xml:space="preserve"> PEGAS NONWOVENS SA (</w:t>
      </w:r>
      <w:r w:rsidR="00610A66" w:rsidRPr="007A3749">
        <w:t>cena IPO). Každý rok bylo</w:t>
      </w:r>
      <w:r w:rsidRPr="007A3749">
        <w:t xml:space="preserve"> </w:t>
      </w:r>
      <w:r w:rsidR="00610A66" w:rsidRPr="007A3749">
        <w:t>možné uplatnit</w:t>
      </w:r>
      <w:r w:rsidRPr="007A3749">
        <w:t xml:space="preserve"> 25 % stínových opcí, první opce </w:t>
      </w:r>
      <w:r w:rsidR="00610A66" w:rsidRPr="007A3749">
        <w:t>mohly</w:t>
      </w:r>
      <w:r w:rsidR="00C23A63" w:rsidRPr="007A3749">
        <w:t xml:space="preserve"> být uplatněny od 18. prosince</w:t>
      </w:r>
      <w:r w:rsidRPr="007A3749">
        <w:t xml:space="preserve"> </w:t>
      </w:r>
      <w:smartTag w:uri="urn:schemas-microsoft-com:office:smarttags" w:element="metricconverter">
        <w:smartTagPr>
          <w:attr w:name="ProductID" w:val="2007 a"/>
        </w:smartTagPr>
        <w:r w:rsidRPr="007A3749">
          <w:t>2007</w:t>
        </w:r>
        <w:r w:rsidR="008254AA" w:rsidRPr="007A3749">
          <w:t xml:space="preserve"> a</w:t>
        </w:r>
      </w:smartTag>
      <w:r w:rsidR="008254AA" w:rsidRPr="007A3749">
        <w:t xml:space="preserve"> poslední </w:t>
      </w:r>
      <w:r w:rsidR="00610A66" w:rsidRPr="007A3749">
        <w:t>mohly</w:t>
      </w:r>
      <w:r w:rsidR="008254AA" w:rsidRPr="007A3749">
        <w:t xml:space="preserve"> být uplatněny </w:t>
      </w:r>
      <w:r w:rsidR="00C23A63" w:rsidRPr="007A3749">
        <w:t>od</w:t>
      </w:r>
      <w:r w:rsidR="00610A66" w:rsidRPr="007A3749">
        <w:t> 18. prosinc</w:t>
      </w:r>
      <w:r w:rsidR="00C23A63" w:rsidRPr="007A3749">
        <w:t>e</w:t>
      </w:r>
      <w:r w:rsidR="00610A66" w:rsidRPr="007A3749">
        <w:t xml:space="preserve"> 2010</w:t>
      </w:r>
      <w:r w:rsidR="008254AA" w:rsidRPr="007A3749">
        <w:t>.</w:t>
      </w:r>
    </w:p>
    <w:p w:rsidR="00610A66" w:rsidRPr="007A3749" w:rsidRDefault="00781223" w:rsidP="007A3749">
      <w:r>
        <w:lastRenderedPageBreak/>
        <w:t>V</w:t>
      </w:r>
      <w:r w:rsidR="00E54803" w:rsidRPr="007A3749">
        <w:t xml:space="preserve">alná hromada konaná dne 15. června 2010 rozhodla o schválení úhrnného počtu 230 735 virtuálních opcí (které představují 2,5 % základního kapitálu společnosti PEGAS) pro členy představenstva a vrcholové vedení společnosti PEGAS a/nebo jejich propojené osoby, a to bezúplatně. Každá virtuální opce dává členu představenstva v případě realizace právo na virtuální akcii, tj. právo na částku v hotovosti rovnající se rozdílu mezi částkou 473,00 Kč představující kurz akcií společnosti PEGAS na Burze cenných papírů Praha („BCP“) ke dni 15. prosince 2009, zvýšený o 10 %, a závěrečnou cenou akcií na BCP v den předcházející dni realizace virtuální opce (nebo na jiném trhu, pokud bude obchodování na BCP přerušeno). 25 % virtuálních opcí (tj. 57 684 kusů opcí) na ně přechází každým rokem, tj. první opce mohly být uplatněny </w:t>
      </w:r>
      <w:r w:rsidR="00C23A63" w:rsidRPr="007A3749">
        <w:t xml:space="preserve">od </w:t>
      </w:r>
      <w:r w:rsidR="00E54803" w:rsidRPr="007A3749">
        <w:t xml:space="preserve">18. prosince 2010 a poslední </w:t>
      </w:r>
      <w:r w:rsidR="00C23A63" w:rsidRPr="007A3749">
        <w:t xml:space="preserve">od </w:t>
      </w:r>
      <w:r w:rsidR="00E54803" w:rsidRPr="007A3749">
        <w:t xml:space="preserve">18. prosince 2013. První opce tohoto akciového programu (s možným datem uplatnění </w:t>
      </w:r>
      <w:r w:rsidR="00C23A63" w:rsidRPr="007A3749">
        <w:t xml:space="preserve">od </w:t>
      </w:r>
      <w:r w:rsidR="00E54803" w:rsidRPr="007A3749">
        <w:t xml:space="preserve">18. prosince 2010) plně nahradily poslední opce v rámci akciového bonusového programu, který ŘVH schválila v roce 2007 (se stejným datem možného uplatnění). Právo na 34 008 kusů opcí </w:t>
      </w:r>
      <w:r w:rsidR="00C23A63" w:rsidRPr="007A3749">
        <w:t xml:space="preserve">se </w:t>
      </w:r>
      <w:r w:rsidR="00E54803" w:rsidRPr="007A3749">
        <w:t>dnem možného uplatnění 18. prosince 2010, jež byly uděleny v roce 2007 a schváleny valnou hromadou dne 15. června 2007, tedy zaniklo.</w:t>
      </w:r>
      <w:r w:rsidR="002229F5" w:rsidRPr="007A3749" w:rsidDel="002229F5">
        <w:t xml:space="preserve"> </w:t>
      </w:r>
    </w:p>
    <w:p w:rsidR="001E6F47" w:rsidRPr="007A3749" w:rsidRDefault="001E6F47" w:rsidP="007A3749">
      <w:r w:rsidRPr="007A3749">
        <w:t xml:space="preserve">Mimořádná valná hromada konaná dne 21. července 2014 rozhodla o konverzi 230 735 virtuálních opcí (phantom options) udělených v letech 2010-2013 společností PEGAS na 230 735 warrantů. Každý warrant při uplatnění zakládá právo majitele na (i) jednu akcii společnosti PEGAS za realizační cenu ve výši 473 Kč, která představuje cenu akcií společnosti PEGAS na Burze cenných papírů Praha (“BCPP”) ke dni 15. prosince 2009 zvýšenou o 10%, nebo (ii) výplatu v </w:t>
      </w:r>
      <w:r w:rsidRPr="007A3749">
        <w:lastRenderedPageBreak/>
        <w:t xml:space="preserve">hotovosti ve výši odpovídající konečné ceně jedné akcie společnosti PEGAS na BCPP v pracovní den předcházející dni uplatnění, sníženou o 473 Kč, což představuje cenu akcie společnosti PEGAS na BCPP ke dni 15. prosince 2009 zvýšenou o 10%. Rozhodný den pro uplatnění (vesting) warrantů nastane dnem udělení a na warranty se bude vztahovat stejné období pro uplatnění, jaké bylo původně plánováno ve vztahu k virtuálním opcím (phantom options). </w:t>
      </w:r>
    </w:p>
    <w:p w:rsidR="001E6F47" w:rsidRPr="007A3749" w:rsidRDefault="001E6F47" w:rsidP="007A3749">
      <w:r w:rsidRPr="007A3749">
        <w:t xml:space="preserve">Mimořádná valná hromada konaná dne 21. července 2014 rozhodla o vydání celkem 230 735 nových warrantů (které představují 2,5 % základního kapitálu společnosti PEGAS) členům představenstva a členům senior managementu společnosti PEGAS a/nebo jejích propojených společností, a to za </w:t>
      </w:r>
      <w:r w:rsidR="00D17321">
        <w:t xml:space="preserve">tržní cenu stanovenou znaleckým posudkem ve výši </w:t>
      </w:r>
      <w:r w:rsidRPr="007A3749">
        <w:t xml:space="preserve">5,89 Kč za nový warrant, který členové představenstva uhradí v hotovosti, s tím, že představenstvo společnosti PEGAS rozhodne, jak budou nové warranty rozděleny mezi členy představenstva a členy senior managementu společnosti PEGAS a/nebo jejích propojených společností. Každý nový warrant dává majiteli při uplatnění právo na (i) jednu akcii společnosti PEGAS za realizační cenu (strike price) ve výši 588,16 Kč (která představuje průměrnou cenu akcie společnosti PEGAS na Burze cenných papírů Praha v období od 1. října 2013 do 31. prosince 2013) sníženou o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w:t>
      </w:r>
      <w:r w:rsidRPr="007A3749">
        <w:lastRenderedPageBreak/>
        <w:t xml:space="preserve">finančních letech 2014, 2015 a 2016 v případě nových warrantů s rozhodným dnem pro uplatnění (vesting) v roce 2016), nebo (ii) výplatu v hotovosti ve výši odpovídající konečné ceně akcie společnosti PEGAS na Burze cenných papírů Praha v pracovní den předcházející dni uplatnění, plus všechny dividendy na akcii společnosti PEGAS, které společnost PEGAS platně vyhlásila v daném finančním roce (finančních letech) (tj. ve finančním roce 2014 v případě nových warrantů s rozhodným dnem pro uplatnění (vesting) v roce 2014, ve finančních letech 2014 a 2015 v případě nových warrantů s rozhodným dnem pro uplatnění (vesting) v roce 2015 a ve finančních letech 2014, 2015 a 2016 v případě nových warrantů s rozhodným dnem pro uplatnění (vesting) v roce 2016), sníženou realizační cenu (strike price) ve výši 588,16 Kč (která představuje průměrnou cenu akcie společnosti PEGAS na Burze cenných papírů Praha v období od 1. října 2013 do 31. prosince 2013). </w:t>
      </w:r>
    </w:p>
    <w:p w:rsidR="004719E1" w:rsidRDefault="004719E1" w:rsidP="004719E1">
      <w:r>
        <w:t>Celkový počet vydaných virtuálních opcí a warrantů k 30. červnu 2016 byl 300 039 (300 039 k 31. prosinci 2015). Celkový počet virtuálních opcí a warrantů k 30. červnu 2016 se skládá z 53 840 virtuálních opcí s realizační cenou 749,20 Kč, 15 464 virtuálních opcí s realizační cenou 473 Kč a z 230 735 warrantů s realizační cenou 588,16 Kč.</w:t>
      </w:r>
    </w:p>
    <w:p w:rsidR="00BD2B0F" w:rsidRPr="007A3749" w:rsidRDefault="008E60DA" w:rsidP="007A3749">
      <w:r w:rsidRPr="007A3749">
        <w:t xml:space="preserve">V prvním pololetí </w:t>
      </w:r>
      <w:r w:rsidR="00C136A0" w:rsidRPr="007A3749">
        <w:t>roku 201</w:t>
      </w:r>
      <w:r w:rsidR="004719E1">
        <w:t>6</w:t>
      </w:r>
      <w:r w:rsidRPr="007A3749">
        <w:t xml:space="preserve"> nebyly žádné stínové opce </w:t>
      </w:r>
      <w:r w:rsidR="001E6F47" w:rsidRPr="007A3749">
        <w:t xml:space="preserve">ani warranty </w:t>
      </w:r>
      <w:r w:rsidRPr="007A3749">
        <w:t>uplatněny. Re</w:t>
      </w:r>
      <w:r w:rsidR="0028728A" w:rsidRPr="007A3749">
        <w:t xml:space="preserve">álná hodnota </w:t>
      </w:r>
      <w:r w:rsidR="00C136A0" w:rsidRPr="007A3749">
        <w:t xml:space="preserve">stínových opcí </w:t>
      </w:r>
      <w:r w:rsidR="001E6F47" w:rsidRPr="007A3749">
        <w:t xml:space="preserve">a warrantů </w:t>
      </w:r>
      <w:r w:rsidR="00C136A0" w:rsidRPr="007A3749">
        <w:t>k 3</w:t>
      </w:r>
      <w:r w:rsidR="004719E1">
        <w:t>0</w:t>
      </w:r>
      <w:r w:rsidR="00C136A0" w:rsidRPr="007A3749">
        <w:t>. červnu 201</w:t>
      </w:r>
      <w:r w:rsidR="004719E1">
        <w:t>6</w:t>
      </w:r>
      <w:r w:rsidRPr="007A3749">
        <w:t xml:space="preserve"> činila </w:t>
      </w:r>
      <w:r w:rsidR="004719E1">
        <w:t>1 67</w:t>
      </w:r>
      <w:r w:rsidR="00C00D74">
        <w:t>7</w:t>
      </w:r>
      <w:r w:rsidR="00877907" w:rsidRPr="007A3749">
        <w:t xml:space="preserve"> </w:t>
      </w:r>
      <w:r w:rsidRPr="007A3749">
        <w:t>tisíc EUR.</w:t>
      </w:r>
    </w:p>
    <w:p w:rsidR="006E2C36" w:rsidRDefault="006E2C36">
      <w:pPr>
        <w:spacing w:before="0" w:beforeAutospacing="0" w:after="0" w:afterAutospacing="0"/>
        <w:jc w:val="left"/>
        <w:rPr>
          <w:b/>
          <w:bCs/>
          <w:kern w:val="32"/>
          <w:sz w:val="28"/>
          <w:szCs w:val="28"/>
        </w:rPr>
        <w:sectPr w:rsidR="006E2C36" w:rsidSect="006E2C36">
          <w:type w:val="continuous"/>
          <w:pgSz w:w="11906" w:h="16838"/>
          <w:pgMar w:top="1417" w:right="1417" w:bottom="1417" w:left="1417" w:header="708" w:footer="708" w:gutter="0"/>
          <w:cols w:num="2" w:space="708"/>
          <w:docGrid w:linePitch="360"/>
        </w:sectPr>
      </w:pPr>
      <w:bookmarkStart w:id="44" w:name="_Toc332213930"/>
      <w:bookmarkStart w:id="45" w:name="_Toc269907496"/>
      <w:bookmarkEnd w:id="44"/>
    </w:p>
    <w:p w:rsidR="00963AA8" w:rsidRDefault="00862B32" w:rsidP="00396F0C">
      <w:pPr>
        <w:pStyle w:val="Heading1"/>
      </w:pPr>
      <w:bookmarkStart w:id="46" w:name="_Toc458586524"/>
      <w:r w:rsidRPr="007A3749">
        <w:lastRenderedPageBreak/>
        <w:t>Správa a ř</w:t>
      </w:r>
      <w:r w:rsidR="004C5F4F" w:rsidRPr="007A3749">
        <w:t xml:space="preserve">ízení </w:t>
      </w:r>
      <w:bookmarkEnd w:id="37"/>
      <w:r w:rsidR="00AF4A0B" w:rsidRPr="007A3749">
        <w:t>Společnosti</w:t>
      </w:r>
      <w:bookmarkEnd w:id="45"/>
      <w:bookmarkEnd w:id="46"/>
    </w:p>
    <w:p w:rsidR="006E2C36" w:rsidRPr="006E2C36" w:rsidRDefault="006E2C36" w:rsidP="006E2C36"/>
    <w:p w:rsidR="006E2C36" w:rsidRDefault="006E2C36" w:rsidP="006E2C36">
      <w:pPr>
        <w:sectPr w:rsidR="006E2C36" w:rsidSect="006E2C36">
          <w:pgSz w:w="11906" w:h="16838"/>
          <w:pgMar w:top="1417" w:right="1417" w:bottom="1417" w:left="1417" w:header="708" w:footer="708" w:gutter="0"/>
          <w:cols w:space="708"/>
          <w:docGrid w:linePitch="360"/>
        </w:sectPr>
      </w:pPr>
    </w:p>
    <w:p w:rsidR="0098761D" w:rsidRPr="007A3749" w:rsidRDefault="00EE2A05" w:rsidP="007A3749">
      <w:pPr>
        <w:pStyle w:val="NormalWeb"/>
      </w:pPr>
      <w:r w:rsidRPr="007A3749">
        <w:lastRenderedPageBreak/>
        <w:t xml:space="preserve">Dle stanov burzy ve Varšavě a ve spojení s uvedením akcií Společnosti na burzu ve Varšavě je Společnost povinna deklarovat, které principy správy a řízení obsažené v Corporate Governance Rules varšavské burzy bude implementovat a rovněž důvody pro neimplementování ostatních principů. </w:t>
      </w:r>
    </w:p>
    <w:p w:rsidR="006E2C36" w:rsidRDefault="00EE2A05" w:rsidP="006E2C36">
      <w:pPr>
        <w:pStyle w:val="NormalWeb"/>
      </w:pPr>
      <w:r w:rsidRPr="007A3749">
        <w:t>Společnost se rozhodla přijmout většinu Corporate Governance Rules varšavské burzy</w:t>
      </w:r>
      <w:r w:rsidR="00801BF7" w:rsidRPr="007A3749">
        <w:t xml:space="preserve">. Bližší informace </w:t>
      </w:r>
      <w:r w:rsidR="001E6F47" w:rsidRPr="007A3749">
        <w:t xml:space="preserve">jsou k dispozici </w:t>
      </w:r>
      <w:r w:rsidR="00801BF7" w:rsidRPr="007A3749">
        <w:t>ve Výroční zprávě za rok 201</w:t>
      </w:r>
      <w:r w:rsidR="00AC6498">
        <w:t>5</w:t>
      </w:r>
      <w:r w:rsidR="00801BF7" w:rsidRPr="007A3749">
        <w:t>.</w:t>
      </w:r>
    </w:p>
    <w:p w:rsidR="006E2C36" w:rsidRDefault="006E2C36" w:rsidP="006E2C36">
      <w:pPr>
        <w:pStyle w:val="NormalWeb"/>
      </w:pPr>
    </w:p>
    <w:p w:rsidR="00876EA5" w:rsidRPr="007A3749" w:rsidRDefault="00C70A7F" w:rsidP="006E2C36">
      <w:pPr>
        <w:pStyle w:val="Heading4"/>
      </w:pPr>
      <w:r w:rsidRPr="008A66C6">
        <w:t>Řádná valná hromada konaná dne 1</w:t>
      </w:r>
      <w:r w:rsidR="001E6F47" w:rsidRPr="008A66C6">
        <w:t>5</w:t>
      </w:r>
      <w:r w:rsidR="006E2C36" w:rsidRPr="008A66C6">
        <w:t>. </w:t>
      </w:r>
      <w:r w:rsidRPr="008A66C6">
        <w:t xml:space="preserve">června </w:t>
      </w:r>
      <w:r w:rsidR="00C136A0" w:rsidRPr="008A66C6">
        <w:t>201</w:t>
      </w:r>
      <w:r w:rsidR="00AC6498" w:rsidRPr="008A66C6">
        <w:t>6</w:t>
      </w:r>
    </w:p>
    <w:p w:rsidR="00E3356C" w:rsidRPr="007A3749" w:rsidRDefault="00C70A7F" w:rsidP="007A3749">
      <w:pPr>
        <w:pStyle w:val="NormalWeb"/>
      </w:pPr>
      <w:r w:rsidRPr="007A3749">
        <w:t xml:space="preserve">Na řádné valné hromadě akcionářů PEGAS NONWOVENS SA, </w:t>
      </w:r>
      <w:r w:rsidR="004A77BF" w:rsidRPr="007A3749">
        <w:t>jež</w:t>
      </w:r>
      <w:r w:rsidRPr="007A3749">
        <w:t xml:space="preserve"> se konala 1</w:t>
      </w:r>
      <w:r w:rsidR="001E6F47" w:rsidRPr="007A3749">
        <w:t>5</w:t>
      </w:r>
      <w:r w:rsidR="00064E48" w:rsidRPr="007A3749">
        <w:t>. června 201</w:t>
      </w:r>
      <w:r w:rsidR="00AC6498">
        <w:t>6</w:t>
      </w:r>
      <w:r w:rsidRPr="007A3749">
        <w:t xml:space="preserve"> v </w:t>
      </w:r>
      <w:r w:rsidR="00AF4A0B" w:rsidRPr="007A3749">
        <w:t>Lucemburku</w:t>
      </w:r>
      <w:r w:rsidRPr="007A3749">
        <w:t xml:space="preserve">, byly schváleny návrhy </w:t>
      </w:r>
      <w:r w:rsidR="00E3356C" w:rsidRPr="007A3749">
        <w:t xml:space="preserve">č. 1 až </w:t>
      </w:r>
      <w:r w:rsidR="00AC6498">
        <w:t>11</w:t>
      </w:r>
      <w:r w:rsidR="00E3356C" w:rsidRPr="007A3749">
        <w:t xml:space="preserve"> </w:t>
      </w:r>
      <w:r w:rsidRPr="007A3749">
        <w:t xml:space="preserve">předložené k projednání a hlasování. </w:t>
      </w:r>
    </w:p>
    <w:p w:rsidR="00B54668" w:rsidRPr="007A3749" w:rsidRDefault="006E6EB9" w:rsidP="007A3749">
      <w:pPr>
        <w:pStyle w:val="NormalWeb"/>
      </w:pPr>
      <w:r w:rsidRPr="007A3749">
        <w:t xml:space="preserve">Program </w:t>
      </w:r>
      <w:r w:rsidR="009E1FAD" w:rsidRPr="007A3749">
        <w:t>řádné valné hromady</w:t>
      </w:r>
      <w:r w:rsidRPr="007A3749">
        <w:t xml:space="preserve"> byl</w:t>
      </w:r>
      <w:r w:rsidR="00C70A7F" w:rsidRPr="007A3749">
        <w:t xml:space="preserve"> následující:</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Volba výboru (Bureau) valné hromady.</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Prezentace a projednání zprávy auditorů týkající se samostatné a konsolidované účetní závěrky za finanční rok končící dnem 31. prosince 2015 a zprávy představenstva společnosti PEGAS o samostatné a konsolidované účetní závěrce za finanční rok končící dnem 31. prosince 2015.</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samostatné a konsolidované účetní závěrky za finanční rok končící dnem 31. prosince 2015.</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Rozdělení hospodářského výsledku za finanční rok končící dnem 31. prosince 2015 a výplata dividend ve výši 11 536 750 EUR, tj. 1,25 EUR za akcii.</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Zproštění členů představenstva a auditorů společnosti PEGAS odpovědnosti za finanční rok končící dne 31. prosince 2015 a v souvislosti s ním.</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Ratifikace rozhodnutí představenstva o kooptaci Františka Řezáče, Františka Klašky a Mariana Rašíka do funkce členů představenstva společnosti PEGAS.</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Znovujmenování Marka Modecki a Jana Sýkory členy představenstva společnosti PEGAS.</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Jmenování lucemburského nezávislého auditora ("réviseur d'entreprises agréé"), který provede posouzení samostatné a konsolidované účetní závěrky za finanční rok končící ke dni 31. prosince 2016.</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pravidel odměňování členů představenstva bez výkonné pravomoci za finanční rok 2016.</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Schválení pravidel odměňování členů představenstva s výkonnou pravomocí za finanční rok 2016.</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Udělení zmocnění představenstvu k nabývání vlastních akcií společností PEGAS.</w:t>
      </w:r>
    </w:p>
    <w:p w:rsidR="00AC6498" w:rsidRPr="00AC6498" w:rsidRDefault="00AC6498" w:rsidP="00AC6498">
      <w:pPr>
        <w:pStyle w:val="ListParagraph"/>
        <w:numPr>
          <w:ilvl w:val="0"/>
          <w:numId w:val="22"/>
        </w:numPr>
        <w:tabs>
          <w:tab w:val="clear" w:pos="720"/>
          <w:tab w:val="left" w:pos="900"/>
        </w:tabs>
        <w:ind w:left="360"/>
        <w:rPr>
          <w:rFonts w:eastAsia="SimSun"/>
        </w:rPr>
      </w:pPr>
      <w:r w:rsidRPr="00AC6498">
        <w:rPr>
          <w:rFonts w:eastAsia="SimSun"/>
        </w:rPr>
        <w:t>Různé.</w:t>
      </w:r>
    </w:p>
    <w:p w:rsidR="001E6F47" w:rsidRPr="007A3749" w:rsidRDefault="001E6F47" w:rsidP="00AC6498">
      <w:pPr>
        <w:pStyle w:val="ListParagraph"/>
        <w:rPr>
          <w:rFonts w:eastAsia="SimSun"/>
        </w:rPr>
      </w:pPr>
    </w:p>
    <w:p w:rsidR="00374B50" w:rsidRPr="007A3749" w:rsidRDefault="00DE4A6B" w:rsidP="006E2C36">
      <w:pPr>
        <w:pStyle w:val="Heading4"/>
      </w:pPr>
      <w:bookmarkStart w:id="47" w:name="_Toc165188449"/>
      <w:r w:rsidRPr="008A66C6">
        <w:lastRenderedPageBreak/>
        <w:t>Složení představe</w:t>
      </w:r>
      <w:bookmarkEnd w:id="47"/>
      <w:r w:rsidRPr="008A66C6">
        <w:t>nstva ke dni 30. června 20</w:t>
      </w:r>
      <w:r w:rsidR="001F6AA7" w:rsidRPr="008A66C6">
        <w:t>1</w:t>
      </w:r>
      <w:r w:rsidR="008A66C6">
        <w:t>6</w:t>
      </w:r>
    </w:p>
    <w:p w:rsidR="006E2C36" w:rsidRPr="007D00E7" w:rsidRDefault="006E2C36" w:rsidP="007A3749">
      <w:pPr>
        <w:pStyle w:val="AOHeading6"/>
        <w:rPr>
          <w:lang w:val="cs-CZ"/>
        </w:rPr>
      </w:pPr>
    </w:p>
    <w:p w:rsidR="00374B50" w:rsidRPr="00AC6498" w:rsidRDefault="00DE4A6B" w:rsidP="007A3749">
      <w:pPr>
        <w:pStyle w:val="AOHeading6"/>
        <w:rPr>
          <w:i w:val="0"/>
        </w:rPr>
      </w:pPr>
      <w:r w:rsidRPr="00AC6498">
        <w:rPr>
          <w:i w:val="0"/>
        </w:rPr>
        <w:t>Představenstvo</w:t>
      </w:r>
      <w:r w:rsidR="00EC1496" w:rsidRPr="00AC6498">
        <w:rPr>
          <w:i w:val="0"/>
        </w:rPr>
        <w:t xml:space="preserve"> PEGAS NONWOVENS SA</w:t>
      </w:r>
    </w:p>
    <w:tbl>
      <w:tblPr>
        <w:tblW w:w="5000" w:type="pct"/>
        <w:tblBorders>
          <w:top w:val="single" w:sz="4" w:space="0" w:color="9C9D9F"/>
          <w:left w:val="single" w:sz="4" w:space="0" w:color="9C9D9F"/>
          <w:bottom w:val="single" w:sz="4" w:space="0" w:color="9C9D9F"/>
          <w:right w:val="single" w:sz="4" w:space="0" w:color="9C9D9F"/>
          <w:insideH w:val="single" w:sz="4" w:space="0" w:color="9C9D9F"/>
        </w:tblBorders>
        <w:tblCellMar>
          <w:left w:w="115" w:type="dxa"/>
          <w:right w:w="115" w:type="dxa"/>
        </w:tblCellMar>
        <w:tblLook w:val="01E0" w:firstRow="1" w:lastRow="1" w:firstColumn="1" w:lastColumn="1" w:noHBand="0" w:noVBand="0"/>
      </w:tblPr>
      <w:tblGrid>
        <w:gridCol w:w="1874"/>
        <w:gridCol w:w="744"/>
        <w:gridCol w:w="2007"/>
        <w:gridCol w:w="3051"/>
        <w:gridCol w:w="1626"/>
      </w:tblGrid>
      <w:tr w:rsidR="006E2C36" w:rsidRPr="006E2C36" w:rsidTr="006E2C36">
        <w:trPr>
          <w:cantSplit/>
          <w:trHeight w:val="624"/>
        </w:trPr>
        <w:tc>
          <w:tcPr>
            <w:tcW w:w="1007"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Jméno</w:t>
            </w:r>
          </w:p>
        </w:tc>
        <w:tc>
          <w:tcPr>
            <w:tcW w:w="400"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Věk</w:t>
            </w:r>
          </w:p>
        </w:tc>
        <w:tc>
          <w:tcPr>
            <w:tcW w:w="1079" w:type="pct"/>
            <w:shd w:val="clear" w:color="auto" w:fill="E2001C"/>
          </w:tcPr>
          <w:p w:rsidR="00515150" w:rsidRPr="006E2C36" w:rsidRDefault="00515150" w:rsidP="006E2C36">
            <w:pPr>
              <w:pStyle w:val="AODocTxtCharChar"/>
              <w:jc w:val="center"/>
              <w:rPr>
                <w:b/>
                <w:color w:val="FFFFFF" w:themeColor="background1"/>
              </w:rPr>
            </w:pPr>
            <w:r w:rsidRPr="006E2C36">
              <w:rPr>
                <w:b/>
                <w:color w:val="FFFFFF" w:themeColor="background1"/>
              </w:rPr>
              <w:t>Po</w:t>
            </w:r>
            <w:r w:rsidR="00DE4A6B" w:rsidRPr="006E2C36">
              <w:rPr>
                <w:b/>
                <w:color w:val="FFFFFF" w:themeColor="background1"/>
              </w:rPr>
              <w:t>zice</w:t>
            </w:r>
            <w:r w:rsidR="00075F26" w:rsidRPr="006E2C36">
              <w:rPr>
                <w:b/>
                <w:color w:val="FFFFFF" w:themeColor="background1"/>
              </w:rPr>
              <w:t>/</w:t>
            </w:r>
            <w:r w:rsidR="00E3356C" w:rsidRPr="006E2C36">
              <w:rPr>
                <w:b/>
                <w:color w:val="FFFFFF" w:themeColor="background1"/>
              </w:rPr>
              <w:t>f</w:t>
            </w:r>
            <w:r w:rsidR="00075F26" w:rsidRPr="006E2C36">
              <w:rPr>
                <w:b/>
                <w:color w:val="FFFFFF" w:themeColor="background1"/>
              </w:rPr>
              <w:t>un</w:t>
            </w:r>
            <w:r w:rsidR="00DE4A6B" w:rsidRPr="006E2C36">
              <w:rPr>
                <w:b/>
                <w:color w:val="FFFFFF" w:themeColor="background1"/>
              </w:rPr>
              <w:t>kce</w:t>
            </w:r>
          </w:p>
        </w:tc>
        <w:tc>
          <w:tcPr>
            <w:tcW w:w="1640" w:type="pct"/>
            <w:shd w:val="clear" w:color="auto" w:fill="E2001C"/>
          </w:tcPr>
          <w:p w:rsidR="00515150" w:rsidRPr="006E2C36" w:rsidRDefault="00DE4A6B" w:rsidP="006E2C36">
            <w:pPr>
              <w:pStyle w:val="AODocTxtCharChar"/>
              <w:jc w:val="center"/>
              <w:rPr>
                <w:b/>
                <w:color w:val="FFFFFF" w:themeColor="background1"/>
              </w:rPr>
            </w:pPr>
            <w:r w:rsidRPr="006E2C36">
              <w:rPr>
                <w:b/>
                <w:color w:val="FFFFFF" w:themeColor="background1"/>
              </w:rPr>
              <w:t>Adresa</w:t>
            </w:r>
          </w:p>
        </w:tc>
        <w:tc>
          <w:tcPr>
            <w:tcW w:w="875" w:type="pct"/>
            <w:shd w:val="clear" w:color="auto" w:fill="E2001C"/>
          </w:tcPr>
          <w:p w:rsidR="00515150" w:rsidRPr="006E2C36" w:rsidRDefault="00515150" w:rsidP="00705A71">
            <w:pPr>
              <w:pStyle w:val="AODocTxtCharChar"/>
              <w:jc w:val="center"/>
              <w:rPr>
                <w:b/>
                <w:color w:val="FFFFFF" w:themeColor="background1"/>
              </w:rPr>
            </w:pPr>
            <w:r w:rsidRPr="006E2C36">
              <w:rPr>
                <w:b/>
                <w:color w:val="FFFFFF" w:themeColor="background1"/>
              </w:rPr>
              <w:t>Fun</w:t>
            </w:r>
            <w:r w:rsidR="00DE4A6B" w:rsidRPr="006E2C36">
              <w:rPr>
                <w:b/>
                <w:color w:val="FFFFFF" w:themeColor="background1"/>
              </w:rPr>
              <w:t>kční období v první polovině</w:t>
            </w:r>
            <w:r w:rsidR="00D54655" w:rsidRPr="006E2C36">
              <w:rPr>
                <w:b/>
                <w:color w:val="FFFFFF" w:themeColor="background1"/>
              </w:rPr>
              <w:t xml:space="preserve"> </w:t>
            </w:r>
            <w:r w:rsidR="00E3356C" w:rsidRPr="006E2C36">
              <w:rPr>
                <w:b/>
                <w:color w:val="FFFFFF" w:themeColor="background1"/>
              </w:rPr>
              <w:t>201</w:t>
            </w:r>
            <w:r w:rsidR="00705A71">
              <w:rPr>
                <w:b/>
                <w:color w:val="FFFFFF" w:themeColor="background1"/>
              </w:rPr>
              <w:t>6</w:t>
            </w:r>
          </w:p>
        </w:tc>
      </w:tr>
      <w:tr w:rsidR="006E6EB9" w:rsidRPr="007A3749" w:rsidTr="006E2C36">
        <w:trPr>
          <w:cantSplit/>
        </w:trPr>
        <w:tc>
          <w:tcPr>
            <w:tcW w:w="1007" w:type="pct"/>
          </w:tcPr>
          <w:p w:rsidR="006E6EB9" w:rsidRPr="007A3749" w:rsidRDefault="006E6EB9" w:rsidP="006E2C36">
            <w:pPr>
              <w:pStyle w:val="AODocTxtCharChar"/>
              <w:jc w:val="left"/>
            </w:pPr>
            <w:r w:rsidRPr="007A3749">
              <w:t>František Řezáč</w:t>
            </w:r>
          </w:p>
        </w:tc>
        <w:tc>
          <w:tcPr>
            <w:tcW w:w="400" w:type="pct"/>
          </w:tcPr>
          <w:p w:rsidR="006E6EB9" w:rsidRPr="007A3749" w:rsidRDefault="00E3356C" w:rsidP="006E2C36">
            <w:pPr>
              <w:pStyle w:val="AODocTxtCharChar"/>
              <w:jc w:val="left"/>
            </w:pPr>
            <w:r w:rsidRPr="007A3749">
              <w:t>4</w:t>
            </w:r>
            <w:r w:rsidR="00AC6498">
              <w:t>2</w:t>
            </w:r>
          </w:p>
        </w:tc>
        <w:tc>
          <w:tcPr>
            <w:tcW w:w="1079" w:type="pct"/>
          </w:tcPr>
          <w:p w:rsidR="006E6EB9" w:rsidRPr="007A3749" w:rsidRDefault="00F852FB" w:rsidP="006E2C36">
            <w:pPr>
              <w:pStyle w:val="AODocTxtCharChar"/>
              <w:jc w:val="left"/>
              <w:rPr>
                <w:rFonts w:eastAsia="Batang"/>
              </w:rPr>
            </w:pPr>
            <w:r w:rsidRPr="007A3749">
              <w:t>Exekutivní ředitel</w:t>
            </w:r>
          </w:p>
        </w:tc>
        <w:tc>
          <w:tcPr>
            <w:tcW w:w="1640" w:type="pct"/>
          </w:tcPr>
          <w:p w:rsidR="006E6EB9" w:rsidRPr="007A3749" w:rsidRDefault="006E6EB9" w:rsidP="006E2C36">
            <w:pPr>
              <w:pStyle w:val="AODocTxtCharChar"/>
              <w:jc w:val="left"/>
            </w:pPr>
            <w:r w:rsidRPr="007A3749">
              <w:t>Přímětická 86, 669 04, Znojmo, Česká republika</w:t>
            </w:r>
          </w:p>
        </w:tc>
        <w:tc>
          <w:tcPr>
            <w:tcW w:w="875" w:type="pct"/>
          </w:tcPr>
          <w:p w:rsidR="006E2C36" w:rsidRDefault="00F04E4C" w:rsidP="006E2C36">
            <w:pPr>
              <w:pStyle w:val="AODocTxtCharChar"/>
              <w:jc w:val="left"/>
            </w:pPr>
            <w:r w:rsidRPr="007A3749">
              <w:t xml:space="preserve">1. 1. </w:t>
            </w:r>
            <w:r w:rsidR="00AC6498">
              <w:t>2016</w:t>
            </w:r>
            <w:r w:rsidR="001F6AA7" w:rsidRPr="007A3749">
              <w:t xml:space="preserve"> – </w:t>
            </w:r>
          </w:p>
          <w:p w:rsidR="006E6EB9" w:rsidRPr="007A3749" w:rsidRDefault="001F6AA7" w:rsidP="006E2C36">
            <w:pPr>
              <w:pStyle w:val="AODocTxtCharChar"/>
              <w:jc w:val="left"/>
            </w:pPr>
            <w:r w:rsidRPr="007A3749">
              <w:t xml:space="preserve">30. 6. </w:t>
            </w:r>
            <w:r w:rsidR="00AC6498">
              <w:t>2016</w:t>
            </w:r>
          </w:p>
        </w:tc>
      </w:tr>
      <w:tr w:rsidR="00877907" w:rsidRPr="007A3749" w:rsidTr="006E2C36">
        <w:trPr>
          <w:cantSplit/>
        </w:trPr>
        <w:tc>
          <w:tcPr>
            <w:tcW w:w="1007" w:type="pct"/>
          </w:tcPr>
          <w:p w:rsidR="00877907" w:rsidRPr="007A3749" w:rsidRDefault="00877907" w:rsidP="006E2C36">
            <w:pPr>
              <w:pStyle w:val="AODocTxtCharChar"/>
              <w:jc w:val="left"/>
            </w:pPr>
            <w:r w:rsidRPr="007A3749">
              <w:t>František Klaška</w:t>
            </w:r>
          </w:p>
        </w:tc>
        <w:tc>
          <w:tcPr>
            <w:tcW w:w="400" w:type="pct"/>
          </w:tcPr>
          <w:p w:rsidR="00877907" w:rsidRPr="007A3749" w:rsidRDefault="00C44FC1" w:rsidP="006E2C36">
            <w:pPr>
              <w:pStyle w:val="AODocTxtCharChar"/>
              <w:jc w:val="left"/>
            </w:pPr>
            <w:r w:rsidRPr="007A3749">
              <w:t>5</w:t>
            </w:r>
            <w:r w:rsidR="00AC6498">
              <w:t>9</w:t>
            </w:r>
          </w:p>
        </w:tc>
        <w:tc>
          <w:tcPr>
            <w:tcW w:w="1079" w:type="pct"/>
          </w:tcPr>
          <w:p w:rsidR="00877907" w:rsidRPr="007A3749" w:rsidRDefault="00877907" w:rsidP="006E2C36">
            <w:pPr>
              <w:pStyle w:val="AODocTxtCharChar"/>
              <w:jc w:val="left"/>
              <w:rPr>
                <w:rFonts w:eastAsia="Batang"/>
              </w:rPr>
            </w:pPr>
            <w:r w:rsidRPr="007A3749">
              <w:t>Exekutivní ředitel</w:t>
            </w:r>
          </w:p>
        </w:tc>
        <w:tc>
          <w:tcPr>
            <w:tcW w:w="1640" w:type="pct"/>
          </w:tcPr>
          <w:p w:rsidR="00877907" w:rsidRPr="007A3749" w:rsidRDefault="00877907" w:rsidP="006E2C36">
            <w:pPr>
              <w:pStyle w:val="AODocTxtCharChar"/>
              <w:jc w:val="left"/>
            </w:pPr>
            <w:r w:rsidRPr="007A3749">
              <w:t>Přímětická 86, 669 04, Znojmo, Česká republika</w:t>
            </w:r>
          </w:p>
        </w:tc>
        <w:tc>
          <w:tcPr>
            <w:tcW w:w="875" w:type="pct"/>
          </w:tcPr>
          <w:p w:rsidR="006E2C36" w:rsidRDefault="00877907" w:rsidP="006E2C36">
            <w:pPr>
              <w:pStyle w:val="AODocTxtCharChar"/>
              <w:jc w:val="left"/>
            </w:pPr>
            <w:r w:rsidRPr="007A3749">
              <w:t xml:space="preserve">1. 1. </w:t>
            </w:r>
            <w:r w:rsidR="00AC6498">
              <w:t>2016</w:t>
            </w:r>
            <w:r w:rsidRPr="007A3749">
              <w:t xml:space="preserve"> – </w:t>
            </w:r>
          </w:p>
          <w:p w:rsidR="00877907" w:rsidRPr="007A3749" w:rsidRDefault="00877907" w:rsidP="006E2C36">
            <w:pPr>
              <w:pStyle w:val="AODocTxtCharChar"/>
              <w:jc w:val="left"/>
            </w:pPr>
            <w:r w:rsidRPr="007A3749">
              <w:t xml:space="preserve">30. 6. </w:t>
            </w:r>
            <w:r w:rsidR="00AC6498">
              <w:t>2016</w:t>
            </w:r>
          </w:p>
        </w:tc>
      </w:tr>
      <w:tr w:rsidR="00877907" w:rsidRPr="007A3749" w:rsidTr="006E2C36">
        <w:trPr>
          <w:cantSplit/>
        </w:trPr>
        <w:tc>
          <w:tcPr>
            <w:tcW w:w="1007" w:type="pct"/>
          </w:tcPr>
          <w:p w:rsidR="00877907" w:rsidRPr="007A3749" w:rsidRDefault="00877907" w:rsidP="006E2C36">
            <w:pPr>
              <w:pStyle w:val="AODocTxtCharChar"/>
              <w:jc w:val="left"/>
              <w:rPr>
                <w:rFonts w:eastAsia="Batang"/>
              </w:rPr>
            </w:pPr>
            <w:r w:rsidRPr="007A3749">
              <w:t>Marian Rašík</w:t>
            </w:r>
          </w:p>
        </w:tc>
        <w:tc>
          <w:tcPr>
            <w:tcW w:w="400" w:type="pct"/>
          </w:tcPr>
          <w:p w:rsidR="00877907" w:rsidRPr="007A3749" w:rsidRDefault="00E3356C" w:rsidP="006E2C36">
            <w:pPr>
              <w:pStyle w:val="AODocTxtCharChar"/>
              <w:jc w:val="left"/>
            </w:pPr>
            <w:r w:rsidRPr="007A3749">
              <w:t>4</w:t>
            </w:r>
            <w:r w:rsidR="00AC6498">
              <w:t>5</w:t>
            </w:r>
          </w:p>
        </w:tc>
        <w:tc>
          <w:tcPr>
            <w:tcW w:w="1079" w:type="pct"/>
          </w:tcPr>
          <w:p w:rsidR="00877907" w:rsidRPr="007A3749" w:rsidRDefault="00877907" w:rsidP="006E2C36">
            <w:pPr>
              <w:pStyle w:val="AODocTxtCharChar"/>
              <w:jc w:val="left"/>
              <w:rPr>
                <w:rFonts w:eastAsia="Batang"/>
              </w:rPr>
            </w:pPr>
            <w:r w:rsidRPr="007A3749">
              <w:t>Exekutivní ředitel</w:t>
            </w:r>
          </w:p>
        </w:tc>
        <w:tc>
          <w:tcPr>
            <w:tcW w:w="1640" w:type="pct"/>
          </w:tcPr>
          <w:p w:rsidR="00877907" w:rsidRPr="007A3749" w:rsidRDefault="00877907" w:rsidP="006E2C36">
            <w:pPr>
              <w:pStyle w:val="AODocTxtCharChar"/>
              <w:jc w:val="left"/>
            </w:pPr>
            <w:r w:rsidRPr="007A3749">
              <w:t>Přímětická 86, 669 04, Znojmo, Česká republika</w:t>
            </w:r>
          </w:p>
        </w:tc>
        <w:tc>
          <w:tcPr>
            <w:tcW w:w="875" w:type="pct"/>
          </w:tcPr>
          <w:p w:rsidR="006E2C36" w:rsidRDefault="00877907" w:rsidP="006E2C36">
            <w:pPr>
              <w:pStyle w:val="AODocTxtCharChar"/>
              <w:jc w:val="left"/>
            </w:pPr>
            <w:r w:rsidRPr="007A3749">
              <w:t xml:space="preserve">1. 1. </w:t>
            </w:r>
            <w:r w:rsidR="00AC6498">
              <w:t>2016</w:t>
            </w:r>
            <w:r w:rsidRPr="007A3749">
              <w:t xml:space="preserve"> – </w:t>
            </w:r>
          </w:p>
          <w:p w:rsidR="00877907" w:rsidRPr="007A3749" w:rsidRDefault="00877907" w:rsidP="006E2C36">
            <w:pPr>
              <w:pStyle w:val="AODocTxtCharChar"/>
              <w:jc w:val="left"/>
            </w:pPr>
            <w:r w:rsidRPr="007A3749">
              <w:t xml:space="preserve">30. 6. </w:t>
            </w:r>
            <w:r w:rsidR="00AC6498">
              <w:t>2016</w:t>
            </w:r>
          </w:p>
        </w:tc>
      </w:tr>
      <w:tr w:rsidR="00877907" w:rsidRPr="007A3749" w:rsidTr="006E2C36">
        <w:tblPrEx>
          <w:tblCellMar>
            <w:left w:w="108" w:type="dxa"/>
            <w:right w:w="108" w:type="dxa"/>
          </w:tblCellMar>
        </w:tblPrEx>
        <w:tc>
          <w:tcPr>
            <w:tcW w:w="1007" w:type="pct"/>
          </w:tcPr>
          <w:p w:rsidR="00877907" w:rsidRPr="007A3749" w:rsidRDefault="00877907" w:rsidP="006E2C36">
            <w:pPr>
              <w:pStyle w:val="AODocTxtCharChar"/>
              <w:jc w:val="left"/>
            </w:pPr>
            <w:r w:rsidRPr="007A3749">
              <w:t>Marek Modecki</w:t>
            </w:r>
          </w:p>
        </w:tc>
        <w:tc>
          <w:tcPr>
            <w:tcW w:w="400" w:type="pct"/>
          </w:tcPr>
          <w:p w:rsidR="00877907" w:rsidRPr="007A3749" w:rsidRDefault="00877907" w:rsidP="006E2C36">
            <w:pPr>
              <w:pStyle w:val="AODocTxtCharChar"/>
              <w:jc w:val="left"/>
            </w:pPr>
            <w:r w:rsidRPr="007A3749">
              <w:t>5</w:t>
            </w:r>
            <w:r w:rsidR="00AC6498">
              <w:t>7</w:t>
            </w:r>
          </w:p>
        </w:tc>
        <w:tc>
          <w:tcPr>
            <w:tcW w:w="1079" w:type="pct"/>
          </w:tcPr>
          <w:p w:rsidR="00877907" w:rsidRPr="007A3749" w:rsidRDefault="00877907" w:rsidP="006E2C36">
            <w:pPr>
              <w:pStyle w:val="AODocTxtCharChar"/>
              <w:jc w:val="left"/>
            </w:pPr>
            <w:r w:rsidRPr="007A3749">
              <w:t>Neexekutivní ředitel, předseda představenstva</w:t>
            </w:r>
          </w:p>
        </w:tc>
        <w:tc>
          <w:tcPr>
            <w:tcW w:w="1640" w:type="pct"/>
          </w:tcPr>
          <w:p w:rsidR="00877907" w:rsidRPr="007A3749" w:rsidRDefault="00877907" w:rsidP="006E2C36">
            <w:pPr>
              <w:pStyle w:val="AODocTxtCharChar"/>
              <w:jc w:val="left"/>
            </w:pPr>
            <w:r w:rsidRPr="007A3749">
              <w:t>68-70, boulevard de la Pétrusse, Lucemburk, L-2320, Lucemburské velkovévodství</w:t>
            </w:r>
          </w:p>
        </w:tc>
        <w:tc>
          <w:tcPr>
            <w:tcW w:w="875" w:type="pct"/>
          </w:tcPr>
          <w:p w:rsidR="006E2C36" w:rsidRDefault="00877907" w:rsidP="006E2C36">
            <w:pPr>
              <w:pStyle w:val="AODocTxtCharChar"/>
              <w:jc w:val="left"/>
            </w:pPr>
            <w:r w:rsidRPr="007A3749">
              <w:t xml:space="preserve">1. 1. </w:t>
            </w:r>
            <w:r w:rsidR="00AC6498">
              <w:t>2016</w:t>
            </w:r>
            <w:r w:rsidRPr="007A3749">
              <w:t xml:space="preserve"> – </w:t>
            </w:r>
          </w:p>
          <w:p w:rsidR="00877907" w:rsidRPr="007A3749" w:rsidRDefault="00877907" w:rsidP="006E2C36">
            <w:pPr>
              <w:pStyle w:val="AODocTxtCharChar"/>
              <w:jc w:val="left"/>
            </w:pPr>
            <w:r w:rsidRPr="007A3749">
              <w:t xml:space="preserve">30. 6. </w:t>
            </w:r>
            <w:r w:rsidR="00AC6498">
              <w:t>2016</w:t>
            </w:r>
          </w:p>
        </w:tc>
      </w:tr>
      <w:tr w:rsidR="00877907" w:rsidRPr="007A3749" w:rsidTr="006E2C36">
        <w:tblPrEx>
          <w:tblCellMar>
            <w:left w:w="108" w:type="dxa"/>
            <w:right w:w="108" w:type="dxa"/>
          </w:tblCellMar>
        </w:tblPrEx>
        <w:tc>
          <w:tcPr>
            <w:tcW w:w="1007" w:type="pct"/>
          </w:tcPr>
          <w:p w:rsidR="00877907" w:rsidRPr="007A3749" w:rsidRDefault="00877907" w:rsidP="006E2C36">
            <w:pPr>
              <w:pStyle w:val="AODocTxtCharChar"/>
              <w:jc w:val="left"/>
            </w:pPr>
            <w:r w:rsidRPr="007A3749">
              <w:t>Jan Sýkora</w:t>
            </w:r>
          </w:p>
        </w:tc>
        <w:tc>
          <w:tcPr>
            <w:tcW w:w="400" w:type="pct"/>
          </w:tcPr>
          <w:p w:rsidR="00877907" w:rsidRPr="007A3749" w:rsidRDefault="00E3356C" w:rsidP="006E2C36">
            <w:pPr>
              <w:pStyle w:val="AODocTxtCharChar"/>
              <w:jc w:val="left"/>
            </w:pPr>
            <w:r w:rsidRPr="007A3749">
              <w:t>4</w:t>
            </w:r>
            <w:r w:rsidR="00AC6498">
              <w:t>4</w:t>
            </w:r>
          </w:p>
        </w:tc>
        <w:tc>
          <w:tcPr>
            <w:tcW w:w="1079" w:type="pct"/>
          </w:tcPr>
          <w:p w:rsidR="00877907" w:rsidRPr="007A3749" w:rsidRDefault="00877907" w:rsidP="006E2C36">
            <w:pPr>
              <w:pStyle w:val="AODocTxtCharChar"/>
              <w:jc w:val="left"/>
            </w:pPr>
            <w:r w:rsidRPr="007A3749">
              <w:t>Neexekutivní ředitel</w:t>
            </w:r>
          </w:p>
        </w:tc>
        <w:tc>
          <w:tcPr>
            <w:tcW w:w="1640" w:type="pct"/>
          </w:tcPr>
          <w:p w:rsidR="00877907" w:rsidRPr="007A3749" w:rsidRDefault="00877907" w:rsidP="006E2C36">
            <w:pPr>
              <w:pStyle w:val="AODocTxtCharChar"/>
              <w:jc w:val="left"/>
            </w:pPr>
            <w:r w:rsidRPr="007A3749">
              <w:t>68-70, boulevard de la Pétrusse, Lucemburk, L-2320, Lucemburské velkovévodství</w:t>
            </w:r>
          </w:p>
        </w:tc>
        <w:tc>
          <w:tcPr>
            <w:tcW w:w="875" w:type="pct"/>
          </w:tcPr>
          <w:p w:rsidR="006E2C36" w:rsidRDefault="00877907" w:rsidP="006E2C36">
            <w:pPr>
              <w:pStyle w:val="AODocTxtCharChar"/>
              <w:jc w:val="left"/>
            </w:pPr>
            <w:r w:rsidRPr="007A3749">
              <w:t xml:space="preserve">1. 1. </w:t>
            </w:r>
            <w:r w:rsidR="00AC6498">
              <w:t>2016</w:t>
            </w:r>
            <w:r w:rsidRPr="007A3749">
              <w:t xml:space="preserve"> – </w:t>
            </w:r>
          </w:p>
          <w:p w:rsidR="00877907" w:rsidRPr="007A3749" w:rsidRDefault="00877907" w:rsidP="006E2C36">
            <w:pPr>
              <w:pStyle w:val="AODocTxtCharChar"/>
              <w:jc w:val="left"/>
            </w:pPr>
            <w:r w:rsidRPr="007A3749">
              <w:t xml:space="preserve">30. 6. </w:t>
            </w:r>
            <w:r w:rsidR="00AC6498">
              <w:t>2016</w:t>
            </w:r>
          </w:p>
        </w:tc>
      </w:tr>
    </w:tbl>
    <w:p w:rsidR="007C2508" w:rsidRPr="007A3749" w:rsidRDefault="007C2508" w:rsidP="007A3749">
      <w:r w:rsidRPr="007A3749">
        <w:t>Během prvního pololetí roku 201</w:t>
      </w:r>
      <w:r w:rsidR="00AC6498">
        <w:t>6</w:t>
      </w:r>
      <w:r w:rsidRPr="007A3749">
        <w:t xml:space="preserve"> nedošlo k žádným personálním změnám v představenstvu Společnosti.</w:t>
      </w:r>
    </w:p>
    <w:p w:rsidR="006E2C36" w:rsidRDefault="006E2C36" w:rsidP="006E2C36">
      <w:pPr>
        <w:pStyle w:val="Heading4"/>
      </w:pPr>
    </w:p>
    <w:p w:rsidR="006E2C36" w:rsidRDefault="006E2C36">
      <w:pPr>
        <w:spacing w:before="0" w:beforeAutospacing="0" w:after="0" w:afterAutospacing="0"/>
        <w:jc w:val="left"/>
        <w:rPr>
          <w:b/>
          <w:color w:val="E2001C"/>
        </w:rPr>
      </w:pPr>
      <w:r>
        <w:br w:type="page"/>
      </w:r>
    </w:p>
    <w:p w:rsidR="00457B27" w:rsidRPr="007A3749" w:rsidRDefault="00AE48AE" w:rsidP="006E2C36">
      <w:pPr>
        <w:pStyle w:val="Heading4"/>
      </w:pPr>
      <w:r w:rsidRPr="008A66C6">
        <w:lastRenderedPageBreak/>
        <w:t>Účetní jednotky Skupiny</w:t>
      </w:r>
    </w:p>
    <w:p w:rsidR="005B47BF" w:rsidRPr="007A3749" w:rsidRDefault="006E6DC9" w:rsidP="007A3749">
      <w:pPr>
        <w:pStyle w:val="NormalWeb"/>
      </w:pPr>
      <w:r w:rsidRPr="007A3749">
        <w:t xml:space="preserve">K přepočtu základního </w:t>
      </w:r>
      <w:r w:rsidR="006D3363" w:rsidRPr="007A3749">
        <w:t>kapitálu</w:t>
      </w:r>
      <w:r w:rsidR="0070412E" w:rsidRPr="007A3749">
        <w:t xml:space="preserve"> dceřiných společností jsou</w:t>
      </w:r>
      <w:r w:rsidRPr="007A3749">
        <w:t xml:space="preserve"> použit</w:t>
      </w:r>
      <w:r w:rsidR="0070412E" w:rsidRPr="007A3749">
        <w:t>y</w:t>
      </w:r>
      <w:r w:rsidRPr="007A3749">
        <w:t xml:space="preserve"> kurz</w:t>
      </w:r>
      <w:r w:rsidR="0070412E" w:rsidRPr="007A3749">
        <w:t>y</w:t>
      </w:r>
      <w:r w:rsidRPr="007A3749">
        <w:t xml:space="preserve"> </w:t>
      </w:r>
      <w:r w:rsidR="00F852FB" w:rsidRPr="007A3749">
        <w:t>Kč</w:t>
      </w:r>
      <w:r w:rsidRPr="007A3749">
        <w:t>/</w:t>
      </w:r>
      <w:r w:rsidR="006E6EB9" w:rsidRPr="007A3749">
        <w:t>EUR</w:t>
      </w:r>
      <w:r w:rsidRPr="007A3749">
        <w:t xml:space="preserve"> </w:t>
      </w:r>
      <w:r w:rsidR="009D646A" w:rsidRPr="007A3749">
        <w:t>2</w:t>
      </w:r>
      <w:r w:rsidR="00265127" w:rsidRPr="007A3749">
        <w:t>7</w:t>
      </w:r>
      <w:r w:rsidR="009D646A" w:rsidRPr="007A3749">
        <w:t>,</w:t>
      </w:r>
      <w:r w:rsidR="0054249C">
        <w:t>131</w:t>
      </w:r>
      <w:r w:rsidR="0070412E" w:rsidRPr="007A3749">
        <w:t xml:space="preserve"> </w:t>
      </w:r>
      <w:r w:rsidR="00CC00E4" w:rsidRPr="007A3749">
        <w:t xml:space="preserve">a </w:t>
      </w:r>
      <w:r w:rsidR="009A2A22">
        <w:t>U</w:t>
      </w:r>
      <w:r w:rsidR="00F9620A" w:rsidRPr="007A3749">
        <w:t>SD</w:t>
      </w:r>
      <w:r w:rsidR="00CC00E4" w:rsidRPr="007A3749">
        <w:t>/</w:t>
      </w:r>
      <w:r w:rsidR="00F9620A" w:rsidRPr="007A3749">
        <w:t xml:space="preserve">EUR </w:t>
      </w:r>
      <w:r w:rsidR="003333A0" w:rsidRPr="007A3749">
        <w:t>1,</w:t>
      </w:r>
      <w:r w:rsidR="00831720" w:rsidRPr="007A3749">
        <w:t>11</w:t>
      </w:r>
      <w:r w:rsidR="009755A5">
        <w:t>0</w:t>
      </w:r>
      <w:r w:rsidR="0070412E" w:rsidRPr="007A3749">
        <w:t xml:space="preserve"> platné</w:t>
      </w:r>
      <w:r w:rsidRPr="007A3749">
        <w:t xml:space="preserve"> k 30. červnu </w:t>
      </w:r>
      <w:r w:rsidR="00CF4152" w:rsidRPr="007A3749">
        <w:t>201</w:t>
      </w:r>
      <w:r w:rsidR="0054249C">
        <w:t>6</w:t>
      </w:r>
      <w:r w:rsidRPr="007A3749">
        <w:t>.</w:t>
      </w:r>
    </w:p>
    <w:tbl>
      <w:tblPr>
        <w:tblW w:w="5000" w:type="pct"/>
        <w:tblBorders>
          <w:top w:val="single" w:sz="4" w:space="0" w:color="9C9D9F"/>
          <w:left w:val="single" w:sz="4" w:space="0" w:color="9C9D9F"/>
          <w:bottom w:val="single" w:sz="4" w:space="0" w:color="9C9D9F"/>
          <w:right w:val="single" w:sz="4" w:space="0" w:color="9C9D9F"/>
          <w:insideH w:val="single" w:sz="4" w:space="0" w:color="9C9D9F"/>
        </w:tblBorders>
        <w:tblLook w:val="01E0" w:firstRow="1" w:lastRow="1" w:firstColumn="1" w:lastColumn="1" w:noHBand="0" w:noVBand="0"/>
      </w:tblPr>
      <w:tblGrid>
        <w:gridCol w:w="1795"/>
        <w:gridCol w:w="1497"/>
        <w:gridCol w:w="1406"/>
        <w:gridCol w:w="1620"/>
        <w:gridCol w:w="966"/>
        <w:gridCol w:w="2004"/>
      </w:tblGrid>
      <w:tr w:rsidR="009A2A22" w:rsidRPr="009A2A22" w:rsidTr="00CF23B2">
        <w:tc>
          <w:tcPr>
            <w:tcW w:w="966"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Název společnosti</w:t>
            </w:r>
          </w:p>
        </w:tc>
        <w:tc>
          <w:tcPr>
            <w:tcW w:w="806"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Datum převzetí</w:t>
            </w:r>
            <w:r w:rsidR="00A53A3C" w:rsidRPr="009A2A22">
              <w:rPr>
                <w:b/>
                <w:color w:val="FFFFFF" w:themeColor="background1"/>
                <w:sz w:val="20"/>
                <w:szCs w:val="20"/>
              </w:rPr>
              <w:t>/zápisu</w:t>
            </w:r>
          </w:p>
        </w:tc>
        <w:tc>
          <w:tcPr>
            <w:tcW w:w="757"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Podíly v dceřiných společnostech</w:t>
            </w:r>
          </w:p>
        </w:tc>
        <w:tc>
          <w:tcPr>
            <w:tcW w:w="872"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Základní kapitál</w:t>
            </w:r>
          </w:p>
        </w:tc>
        <w:tc>
          <w:tcPr>
            <w:tcW w:w="520"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Základní kapitál (v tis. EUR)</w:t>
            </w:r>
          </w:p>
        </w:tc>
        <w:tc>
          <w:tcPr>
            <w:tcW w:w="1079" w:type="pct"/>
            <w:shd w:val="clear" w:color="auto" w:fill="E2001C"/>
          </w:tcPr>
          <w:p w:rsidR="0079799E" w:rsidRPr="009A2A22" w:rsidRDefault="00B7680E" w:rsidP="009A2A22">
            <w:pPr>
              <w:pStyle w:val="NormalWeb"/>
              <w:jc w:val="center"/>
              <w:rPr>
                <w:b/>
                <w:color w:val="FFFFFF" w:themeColor="background1"/>
                <w:sz w:val="20"/>
                <w:szCs w:val="20"/>
              </w:rPr>
            </w:pPr>
            <w:r w:rsidRPr="009A2A22">
              <w:rPr>
                <w:b/>
                <w:color w:val="FFFFFF" w:themeColor="background1"/>
                <w:sz w:val="20"/>
                <w:szCs w:val="20"/>
              </w:rPr>
              <w:t>Počet akcií a jejich nominální hodnota</w:t>
            </w:r>
          </w:p>
        </w:tc>
      </w:tr>
      <w:tr w:rsidR="00B7680E" w:rsidRPr="009A2A22" w:rsidTr="00CF23B2">
        <w:trPr>
          <w:trHeight w:val="843"/>
        </w:trPr>
        <w:tc>
          <w:tcPr>
            <w:tcW w:w="966" w:type="pct"/>
          </w:tcPr>
          <w:p w:rsidR="0079799E" w:rsidRPr="009A2A22" w:rsidRDefault="003E6394" w:rsidP="009A2A22">
            <w:pPr>
              <w:rPr>
                <w:sz w:val="20"/>
                <w:szCs w:val="20"/>
                <w:vertAlign w:val="superscript"/>
              </w:rPr>
            </w:pPr>
            <w:r w:rsidRPr="009A2A22">
              <w:rPr>
                <w:sz w:val="20"/>
                <w:szCs w:val="20"/>
              </w:rPr>
              <w:t>PEGAS NON</w:t>
            </w:r>
            <w:r w:rsidR="004444BC" w:rsidRPr="009A2A22">
              <w:rPr>
                <w:sz w:val="20"/>
                <w:szCs w:val="20"/>
              </w:rPr>
              <w:t>WOVEN</w:t>
            </w:r>
            <w:r w:rsidR="009F1A7B" w:rsidRPr="009A2A22">
              <w:rPr>
                <w:sz w:val="20"/>
                <w:szCs w:val="20"/>
              </w:rPr>
              <w:t>S s.r.o.</w:t>
            </w:r>
            <w:r w:rsidR="00543C8B" w:rsidRPr="009A2A22">
              <w:rPr>
                <w:sz w:val="20"/>
                <w:szCs w:val="20"/>
              </w:rPr>
              <w:t>*</w:t>
            </w:r>
          </w:p>
        </w:tc>
        <w:tc>
          <w:tcPr>
            <w:tcW w:w="806" w:type="pct"/>
          </w:tcPr>
          <w:p w:rsidR="0079799E" w:rsidRPr="009A2A22" w:rsidRDefault="009402CC" w:rsidP="0054249C">
            <w:pPr>
              <w:jc w:val="right"/>
              <w:rPr>
                <w:sz w:val="20"/>
                <w:szCs w:val="20"/>
              </w:rPr>
            </w:pPr>
            <w:r w:rsidRPr="009A2A22">
              <w:rPr>
                <w:sz w:val="20"/>
                <w:szCs w:val="20"/>
              </w:rPr>
              <w:t>5. 12. 2005</w:t>
            </w:r>
          </w:p>
        </w:tc>
        <w:tc>
          <w:tcPr>
            <w:tcW w:w="757" w:type="pct"/>
          </w:tcPr>
          <w:p w:rsidR="0079799E" w:rsidRPr="009A2A22" w:rsidRDefault="007C2D5B" w:rsidP="009A2A22">
            <w:pPr>
              <w:jc w:val="center"/>
              <w:rPr>
                <w:sz w:val="20"/>
                <w:szCs w:val="20"/>
              </w:rPr>
            </w:pPr>
            <w:r w:rsidRPr="009A2A22">
              <w:rPr>
                <w:sz w:val="20"/>
                <w:szCs w:val="20"/>
              </w:rPr>
              <w:t>100</w:t>
            </w:r>
            <w:r w:rsidR="00865CEE" w:rsidRPr="009A2A22">
              <w:rPr>
                <w:sz w:val="20"/>
                <w:szCs w:val="20"/>
              </w:rPr>
              <w:t xml:space="preserve"> </w:t>
            </w:r>
            <w:r w:rsidRPr="009A2A22">
              <w:rPr>
                <w:sz w:val="20"/>
                <w:szCs w:val="20"/>
              </w:rPr>
              <w:t>%</w:t>
            </w:r>
          </w:p>
        </w:tc>
        <w:tc>
          <w:tcPr>
            <w:tcW w:w="872" w:type="pct"/>
          </w:tcPr>
          <w:p w:rsidR="0079799E" w:rsidRPr="009A2A22" w:rsidRDefault="007C2D5B" w:rsidP="009A2A22">
            <w:pPr>
              <w:jc w:val="right"/>
              <w:rPr>
                <w:sz w:val="20"/>
                <w:szCs w:val="20"/>
              </w:rPr>
            </w:pPr>
            <w:r w:rsidRPr="009A2A22">
              <w:rPr>
                <w:sz w:val="20"/>
                <w:szCs w:val="20"/>
              </w:rPr>
              <w:t>3</w:t>
            </w:r>
            <w:r w:rsidR="001657F0" w:rsidRPr="009A2A22">
              <w:rPr>
                <w:sz w:val="20"/>
                <w:szCs w:val="20"/>
              </w:rPr>
              <w:t> </w:t>
            </w:r>
            <w:r w:rsidRPr="009A2A22">
              <w:rPr>
                <w:sz w:val="20"/>
                <w:szCs w:val="20"/>
              </w:rPr>
              <w:t>633</w:t>
            </w:r>
            <w:r w:rsidR="00A31A7C" w:rsidRPr="009A2A22">
              <w:rPr>
                <w:sz w:val="20"/>
                <w:szCs w:val="20"/>
              </w:rPr>
              <w:t xml:space="preserve"> tis. Kč</w:t>
            </w:r>
          </w:p>
        </w:tc>
        <w:tc>
          <w:tcPr>
            <w:tcW w:w="520" w:type="pct"/>
          </w:tcPr>
          <w:p w:rsidR="0079799E" w:rsidRPr="009A2A22" w:rsidRDefault="00F9317B" w:rsidP="009A2A22">
            <w:pPr>
              <w:jc w:val="right"/>
              <w:rPr>
                <w:sz w:val="20"/>
                <w:szCs w:val="20"/>
              </w:rPr>
            </w:pPr>
            <w:r w:rsidRPr="009A2A22">
              <w:rPr>
                <w:sz w:val="20"/>
                <w:szCs w:val="20"/>
              </w:rPr>
              <w:t>1</w:t>
            </w:r>
            <w:r w:rsidR="00265127" w:rsidRPr="009A2A22">
              <w:rPr>
                <w:sz w:val="20"/>
                <w:szCs w:val="20"/>
              </w:rPr>
              <w:t>3</w:t>
            </w:r>
            <w:r w:rsidR="0054249C">
              <w:rPr>
                <w:sz w:val="20"/>
                <w:szCs w:val="20"/>
              </w:rPr>
              <w:t>4</w:t>
            </w:r>
          </w:p>
        </w:tc>
        <w:tc>
          <w:tcPr>
            <w:tcW w:w="1079" w:type="pct"/>
          </w:tcPr>
          <w:p w:rsidR="0079799E" w:rsidRPr="009A2A22" w:rsidRDefault="007C2D5B" w:rsidP="009A2A22">
            <w:pPr>
              <w:jc w:val="left"/>
              <w:rPr>
                <w:sz w:val="20"/>
                <w:szCs w:val="20"/>
              </w:rPr>
            </w:pPr>
            <w:r w:rsidRPr="009A2A22">
              <w:rPr>
                <w:sz w:val="20"/>
                <w:szCs w:val="20"/>
              </w:rPr>
              <w:t>100</w:t>
            </w:r>
            <w:r w:rsidR="00865CEE" w:rsidRPr="009A2A22">
              <w:rPr>
                <w:sz w:val="20"/>
                <w:szCs w:val="20"/>
              </w:rPr>
              <w:t xml:space="preserve"> </w:t>
            </w:r>
            <w:r w:rsidRPr="009A2A22">
              <w:rPr>
                <w:sz w:val="20"/>
                <w:szCs w:val="20"/>
              </w:rPr>
              <w:t xml:space="preserve">% </w:t>
            </w:r>
            <w:r w:rsidR="00B7680E" w:rsidRPr="009A2A22">
              <w:rPr>
                <w:sz w:val="20"/>
                <w:szCs w:val="20"/>
              </w:rPr>
              <w:t xml:space="preserve">podíl v hodnotě </w:t>
            </w:r>
            <w:r w:rsidRPr="009A2A22">
              <w:rPr>
                <w:sz w:val="20"/>
                <w:szCs w:val="20"/>
              </w:rPr>
              <w:t>3</w:t>
            </w:r>
            <w:r w:rsidR="00952729" w:rsidRPr="009A2A22">
              <w:rPr>
                <w:b/>
                <w:sz w:val="20"/>
                <w:szCs w:val="20"/>
              </w:rPr>
              <w:t> </w:t>
            </w:r>
            <w:r w:rsidRPr="009A2A22">
              <w:rPr>
                <w:sz w:val="20"/>
                <w:szCs w:val="20"/>
              </w:rPr>
              <w:t>633</w:t>
            </w:r>
            <w:r w:rsidR="003E6394" w:rsidRPr="009A2A22">
              <w:rPr>
                <w:sz w:val="20"/>
                <w:szCs w:val="20"/>
              </w:rPr>
              <w:t xml:space="preserve"> t</w:t>
            </w:r>
            <w:r w:rsidR="00B7680E" w:rsidRPr="009A2A22">
              <w:rPr>
                <w:sz w:val="20"/>
                <w:szCs w:val="20"/>
              </w:rPr>
              <w:t>is. Kč</w:t>
            </w:r>
          </w:p>
        </w:tc>
      </w:tr>
      <w:tr w:rsidR="00B7680E" w:rsidRPr="009A2A22" w:rsidTr="00CF23B2">
        <w:tc>
          <w:tcPr>
            <w:tcW w:w="966" w:type="pct"/>
          </w:tcPr>
          <w:p w:rsidR="0092001F" w:rsidRPr="009A2A22" w:rsidRDefault="009402CC" w:rsidP="009A2A22">
            <w:pPr>
              <w:rPr>
                <w:sz w:val="20"/>
                <w:szCs w:val="20"/>
              </w:rPr>
            </w:pPr>
            <w:r w:rsidRPr="009A2A22">
              <w:rPr>
                <w:sz w:val="20"/>
                <w:szCs w:val="20"/>
              </w:rPr>
              <w:t>PEGAS</w:t>
            </w:r>
            <w:r w:rsidR="0092001F" w:rsidRPr="009A2A22">
              <w:rPr>
                <w:sz w:val="20"/>
                <w:szCs w:val="20"/>
              </w:rPr>
              <w:t>-NT a.s.</w:t>
            </w:r>
          </w:p>
        </w:tc>
        <w:tc>
          <w:tcPr>
            <w:tcW w:w="806" w:type="pct"/>
          </w:tcPr>
          <w:p w:rsidR="009402CC" w:rsidRPr="009A2A22" w:rsidRDefault="009402CC" w:rsidP="0054249C">
            <w:pPr>
              <w:jc w:val="right"/>
              <w:rPr>
                <w:sz w:val="20"/>
                <w:szCs w:val="20"/>
              </w:rPr>
            </w:pPr>
            <w:r w:rsidRPr="009A2A22">
              <w:rPr>
                <w:sz w:val="20"/>
                <w:szCs w:val="20"/>
              </w:rPr>
              <w:t>14. 12. 2005</w:t>
            </w:r>
          </w:p>
          <w:p w:rsidR="0092001F" w:rsidRPr="009A2A22" w:rsidRDefault="0092001F" w:rsidP="0054249C">
            <w:pPr>
              <w:jc w:val="right"/>
              <w:rPr>
                <w:sz w:val="20"/>
                <w:szCs w:val="20"/>
              </w:rPr>
            </w:pPr>
          </w:p>
        </w:tc>
        <w:tc>
          <w:tcPr>
            <w:tcW w:w="757" w:type="pct"/>
          </w:tcPr>
          <w:p w:rsidR="0092001F" w:rsidRPr="009A2A22" w:rsidRDefault="007C2D5B" w:rsidP="009A2A22">
            <w:pPr>
              <w:jc w:val="center"/>
              <w:rPr>
                <w:sz w:val="20"/>
                <w:szCs w:val="20"/>
              </w:rPr>
            </w:pPr>
            <w:r w:rsidRPr="009A2A22">
              <w:rPr>
                <w:sz w:val="20"/>
                <w:szCs w:val="20"/>
              </w:rPr>
              <w:t>100</w:t>
            </w:r>
            <w:r w:rsidR="00865CEE" w:rsidRPr="009A2A22">
              <w:rPr>
                <w:sz w:val="20"/>
                <w:szCs w:val="20"/>
              </w:rPr>
              <w:t xml:space="preserve"> </w:t>
            </w:r>
            <w:r w:rsidRPr="009A2A22">
              <w:rPr>
                <w:sz w:val="20"/>
                <w:szCs w:val="20"/>
              </w:rPr>
              <w:t>%</w:t>
            </w:r>
          </w:p>
        </w:tc>
        <w:tc>
          <w:tcPr>
            <w:tcW w:w="872" w:type="pct"/>
          </w:tcPr>
          <w:p w:rsidR="007C2D5B" w:rsidRPr="009A2A22" w:rsidRDefault="007C2D5B" w:rsidP="009A2A22">
            <w:pPr>
              <w:jc w:val="right"/>
              <w:rPr>
                <w:sz w:val="20"/>
                <w:szCs w:val="20"/>
              </w:rPr>
            </w:pPr>
            <w:r w:rsidRPr="009A2A22">
              <w:rPr>
                <w:sz w:val="20"/>
                <w:szCs w:val="20"/>
              </w:rPr>
              <w:t>550</w:t>
            </w:r>
            <w:r w:rsidR="00136A1A" w:rsidRPr="009A2A22">
              <w:rPr>
                <w:sz w:val="20"/>
                <w:szCs w:val="20"/>
              </w:rPr>
              <w:t xml:space="preserve"> </w:t>
            </w:r>
            <w:r w:rsidRPr="009A2A22">
              <w:rPr>
                <w:sz w:val="20"/>
                <w:szCs w:val="20"/>
              </w:rPr>
              <w:t>000</w:t>
            </w:r>
            <w:r w:rsidR="00A31A7C" w:rsidRPr="009A2A22">
              <w:rPr>
                <w:sz w:val="20"/>
                <w:szCs w:val="20"/>
              </w:rPr>
              <w:t xml:space="preserve"> tis. Kč</w:t>
            </w:r>
          </w:p>
          <w:p w:rsidR="0092001F" w:rsidRPr="009A2A22" w:rsidRDefault="0092001F" w:rsidP="009A2A22">
            <w:pPr>
              <w:jc w:val="right"/>
              <w:rPr>
                <w:sz w:val="20"/>
                <w:szCs w:val="20"/>
              </w:rPr>
            </w:pPr>
          </w:p>
        </w:tc>
        <w:tc>
          <w:tcPr>
            <w:tcW w:w="520" w:type="pct"/>
          </w:tcPr>
          <w:p w:rsidR="0092001F" w:rsidRPr="009A2A22" w:rsidRDefault="00265127" w:rsidP="009A2A22">
            <w:pPr>
              <w:jc w:val="right"/>
              <w:rPr>
                <w:sz w:val="20"/>
                <w:szCs w:val="20"/>
              </w:rPr>
            </w:pPr>
            <w:r w:rsidRPr="009A2A22">
              <w:rPr>
                <w:sz w:val="20"/>
                <w:szCs w:val="20"/>
              </w:rPr>
              <w:t xml:space="preserve">20 </w:t>
            </w:r>
            <w:r w:rsidR="0054249C">
              <w:rPr>
                <w:sz w:val="20"/>
                <w:szCs w:val="20"/>
              </w:rPr>
              <w:t>272</w:t>
            </w:r>
          </w:p>
        </w:tc>
        <w:tc>
          <w:tcPr>
            <w:tcW w:w="1079" w:type="pct"/>
          </w:tcPr>
          <w:p w:rsidR="0092001F" w:rsidRPr="009A2A22" w:rsidRDefault="004D4395" w:rsidP="009A2A22">
            <w:pPr>
              <w:jc w:val="left"/>
              <w:rPr>
                <w:sz w:val="20"/>
                <w:szCs w:val="20"/>
              </w:rPr>
            </w:pPr>
            <w:r w:rsidRPr="009A2A22">
              <w:rPr>
                <w:sz w:val="20"/>
                <w:szCs w:val="20"/>
              </w:rPr>
              <w:t>54</w:t>
            </w:r>
            <w:r w:rsidR="00171FF0" w:rsidRPr="009A2A22">
              <w:rPr>
                <w:sz w:val="20"/>
                <w:szCs w:val="20"/>
              </w:rPr>
              <w:t xml:space="preserve"> akcií v nomin. hodnotě </w:t>
            </w:r>
            <w:r w:rsidRPr="009A2A22">
              <w:rPr>
                <w:sz w:val="20"/>
                <w:szCs w:val="20"/>
              </w:rPr>
              <w:t>10</w:t>
            </w:r>
            <w:r w:rsidR="00136A1A" w:rsidRPr="009A2A22">
              <w:rPr>
                <w:sz w:val="20"/>
                <w:szCs w:val="20"/>
              </w:rPr>
              <w:t xml:space="preserve"> </w:t>
            </w:r>
            <w:r w:rsidRPr="009A2A22">
              <w:rPr>
                <w:sz w:val="20"/>
                <w:szCs w:val="20"/>
              </w:rPr>
              <w:t>000 tis. Kč za akcii a 10</w:t>
            </w:r>
            <w:r w:rsidR="006C2BB9" w:rsidRPr="009A2A22">
              <w:rPr>
                <w:sz w:val="20"/>
                <w:szCs w:val="20"/>
              </w:rPr>
              <w:t xml:space="preserve"> akcií v nomin. hodnotě </w:t>
            </w:r>
            <w:r w:rsidR="007C2D5B" w:rsidRPr="009A2A22">
              <w:rPr>
                <w:sz w:val="20"/>
                <w:szCs w:val="20"/>
              </w:rPr>
              <w:t>1</w:t>
            </w:r>
            <w:r w:rsidR="009A2A22">
              <w:rPr>
                <w:sz w:val="20"/>
                <w:szCs w:val="20"/>
              </w:rPr>
              <w:t> </w:t>
            </w:r>
            <w:r w:rsidR="007C2D5B" w:rsidRPr="009A2A22">
              <w:rPr>
                <w:sz w:val="20"/>
                <w:szCs w:val="20"/>
              </w:rPr>
              <w:t>000</w:t>
            </w:r>
            <w:r w:rsidR="006C2BB9" w:rsidRPr="009A2A22">
              <w:rPr>
                <w:sz w:val="20"/>
                <w:szCs w:val="20"/>
              </w:rPr>
              <w:t xml:space="preserve"> tis. za akcii</w:t>
            </w:r>
          </w:p>
        </w:tc>
      </w:tr>
      <w:tr w:rsidR="00B7680E" w:rsidRPr="009A2A22" w:rsidTr="00CF23B2">
        <w:tc>
          <w:tcPr>
            <w:tcW w:w="966" w:type="pct"/>
          </w:tcPr>
          <w:p w:rsidR="0092001F" w:rsidRPr="009A2A22" w:rsidRDefault="009402CC" w:rsidP="009A2A22">
            <w:pPr>
              <w:rPr>
                <w:sz w:val="20"/>
                <w:szCs w:val="20"/>
              </w:rPr>
            </w:pPr>
            <w:r w:rsidRPr="009A2A22">
              <w:rPr>
                <w:sz w:val="20"/>
                <w:szCs w:val="20"/>
              </w:rPr>
              <w:t>PEGAS</w:t>
            </w:r>
            <w:r w:rsidR="004444BC" w:rsidRPr="009A2A22">
              <w:rPr>
                <w:sz w:val="20"/>
                <w:szCs w:val="20"/>
              </w:rPr>
              <w:t xml:space="preserve"> </w:t>
            </w:r>
            <w:r w:rsidR="0092001F" w:rsidRPr="009A2A22">
              <w:rPr>
                <w:sz w:val="20"/>
                <w:szCs w:val="20"/>
              </w:rPr>
              <w:t>-</w:t>
            </w:r>
            <w:r w:rsidR="004444BC" w:rsidRPr="009A2A22">
              <w:rPr>
                <w:sz w:val="20"/>
                <w:szCs w:val="20"/>
              </w:rPr>
              <w:t xml:space="preserve"> </w:t>
            </w:r>
            <w:r w:rsidR="0092001F" w:rsidRPr="009A2A22">
              <w:rPr>
                <w:sz w:val="20"/>
                <w:szCs w:val="20"/>
              </w:rPr>
              <w:t>NW a.s.</w:t>
            </w:r>
          </w:p>
        </w:tc>
        <w:tc>
          <w:tcPr>
            <w:tcW w:w="806" w:type="pct"/>
          </w:tcPr>
          <w:p w:rsidR="009402CC" w:rsidRPr="009A2A22" w:rsidRDefault="009402CC" w:rsidP="0054249C">
            <w:pPr>
              <w:jc w:val="right"/>
              <w:rPr>
                <w:sz w:val="20"/>
                <w:szCs w:val="20"/>
              </w:rPr>
            </w:pPr>
            <w:r w:rsidRPr="009A2A22">
              <w:rPr>
                <w:sz w:val="20"/>
                <w:szCs w:val="20"/>
              </w:rPr>
              <w:t>14. 12. 2005</w:t>
            </w:r>
          </w:p>
          <w:p w:rsidR="0092001F" w:rsidRPr="009A2A22" w:rsidRDefault="0092001F" w:rsidP="0054249C">
            <w:pPr>
              <w:jc w:val="right"/>
              <w:rPr>
                <w:sz w:val="20"/>
                <w:szCs w:val="20"/>
              </w:rPr>
            </w:pPr>
          </w:p>
        </w:tc>
        <w:tc>
          <w:tcPr>
            <w:tcW w:w="757" w:type="pct"/>
          </w:tcPr>
          <w:p w:rsidR="0092001F" w:rsidRPr="009A2A22" w:rsidRDefault="007C2D5B" w:rsidP="009A2A22">
            <w:pPr>
              <w:jc w:val="center"/>
              <w:rPr>
                <w:sz w:val="20"/>
                <w:szCs w:val="20"/>
              </w:rPr>
            </w:pPr>
            <w:r w:rsidRPr="009A2A22">
              <w:rPr>
                <w:sz w:val="20"/>
                <w:szCs w:val="20"/>
              </w:rPr>
              <w:t>100</w:t>
            </w:r>
            <w:r w:rsidR="00865CEE" w:rsidRPr="009A2A22">
              <w:rPr>
                <w:sz w:val="20"/>
                <w:szCs w:val="20"/>
              </w:rPr>
              <w:t xml:space="preserve"> </w:t>
            </w:r>
            <w:r w:rsidRPr="009A2A22">
              <w:rPr>
                <w:sz w:val="20"/>
                <w:szCs w:val="20"/>
              </w:rPr>
              <w:t>%</w:t>
            </w:r>
          </w:p>
        </w:tc>
        <w:tc>
          <w:tcPr>
            <w:tcW w:w="872" w:type="pct"/>
          </w:tcPr>
          <w:p w:rsidR="007C2D5B" w:rsidRPr="009A2A22" w:rsidRDefault="00D04D50" w:rsidP="009A2A22">
            <w:pPr>
              <w:jc w:val="right"/>
              <w:rPr>
                <w:sz w:val="20"/>
                <w:szCs w:val="20"/>
              </w:rPr>
            </w:pPr>
            <w:r w:rsidRPr="009A2A22">
              <w:rPr>
                <w:sz w:val="20"/>
                <w:szCs w:val="20"/>
              </w:rPr>
              <w:t>6</w:t>
            </w:r>
            <w:r w:rsidR="007C2D5B" w:rsidRPr="009A2A22">
              <w:rPr>
                <w:sz w:val="20"/>
                <w:szCs w:val="20"/>
              </w:rPr>
              <w:t>50</w:t>
            </w:r>
            <w:r w:rsidR="00136A1A" w:rsidRPr="009A2A22">
              <w:rPr>
                <w:sz w:val="20"/>
                <w:szCs w:val="20"/>
              </w:rPr>
              <w:t xml:space="preserve"> </w:t>
            </w:r>
            <w:r w:rsidR="007C2D5B" w:rsidRPr="009A2A22">
              <w:rPr>
                <w:sz w:val="20"/>
                <w:szCs w:val="20"/>
              </w:rPr>
              <w:t>000</w:t>
            </w:r>
            <w:r w:rsidR="00A31A7C" w:rsidRPr="009A2A22">
              <w:rPr>
                <w:sz w:val="20"/>
                <w:szCs w:val="20"/>
              </w:rPr>
              <w:t xml:space="preserve"> tis. Kč</w:t>
            </w:r>
          </w:p>
          <w:p w:rsidR="0092001F" w:rsidRPr="009A2A22" w:rsidRDefault="0092001F" w:rsidP="009A2A22">
            <w:pPr>
              <w:jc w:val="right"/>
              <w:rPr>
                <w:sz w:val="20"/>
                <w:szCs w:val="20"/>
              </w:rPr>
            </w:pPr>
          </w:p>
        </w:tc>
        <w:tc>
          <w:tcPr>
            <w:tcW w:w="520" w:type="pct"/>
          </w:tcPr>
          <w:p w:rsidR="0092001F" w:rsidRPr="009A2A22" w:rsidRDefault="00265127" w:rsidP="009A2A22">
            <w:pPr>
              <w:jc w:val="right"/>
              <w:rPr>
                <w:sz w:val="20"/>
                <w:szCs w:val="20"/>
              </w:rPr>
            </w:pPr>
            <w:r w:rsidRPr="009A2A22">
              <w:rPr>
                <w:sz w:val="20"/>
                <w:szCs w:val="20"/>
              </w:rPr>
              <w:t xml:space="preserve">23 </w:t>
            </w:r>
            <w:r w:rsidR="0054249C">
              <w:rPr>
                <w:sz w:val="20"/>
                <w:szCs w:val="20"/>
              </w:rPr>
              <w:t>958</w:t>
            </w:r>
          </w:p>
        </w:tc>
        <w:tc>
          <w:tcPr>
            <w:tcW w:w="1079" w:type="pct"/>
          </w:tcPr>
          <w:p w:rsidR="0092001F" w:rsidRPr="009A2A22" w:rsidRDefault="00CC00E4" w:rsidP="009A2A22">
            <w:pPr>
              <w:jc w:val="left"/>
              <w:rPr>
                <w:sz w:val="20"/>
                <w:szCs w:val="20"/>
              </w:rPr>
            </w:pPr>
            <w:r w:rsidRPr="009A2A22">
              <w:rPr>
                <w:sz w:val="20"/>
                <w:szCs w:val="20"/>
              </w:rPr>
              <w:t>6</w:t>
            </w:r>
            <w:r w:rsidR="004D4395" w:rsidRPr="009A2A22">
              <w:rPr>
                <w:sz w:val="20"/>
                <w:szCs w:val="20"/>
              </w:rPr>
              <w:t>4</w:t>
            </w:r>
            <w:r w:rsidR="006C2BB9" w:rsidRPr="009A2A22">
              <w:rPr>
                <w:sz w:val="20"/>
                <w:szCs w:val="20"/>
              </w:rPr>
              <w:t xml:space="preserve"> akcií v nomin. hodnotě</w:t>
            </w:r>
            <w:r w:rsidR="007C2D5B" w:rsidRPr="009A2A22">
              <w:rPr>
                <w:sz w:val="20"/>
                <w:szCs w:val="20"/>
              </w:rPr>
              <w:t xml:space="preserve"> 10</w:t>
            </w:r>
            <w:r w:rsidR="00136A1A" w:rsidRPr="009A2A22">
              <w:rPr>
                <w:sz w:val="20"/>
                <w:szCs w:val="20"/>
              </w:rPr>
              <w:t xml:space="preserve"> </w:t>
            </w:r>
            <w:r w:rsidR="007C2D5B" w:rsidRPr="009A2A22">
              <w:rPr>
                <w:sz w:val="20"/>
                <w:szCs w:val="20"/>
              </w:rPr>
              <w:t>000</w:t>
            </w:r>
            <w:r w:rsidR="006C2BB9" w:rsidRPr="009A2A22">
              <w:rPr>
                <w:sz w:val="20"/>
                <w:szCs w:val="20"/>
              </w:rPr>
              <w:t xml:space="preserve"> tis. Kč za akcii</w:t>
            </w:r>
            <w:r w:rsidR="004D4395" w:rsidRPr="009A2A22">
              <w:rPr>
                <w:sz w:val="20"/>
                <w:szCs w:val="20"/>
              </w:rPr>
              <w:t xml:space="preserve"> </w:t>
            </w:r>
            <w:r w:rsidR="006C2BB9" w:rsidRPr="009A2A22">
              <w:rPr>
                <w:sz w:val="20"/>
                <w:szCs w:val="20"/>
              </w:rPr>
              <w:t xml:space="preserve">a </w:t>
            </w:r>
            <w:r w:rsidR="003E6394" w:rsidRPr="009A2A22">
              <w:rPr>
                <w:sz w:val="20"/>
                <w:szCs w:val="20"/>
              </w:rPr>
              <w:t>10</w:t>
            </w:r>
            <w:r w:rsidR="006C2BB9" w:rsidRPr="009A2A22">
              <w:rPr>
                <w:sz w:val="20"/>
                <w:szCs w:val="20"/>
              </w:rPr>
              <w:t xml:space="preserve"> akcií v nomin. hodnotě </w:t>
            </w:r>
            <w:r w:rsidR="007C2D5B" w:rsidRPr="009A2A22">
              <w:rPr>
                <w:sz w:val="20"/>
                <w:szCs w:val="20"/>
              </w:rPr>
              <w:t>1</w:t>
            </w:r>
            <w:r w:rsidR="009A2A22">
              <w:rPr>
                <w:sz w:val="20"/>
                <w:szCs w:val="20"/>
              </w:rPr>
              <w:t> </w:t>
            </w:r>
            <w:r w:rsidR="007C2D5B" w:rsidRPr="009A2A22">
              <w:rPr>
                <w:sz w:val="20"/>
                <w:szCs w:val="20"/>
              </w:rPr>
              <w:t>000</w:t>
            </w:r>
            <w:r w:rsidR="006C2BB9" w:rsidRPr="009A2A22">
              <w:rPr>
                <w:sz w:val="20"/>
                <w:szCs w:val="20"/>
              </w:rPr>
              <w:t xml:space="preserve"> tis. za akcii</w:t>
            </w:r>
          </w:p>
        </w:tc>
      </w:tr>
      <w:tr w:rsidR="00B7680E" w:rsidRPr="009A2A22" w:rsidTr="00CF23B2">
        <w:tc>
          <w:tcPr>
            <w:tcW w:w="966" w:type="pct"/>
          </w:tcPr>
          <w:p w:rsidR="0092001F" w:rsidRPr="009A2A22" w:rsidRDefault="009402CC" w:rsidP="009A2A22">
            <w:pPr>
              <w:rPr>
                <w:sz w:val="20"/>
                <w:szCs w:val="20"/>
                <w:vertAlign w:val="superscript"/>
              </w:rPr>
            </w:pPr>
            <w:r w:rsidRPr="009A2A22">
              <w:rPr>
                <w:sz w:val="20"/>
                <w:szCs w:val="20"/>
              </w:rPr>
              <w:t>PEGAS</w:t>
            </w:r>
            <w:r w:rsidR="004444BC" w:rsidRPr="009A2A22">
              <w:rPr>
                <w:sz w:val="20"/>
                <w:szCs w:val="20"/>
              </w:rPr>
              <w:t xml:space="preserve"> </w:t>
            </w:r>
            <w:r w:rsidR="0092001F" w:rsidRPr="009A2A22">
              <w:rPr>
                <w:sz w:val="20"/>
                <w:szCs w:val="20"/>
              </w:rPr>
              <w:t>-</w:t>
            </w:r>
            <w:r w:rsidR="004444BC" w:rsidRPr="009A2A22">
              <w:rPr>
                <w:sz w:val="20"/>
                <w:szCs w:val="20"/>
              </w:rPr>
              <w:t xml:space="preserve"> </w:t>
            </w:r>
            <w:r w:rsidR="0092001F" w:rsidRPr="009A2A22">
              <w:rPr>
                <w:sz w:val="20"/>
                <w:szCs w:val="20"/>
              </w:rPr>
              <w:t>NS a.s.</w:t>
            </w:r>
          </w:p>
        </w:tc>
        <w:tc>
          <w:tcPr>
            <w:tcW w:w="806" w:type="pct"/>
          </w:tcPr>
          <w:p w:rsidR="009402CC" w:rsidRPr="009A2A22" w:rsidRDefault="009402CC" w:rsidP="0054249C">
            <w:pPr>
              <w:jc w:val="right"/>
              <w:rPr>
                <w:sz w:val="20"/>
                <w:szCs w:val="20"/>
              </w:rPr>
            </w:pPr>
            <w:r w:rsidRPr="009A2A22">
              <w:rPr>
                <w:sz w:val="20"/>
                <w:szCs w:val="20"/>
              </w:rPr>
              <w:t>3. 12. 2007</w:t>
            </w:r>
          </w:p>
          <w:p w:rsidR="0092001F" w:rsidRPr="009A2A22" w:rsidRDefault="0092001F" w:rsidP="0054249C">
            <w:pPr>
              <w:jc w:val="right"/>
              <w:rPr>
                <w:sz w:val="20"/>
                <w:szCs w:val="20"/>
              </w:rPr>
            </w:pPr>
          </w:p>
        </w:tc>
        <w:tc>
          <w:tcPr>
            <w:tcW w:w="757" w:type="pct"/>
          </w:tcPr>
          <w:p w:rsidR="0092001F" w:rsidRPr="009A2A22" w:rsidRDefault="007C2D5B" w:rsidP="009A2A22">
            <w:pPr>
              <w:jc w:val="center"/>
              <w:rPr>
                <w:sz w:val="20"/>
                <w:szCs w:val="20"/>
              </w:rPr>
            </w:pPr>
            <w:r w:rsidRPr="009A2A22">
              <w:rPr>
                <w:sz w:val="20"/>
                <w:szCs w:val="20"/>
              </w:rPr>
              <w:t>100</w:t>
            </w:r>
            <w:r w:rsidR="00865CEE" w:rsidRPr="009A2A22">
              <w:rPr>
                <w:sz w:val="20"/>
                <w:szCs w:val="20"/>
              </w:rPr>
              <w:t xml:space="preserve"> </w:t>
            </w:r>
            <w:r w:rsidRPr="009A2A22">
              <w:rPr>
                <w:sz w:val="20"/>
                <w:szCs w:val="20"/>
              </w:rPr>
              <w:t>%</w:t>
            </w:r>
          </w:p>
        </w:tc>
        <w:tc>
          <w:tcPr>
            <w:tcW w:w="872" w:type="pct"/>
          </w:tcPr>
          <w:p w:rsidR="007C2D5B" w:rsidRPr="009A2A22" w:rsidRDefault="00265127" w:rsidP="009A2A22">
            <w:pPr>
              <w:jc w:val="right"/>
              <w:rPr>
                <w:sz w:val="20"/>
                <w:szCs w:val="20"/>
              </w:rPr>
            </w:pPr>
            <w:r w:rsidRPr="009A2A22">
              <w:rPr>
                <w:sz w:val="20"/>
                <w:szCs w:val="20"/>
              </w:rPr>
              <w:t>650</w:t>
            </w:r>
            <w:r w:rsidR="00136A1A" w:rsidRPr="009A2A22">
              <w:rPr>
                <w:sz w:val="20"/>
                <w:szCs w:val="20"/>
              </w:rPr>
              <w:t xml:space="preserve"> </w:t>
            </w:r>
            <w:r w:rsidR="007C2D5B" w:rsidRPr="009A2A22">
              <w:rPr>
                <w:sz w:val="20"/>
                <w:szCs w:val="20"/>
              </w:rPr>
              <w:t>000</w:t>
            </w:r>
            <w:r w:rsidR="00A31A7C" w:rsidRPr="009A2A22">
              <w:rPr>
                <w:sz w:val="20"/>
                <w:szCs w:val="20"/>
              </w:rPr>
              <w:t xml:space="preserve"> tis. Kč</w:t>
            </w:r>
          </w:p>
          <w:p w:rsidR="0092001F" w:rsidRPr="009A2A22" w:rsidRDefault="0092001F" w:rsidP="009A2A22">
            <w:pPr>
              <w:jc w:val="right"/>
              <w:rPr>
                <w:sz w:val="20"/>
                <w:szCs w:val="20"/>
              </w:rPr>
            </w:pPr>
          </w:p>
        </w:tc>
        <w:tc>
          <w:tcPr>
            <w:tcW w:w="520" w:type="pct"/>
          </w:tcPr>
          <w:p w:rsidR="0092001F" w:rsidRPr="009A2A22" w:rsidRDefault="00265127" w:rsidP="009A2A22">
            <w:pPr>
              <w:jc w:val="right"/>
              <w:rPr>
                <w:sz w:val="20"/>
                <w:szCs w:val="20"/>
              </w:rPr>
            </w:pPr>
            <w:r w:rsidRPr="009A2A22">
              <w:rPr>
                <w:sz w:val="20"/>
                <w:szCs w:val="20"/>
              </w:rPr>
              <w:t xml:space="preserve">23 </w:t>
            </w:r>
            <w:r w:rsidR="0054249C">
              <w:rPr>
                <w:sz w:val="20"/>
                <w:szCs w:val="20"/>
              </w:rPr>
              <w:t>958</w:t>
            </w:r>
          </w:p>
        </w:tc>
        <w:tc>
          <w:tcPr>
            <w:tcW w:w="1079" w:type="pct"/>
          </w:tcPr>
          <w:p w:rsidR="0092001F" w:rsidRPr="009A2A22" w:rsidRDefault="0046010F" w:rsidP="009A2A22">
            <w:pPr>
              <w:jc w:val="left"/>
              <w:rPr>
                <w:sz w:val="20"/>
                <w:szCs w:val="20"/>
              </w:rPr>
            </w:pPr>
            <w:r w:rsidRPr="009A2A22">
              <w:rPr>
                <w:sz w:val="20"/>
                <w:szCs w:val="20"/>
              </w:rPr>
              <w:t>64 akcií v nomin. hodnotě 10 000 tis. Kč za akci</w:t>
            </w:r>
            <w:r w:rsidR="009A2A22">
              <w:rPr>
                <w:sz w:val="20"/>
                <w:szCs w:val="20"/>
              </w:rPr>
              <w:t>i a 10 akcií v nomin. hodnotě 1 </w:t>
            </w:r>
            <w:r w:rsidRPr="009A2A22">
              <w:rPr>
                <w:sz w:val="20"/>
                <w:szCs w:val="20"/>
              </w:rPr>
              <w:t xml:space="preserve">000 tis. za akcii </w:t>
            </w:r>
          </w:p>
        </w:tc>
      </w:tr>
      <w:tr w:rsidR="004C285E" w:rsidRPr="009A2A22" w:rsidTr="00CF23B2">
        <w:tc>
          <w:tcPr>
            <w:tcW w:w="966" w:type="pct"/>
          </w:tcPr>
          <w:p w:rsidR="004C285E" w:rsidRPr="009A2A22" w:rsidRDefault="00721998" w:rsidP="009A2A22">
            <w:pPr>
              <w:rPr>
                <w:sz w:val="20"/>
                <w:szCs w:val="20"/>
              </w:rPr>
            </w:pPr>
            <w:r w:rsidRPr="009A2A22">
              <w:rPr>
                <w:sz w:val="20"/>
                <w:szCs w:val="20"/>
              </w:rPr>
              <w:t xml:space="preserve">PEGAS </w:t>
            </w:r>
            <w:r w:rsidR="007250D4" w:rsidRPr="009A2A22">
              <w:rPr>
                <w:sz w:val="20"/>
                <w:szCs w:val="20"/>
              </w:rPr>
              <w:t xml:space="preserve"> NONWOVENS </w:t>
            </w:r>
            <w:r w:rsidRPr="009A2A22">
              <w:rPr>
                <w:sz w:val="20"/>
                <w:szCs w:val="20"/>
              </w:rPr>
              <w:t>International s.r.o.</w:t>
            </w:r>
            <w:r w:rsidR="006B4829" w:rsidRPr="009A2A22">
              <w:rPr>
                <w:sz w:val="20"/>
                <w:szCs w:val="20"/>
              </w:rPr>
              <w:t>**</w:t>
            </w:r>
          </w:p>
        </w:tc>
        <w:tc>
          <w:tcPr>
            <w:tcW w:w="806" w:type="pct"/>
          </w:tcPr>
          <w:p w:rsidR="004C285E" w:rsidRPr="009A2A22" w:rsidRDefault="006C489F" w:rsidP="0054249C">
            <w:pPr>
              <w:jc w:val="right"/>
              <w:rPr>
                <w:sz w:val="20"/>
                <w:szCs w:val="20"/>
              </w:rPr>
            </w:pPr>
            <w:r w:rsidRPr="009A2A22">
              <w:rPr>
                <w:sz w:val="20"/>
                <w:szCs w:val="20"/>
              </w:rPr>
              <w:t>18</w:t>
            </w:r>
            <w:r w:rsidR="00A53A3C" w:rsidRPr="009A2A22">
              <w:rPr>
                <w:sz w:val="20"/>
                <w:szCs w:val="20"/>
              </w:rPr>
              <w:t xml:space="preserve">. </w:t>
            </w:r>
            <w:r w:rsidRPr="009A2A22">
              <w:rPr>
                <w:sz w:val="20"/>
                <w:szCs w:val="20"/>
              </w:rPr>
              <w:t>10</w:t>
            </w:r>
            <w:r w:rsidR="0001548A" w:rsidRPr="009A2A22">
              <w:rPr>
                <w:sz w:val="20"/>
                <w:szCs w:val="20"/>
              </w:rPr>
              <w:t>.</w:t>
            </w:r>
            <w:r w:rsidR="00A53A3C" w:rsidRPr="009A2A22">
              <w:rPr>
                <w:sz w:val="20"/>
                <w:szCs w:val="20"/>
              </w:rPr>
              <w:t xml:space="preserve"> 2010</w:t>
            </w:r>
          </w:p>
        </w:tc>
        <w:tc>
          <w:tcPr>
            <w:tcW w:w="757" w:type="pct"/>
          </w:tcPr>
          <w:p w:rsidR="004C285E" w:rsidRPr="009A2A22" w:rsidRDefault="00A53A3C" w:rsidP="009A2A22">
            <w:pPr>
              <w:jc w:val="center"/>
              <w:rPr>
                <w:sz w:val="20"/>
                <w:szCs w:val="20"/>
              </w:rPr>
            </w:pPr>
            <w:r w:rsidRPr="009A2A22">
              <w:rPr>
                <w:sz w:val="20"/>
                <w:szCs w:val="20"/>
              </w:rPr>
              <w:t>100 %</w:t>
            </w:r>
          </w:p>
        </w:tc>
        <w:tc>
          <w:tcPr>
            <w:tcW w:w="872" w:type="pct"/>
          </w:tcPr>
          <w:p w:rsidR="004C285E" w:rsidRPr="009A2A22" w:rsidRDefault="00A53A3C" w:rsidP="009A2A22">
            <w:pPr>
              <w:jc w:val="right"/>
              <w:rPr>
                <w:sz w:val="20"/>
                <w:szCs w:val="20"/>
              </w:rPr>
            </w:pPr>
            <w:r w:rsidRPr="009A2A22">
              <w:rPr>
                <w:sz w:val="20"/>
                <w:szCs w:val="20"/>
              </w:rPr>
              <w:t>200</w:t>
            </w:r>
            <w:r w:rsidR="00A31A7C" w:rsidRPr="009A2A22">
              <w:rPr>
                <w:sz w:val="20"/>
                <w:szCs w:val="20"/>
              </w:rPr>
              <w:t xml:space="preserve"> tis. Kč</w:t>
            </w:r>
          </w:p>
        </w:tc>
        <w:tc>
          <w:tcPr>
            <w:tcW w:w="520" w:type="pct"/>
          </w:tcPr>
          <w:p w:rsidR="004C285E" w:rsidRPr="009A2A22" w:rsidRDefault="00265127" w:rsidP="009A2A22">
            <w:pPr>
              <w:jc w:val="right"/>
              <w:rPr>
                <w:sz w:val="20"/>
                <w:szCs w:val="20"/>
              </w:rPr>
            </w:pPr>
            <w:r w:rsidRPr="009A2A22">
              <w:rPr>
                <w:sz w:val="20"/>
                <w:szCs w:val="20"/>
              </w:rPr>
              <w:t>7</w:t>
            </w:r>
          </w:p>
        </w:tc>
        <w:tc>
          <w:tcPr>
            <w:tcW w:w="1079" w:type="pct"/>
          </w:tcPr>
          <w:p w:rsidR="004C285E" w:rsidRPr="009A2A22" w:rsidRDefault="00A53A3C" w:rsidP="009A2A22">
            <w:pPr>
              <w:jc w:val="left"/>
              <w:rPr>
                <w:sz w:val="20"/>
                <w:szCs w:val="20"/>
              </w:rPr>
            </w:pPr>
            <w:r w:rsidRPr="009A2A22">
              <w:rPr>
                <w:sz w:val="20"/>
                <w:szCs w:val="20"/>
              </w:rPr>
              <w:t>100 % podíl v hodnotě 200 tis. Kč</w:t>
            </w:r>
          </w:p>
        </w:tc>
      </w:tr>
      <w:tr w:rsidR="004C285E" w:rsidRPr="009A2A22" w:rsidTr="00CF23B2">
        <w:tc>
          <w:tcPr>
            <w:tcW w:w="966" w:type="pct"/>
          </w:tcPr>
          <w:p w:rsidR="004C285E" w:rsidRPr="009A2A22" w:rsidRDefault="00721998" w:rsidP="009A2A22">
            <w:pPr>
              <w:rPr>
                <w:sz w:val="20"/>
                <w:szCs w:val="20"/>
              </w:rPr>
            </w:pPr>
            <w:r w:rsidRPr="009A2A22">
              <w:rPr>
                <w:sz w:val="20"/>
                <w:szCs w:val="20"/>
              </w:rPr>
              <w:t>PEGAS NONWOVENS EGYPT LLC</w:t>
            </w:r>
            <w:r w:rsidR="00B7349A" w:rsidRPr="009A2A22">
              <w:rPr>
                <w:sz w:val="20"/>
                <w:szCs w:val="20"/>
              </w:rPr>
              <w:t xml:space="preserve"> ***</w:t>
            </w:r>
          </w:p>
        </w:tc>
        <w:tc>
          <w:tcPr>
            <w:tcW w:w="806" w:type="pct"/>
          </w:tcPr>
          <w:p w:rsidR="004C285E" w:rsidRPr="009A2A22" w:rsidRDefault="00A53A3C" w:rsidP="0054249C">
            <w:pPr>
              <w:jc w:val="right"/>
              <w:rPr>
                <w:sz w:val="20"/>
                <w:szCs w:val="20"/>
              </w:rPr>
            </w:pPr>
            <w:r w:rsidRPr="009A2A22">
              <w:rPr>
                <w:sz w:val="20"/>
                <w:szCs w:val="20"/>
              </w:rPr>
              <w:t>6. 6. 2011</w:t>
            </w:r>
          </w:p>
        </w:tc>
        <w:tc>
          <w:tcPr>
            <w:tcW w:w="757" w:type="pct"/>
          </w:tcPr>
          <w:p w:rsidR="004C285E" w:rsidRPr="009A2A22" w:rsidRDefault="00A53A3C" w:rsidP="009A2A22">
            <w:pPr>
              <w:jc w:val="center"/>
              <w:rPr>
                <w:sz w:val="20"/>
                <w:szCs w:val="20"/>
              </w:rPr>
            </w:pPr>
            <w:r w:rsidRPr="009A2A22">
              <w:rPr>
                <w:sz w:val="20"/>
                <w:szCs w:val="20"/>
              </w:rPr>
              <w:t>100 %</w:t>
            </w:r>
          </w:p>
        </w:tc>
        <w:tc>
          <w:tcPr>
            <w:tcW w:w="872" w:type="pct"/>
          </w:tcPr>
          <w:p w:rsidR="004C285E" w:rsidRPr="009A2A22" w:rsidRDefault="00265127" w:rsidP="009A2A22">
            <w:pPr>
              <w:jc w:val="right"/>
              <w:rPr>
                <w:sz w:val="20"/>
                <w:szCs w:val="20"/>
              </w:rPr>
            </w:pPr>
            <w:r w:rsidRPr="009A2A22">
              <w:rPr>
                <w:sz w:val="20"/>
                <w:szCs w:val="20"/>
              </w:rPr>
              <w:t>23</w:t>
            </w:r>
            <w:r w:rsidR="00F9620A" w:rsidRPr="009A2A22">
              <w:rPr>
                <w:sz w:val="20"/>
                <w:szCs w:val="20"/>
              </w:rPr>
              <w:t xml:space="preserve"> 000</w:t>
            </w:r>
            <w:r w:rsidR="00A31A7C" w:rsidRPr="009A2A22">
              <w:rPr>
                <w:sz w:val="20"/>
                <w:szCs w:val="20"/>
              </w:rPr>
              <w:t xml:space="preserve"> tis. USD</w:t>
            </w:r>
          </w:p>
        </w:tc>
        <w:tc>
          <w:tcPr>
            <w:tcW w:w="520" w:type="pct"/>
          </w:tcPr>
          <w:p w:rsidR="004C285E" w:rsidRPr="009A2A22" w:rsidRDefault="00831720" w:rsidP="009A2A22">
            <w:pPr>
              <w:jc w:val="right"/>
              <w:rPr>
                <w:sz w:val="20"/>
                <w:szCs w:val="20"/>
              </w:rPr>
            </w:pPr>
            <w:r w:rsidRPr="009A2A22">
              <w:rPr>
                <w:sz w:val="20"/>
                <w:szCs w:val="20"/>
              </w:rPr>
              <w:t xml:space="preserve">20 </w:t>
            </w:r>
            <w:r w:rsidR="0054249C">
              <w:rPr>
                <w:sz w:val="20"/>
                <w:szCs w:val="20"/>
              </w:rPr>
              <w:t>717</w:t>
            </w:r>
          </w:p>
        </w:tc>
        <w:tc>
          <w:tcPr>
            <w:tcW w:w="1079" w:type="pct"/>
          </w:tcPr>
          <w:p w:rsidR="004C285E" w:rsidRPr="009A2A22" w:rsidRDefault="00905EF4" w:rsidP="009A2A22">
            <w:pPr>
              <w:jc w:val="left"/>
              <w:rPr>
                <w:sz w:val="20"/>
                <w:szCs w:val="20"/>
              </w:rPr>
            </w:pPr>
            <w:r w:rsidRPr="009A2A22">
              <w:rPr>
                <w:sz w:val="20"/>
                <w:szCs w:val="20"/>
              </w:rPr>
              <w:t xml:space="preserve">100 % podíl v hodnotě </w:t>
            </w:r>
            <w:r w:rsidR="00ED552A" w:rsidRPr="009A2A22">
              <w:rPr>
                <w:sz w:val="20"/>
                <w:szCs w:val="20"/>
              </w:rPr>
              <w:br/>
            </w:r>
            <w:r w:rsidR="00265127" w:rsidRPr="009A2A22">
              <w:rPr>
                <w:sz w:val="20"/>
                <w:szCs w:val="20"/>
              </w:rPr>
              <w:t>23</w:t>
            </w:r>
            <w:r w:rsidR="00B830EF" w:rsidRPr="009A2A22">
              <w:rPr>
                <w:sz w:val="20"/>
                <w:szCs w:val="20"/>
              </w:rPr>
              <w:t xml:space="preserve"> 000</w:t>
            </w:r>
            <w:r w:rsidRPr="009A2A22">
              <w:rPr>
                <w:sz w:val="20"/>
                <w:szCs w:val="20"/>
              </w:rPr>
              <w:t xml:space="preserve"> tis. USD</w:t>
            </w:r>
          </w:p>
        </w:tc>
      </w:tr>
    </w:tbl>
    <w:p w:rsidR="00E423CB" w:rsidRPr="009A2A22" w:rsidRDefault="00543C8B" w:rsidP="007A3749">
      <w:pPr>
        <w:rPr>
          <w:sz w:val="20"/>
          <w:szCs w:val="20"/>
        </w:rPr>
      </w:pPr>
      <w:r w:rsidRPr="009A2A22">
        <w:rPr>
          <w:sz w:val="20"/>
          <w:szCs w:val="20"/>
        </w:rPr>
        <w:t>*</w:t>
      </w:r>
      <w:r w:rsidR="009F1A7B" w:rsidRPr="009A2A22">
        <w:rPr>
          <w:sz w:val="20"/>
          <w:szCs w:val="20"/>
          <w:vertAlign w:val="superscript"/>
        </w:rPr>
        <w:t xml:space="preserve"> </w:t>
      </w:r>
      <w:r w:rsidR="00E423CB" w:rsidRPr="009A2A22">
        <w:rPr>
          <w:sz w:val="20"/>
          <w:szCs w:val="20"/>
        </w:rPr>
        <w:t xml:space="preserve">Společnost </w:t>
      </w:r>
      <w:r w:rsidR="009F1A7B" w:rsidRPr="009A2A22">
        <w:rPr>
          <w:sz w:val="20"/>
          <w:szCs w:val="20"/>
        </w:rPr>
        <w:t xml:space="preserve">PEGAS NONWOVENS s.r.o. </w:t>
      </w:r>
      <w:r w:rsidR="00E423CB" w:rsidRPr="009A2A22">
        <w:rPr>
          <w:sz w:val="20"/>
          <w:szCs w:val="20"/>
        </w:rPr>
        <w:t>vznikla 14. listopadu 2003 (původním jménem ELK INVESTMENTS s.r.o.). V průběhu rok</w:t>
      </w:r>
      <w:r w:rsidR="000D5C47" w:rsidRPr="009A2A22">
        <w:rPr>
          <w:sz w:val="20"/>
          <w:szCs w:val="20"/>
        </w:rPr>
        <w:t>u 2006 byl změněn název obchodní</w:t>
      </w:r>
      <w:r w:rsidR="00E423CB" w:rsidRPr="009A2A22">
        <w:rPr>
          <w:sz w:val="20"/>
          <w:szCs w:val="20"/>
        </w:rPr>
        <w:t xml:space="preserve"> firmy na PEGAS NONWOVENS s.r.o. PEGAS a.s., dceřiná společnost společnosti PEGAS NONWOVENS s.r.o., vznikla v roce 1990. Tato společnost byla sloučena do společnosti </w:t>
      </w:r>
      <w:r w:rsidR="000D5C47" w:rsidRPr="009A2A22">
        <w:rPr>
          <w:sz w:val="20"/>
          <w:szCs w:val="20"/>
        </w:rPr>
        <w:t>PEGAS NONWOVENS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w:t>
      </w:r>
      <w:r w:rsidR="001A41BB" w:rsidRPr="009A2A22">
        <w:rPr>
          <w:sz w:val="20"/>
          <w:szCs w:val="20"/>
        </w:rPr>
        <w:t xml:space="preserve"> Bývalá dceřiná společnost PEGAS – DS a.s. zanikla v důsledku fúze sloučením se společností PEGAS NONWOVENS s.r.o., jakožto společností nástupnickou (od 1. ledna 2011).</w:t>
      </w:r>
      <w:r w:rsidR="000D5C47" w:rsidRPr="009A2A22">
        <w:rPr>
          <w:sz w:val="20"/>
          <w:szCs w:val="20"/>
        </w:rPr>
        <w:t xml:space="preserve"> </w:t>
      </w:r>
    </w:p>
    <w:p w:rsidR="006B4829" w:rsidRPr="009A2A22" w:rsidRDefault="006B4829" w:rsidP="007A3749">
      <w:pPr>
        <w:rPr>
          <w:sz w:val="20"/>
          <w:szCs w:val="20"/>
        </w:rPr>
      </w:pPr>
      <w:bookmarkStart w:id="48" w:name="_Toc165188453"/>
      <w:r w:rsidRPr="009A2A22">
        <w:rPr>
          <w:sz w:val="20"/>
          <w:szCs w:val="20"/>
        </w:rPr>
        <w:t xml:space="preserve">** Společnost PEGAS NONWOVENS International s.r.o. byla založena jako účelová firma zřízená k realizaci </w:t>
      </w:r>
      <w:r w:rsidR="0054249C">
        <w:rPr>
          <w:sz w:val="20"/>
          <w:szCs w:val="20"/>
        </w:rPr>
        <w:t xml:space="preserve">zahraničních </w:t>
      </w:r>
      <w:r w:rsidRPr="009A2A22">
        <w:rPr>
          <w:sz w:val="20"/>
          <w:szCs w:val="20"/>
        </w:rPr>
        <w:t xml:space="preserve">investic. </w:t>
      </w:r>
    </w:p>
    <w:p w:rsidR="00B7349A" w:rsidRPr="007A3749" w:rsidRDefault="00B7349A" w:rsidP="007A3749">
      <w:r w:rsidRPr="009A2A22">
        <w:rPr>
          <w:sz w:val="20"/>
          <w:szCs w:val="20"/>
        </w:rPr>
        <w:t xml:space="preserve">*** Společnost PEGAS NONWOVENS EGYPT LLC byla </w:t>
      </w:r>
      <w:r w:rsidR="0054249C">
        <w:rPr>
          <w:sz w:val="20"/>
          <w:szCs w:val="20"/>
        </w:rPr>
        <w:t>zřízena za účelem realizace</w:t>
      </w:r>
      <w:r w:rsidR="0043406F" w:rsidRPr="009A2A22">
        <w:rPr>
          <w:sz w:val="20"/>
          <w:szCs w:val="20"/>
        </w:rPr>
        <w:t xml:space="preserve"> investice do výstavby a provozování nové výrobní linky v Egyptě</w:t>
      </w:r>
      <w:r w:rsidRPr="009A2A22">
        <w:rPr>
          <w:sz w:val="20"/>
          <w:szCs w:val="20"/>
        </w:rPr>
        <w:t xml:space="preserve">. </w:t>
      </w:r>
    </w:p>
    <w:p w:rsidR="0043406F" w:rsidRDefault="0043406F" w:rsidP="007A3749"/>
    <w:p w:rsidR="00781223" w:rsidRDefault="00781223" w:rsidP="00781223">
      <w:pPr>
        <w:sectPr w:rsidR="00781223" w:rsidSect="006E2C36">
          <w:type w:val="continuous"/>
          <w:pgSz w:w="11906" w:h="16838"/>
          <w:pgMar w:top="1417" w:right="1417" w:bottom="1417" w:left="1417" w:header="708" w:footer="708" w:gutter="0"/>
          <w:cols w:space="708"/>
          <w:docGrid w:linePitch="360"/>
        </w:sectPr>
      </w:pPr>
    </w:p>
    <w:p w:rsidR="00C17A58" w:rsidRDefault="00CC1601" w:rsidP="0088538C">
      <w:pPr>
        <w:pStyle w:val="Heading1"/>
        <w:jc w:val="left"/>
      </w:pPr>
      <w:bookmarkStart w:id="49" w:name="_Toc458586525"/>
      <w:bookmarkStart w:id="50" w:name="_Toc269295558"/>
      <w:bookmarkStart w:id="51" w:name="_Toc269907497"/>
      <w:bookmarkEnd w:id="48"/>
      <w:r w:rsidRPr="007A3749">
        <w:lastRenderedPageBreak/>
        <w:t xml:space="preserve">Mezitímní </w:t>
      </w:r>
      <w:r w:rsidR="00234327">
        <w:t xml:space="preserve">neauditovaná </w:t>
      </w:r>
      <w:r w:rsidRPr="007A3749">
        <w:t>konsolidovaná účetní závěrka</w:t>
      </w:r>
      <w:bookmarkEnd w:id="49"/>
      <w:r w:rsidRPr="007A3749">
        <w:t xml:space="preserve"> </w:t>
      </w:r>
    </w:p>
    <w:p w:rsidR="00361A9C" w:rsidRDefault="00234327" w:rsidP="00C17A58">
      <w:r w:rsidRPr="00234327">
        <w:t>připravená v souladu s Mezinárodními standardy účetního výkaznictví</w:t>
      </w:r>
      <w:r>
        <w:t xml:space="preserve"> </w:t>
      </w:r>
    </w:p>
    <w:p w:rsidR="00CC1601" w:rsidRPr="007A3749" w:rsidRDefault="00CC1601" w:rsidP="00C17A58">
      <w:r w:rsidRPr="007A3749">
        <w:t>za období šesti měsíců končících 30. červnem 201</w:t>
      </w:r>
      <w:bookmarkEnd w:id="50"/>
      <w:bookmarkEnd w:id="51"/>
      <w:r w:rsidR="00D73222">
        <w:t>6</w:t>
      </w:r>
    </w:p>
    <w:p w:rsidR="002C2EF0" w:rsidRDefault="002C2EF0">
      <w:pPr>
        <w:spacing w:before="0" w:beforeAutospacing="0" w:after="0" w:afterAutospacing="0"/>
        <w:jc w:val="left"/>
        <w:rPr>
          <w:b/>
          <w:bCs/>
          <w:kern w:val="32"/>
          <w:sz w:val="28"/>
          <w:szCs w:val="28"/>
        </w:rPr>
      </w:pPr>
      <w:bookmarkStart w:id="52" w:name="_Toc269139308"/>
      <w:bookmarkStart w:id="53" w:name="_Toc269139309"/>
      <w:bookmarkStart w:id="54" w:name="_Toc269139310"/>
      <w:bookmarkStart w:id="55" w:name="_Toc269139311"/>
      <w:bookmarkStart w:id="56" w:name="_Toc175226104"/>
      <w:bookmarkStart w:id="57" w:name="_Toc165188455"/>
      <w:bookmarkStart w:id="58" w:name="_Toc269295559"/>
      <w:bookmarkStart w:id="59" w:name="_Toc269907498"/>
      <w:bookmarkEnd w:id="52"/>
      <w:bookmarkEnd w:id="53"/>
      <w:bookmarkEnd w:id="54"/>
      <w:bookmarkEnd w:id="55"/>
      <w:r>
        <w:br w:type="page"/>
      </w:r>
    </w:p>
    <w:p w:rsidR="00CC1601" w:rsidRPr="007A3749" w:rsidRDefault="00234327" w:rsidP="00396F0C">
      <w:pPr>
        <w:pStyle w:val="Heading2"/>
      </w:pPr>
      <w:bookmarkStart w:id="60" w:name="_Toc458586526"/>
      <w:bookmarkEnd w:id="56"/>
      <w:bookmarkEnd w:id="57"/>
      <w:r w:rsidRPr="00234327">
        <w:lastRenderedPageBreak/>
        <w:t>Konsolidovaný výkaz o úplném výsledku ve zkrácené podobě</w:t>
      </w:r>
      <w:bookmarkEnd w:id="58"/>
      <w:bookmarkEnd w:id="59"/>
      <w:r>
        <w:t xml:space="preserve"> za období šesti měsíců</w:t>
      </w:r>
      <w:bookmarkEnd w:id="60"/>
    </w:p>
    <w:tbl>
      <w:tblPr>
        <w:tblW w:w="5000" w:type="pct"/>
        <w:tblLook w:val="04A0" w:firstRow="1" w:lastRow="0" w:firstColumn="1" w:lastColumn="0" w:noHBand="0" w:noVBand="1"/>
      </w:tblPr>
      <w:tblGrid>
        <w:gridCol w:w="4989"/>
        <w:gridCol w:w="1457"/>
        <w:gridCol w:w="1457"/>
        <w:gridCol w:w="1385"/>
      </w:tblGrid>
      <w:tr w:rsidR="00794BC6" w:rsidRPr="00794BC6" w:rsidTr="00794BC6">
        <w:trPr>
          <w:trHeight w:val="552"/>
        </w:trPr>
        <w:tc>
          <w:tcPr>
            <w:tcW w:w="2712"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v tis. EUR</w:t>
            </w:r>
          </w:p>
        </w:tc>
        <w:tc>
          <w:tcPr>
            <w:tcW w:w="757" w:type="pct"/>
            <w:tcBorders>
              <w:top w:val="nil"/>
              <w:left w:val="nil"/>
              <w:bottom w:val="nil"/>
              <w:right w:val="nil"/>
            </w:tcBorders>
            <w:shd w:val="clear" w:color="000000" w:fill="E2001C"/>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30. června</w:t>
            </w:r>
            <w:r w:rsidRPr="00794BC6">
              <w:rPr>
                <w:rFonts w:ascii="Calibri" w:hAnsi="Calibri" w:cs="Arial"/>
                <w:b/>
                <w:bCs/>
                <w:color w:val="FFFFFF"/>
                <w:sz w:val="20"/>
                <w:szCs w:val="20"/>
                <w:lang w:val="en-US" w:eastAsia="en-US"/>
              </w:rPr>
              <w:br/>
              <w:t>2015</w:t>
            </w:r>
          </w:p>
        </w:tc>
        <w:tc>
          <w:tcPr>
            <w:tcW w:w="757" w:type="pct"/>
            <w:tcBorders>
              <w:top w:val="nil"/>
              <w:left w:val="nil"/>
              <w:bottom w:val="nil"/>
              <w:right w:val="nil"/>
            </w:tcBorders>
            <w:shd w:val="clear" w:color="000000" w:fill="E2001C"/>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30. června</w:t>
            </w:r>
            <w:r w:rsidRPr="00794BC6">
              <w:rPr>
                <w:rFonts w:ascii="Calibri" w:hAnsi="Calibri" w:cs="Arial"/>
                <w:b/>
                <w:bCs/>
                <w:color w:val="FFFFFF"/>
                <w:sz w:val="20"/>
                <w:szCs w:val="20"/>
                <w:lang w:val="en-US" w:eastAsia="en-US"/>
              </w:rPr>
              <w:br/>
              <w:t>2016</w:t>
            </w:r>
          </w:p>
        </w:tc>
        <w:tc>
          <w:tcPr>
            <w:tcW w:w="773"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 </w:t>
            </w:r>
          </w:p>
        </w:tc>
      </w:tr>
      <w:tr w:rsidR="00794BC6" w:rsidRPr="00794BC6" w:rsidTr="00794BC6">
        <w:trPr>
          <w:trHeight w:val="276"/>
        </w:trPr>
        <w:tc>
          <w:tcPr>
            <w:tcW w:w="2712"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 </w:t>
            </w:r>
          </w:p>
        </w:tc>
        <w:tc>
          <w:tcPr>
            <w:tcW w:w="757"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(neauditované)</w:t>
            </w:r>
          </w:p>
        </w:tc>
        <w:tc>
          <w:tcPr>
            <w:tcW w:w="757"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(neauditované)</w:t>
            </w:r>
          </w:p>
        </w:tc>
        <w:tc>
          <w:tcPr>
            <w:tcW w:w="773"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 změna</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Tržby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111 674</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106 664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-4,5%</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Spotřeba materiálu a služeb</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-81 647</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-76 847</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-5,9%</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Osobní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-7 572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-6 154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-18,7%</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Ostatní provozní výnosy/(náklady) netto</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-894</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1F63BD">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-85</w:t>
            </w:r>
            <w:r w:rsidR="001F63BD">
              <w:rPr>
                <w:rFonts w:ascii="Calibri" w:hAnsi="Calibri" w:cs="Arial"/>
                <w:sz w:val="20"/>
                <w:szCs w:val="20"/>
                <w:lang w:val="en-US" w:eastAsia="en-US"/>
              </w:rPr>
              <w:t>0</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-4,9%</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EBITDA</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21 561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22 813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5,8%</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i/>
                <w:iCs/>
                <w:sz w:val="20"/>
                <w:szCs w:val="20"/>
                <w:lang w:val="en-US" w:eastAsia="en-US"/>
              </w:rPr>
            </w:pPr>
            <w:r w:rsidRPr="00794BC6">
              <w:rPr>
                <w:rFonts w:ascii="Calibri" w:hAnsi="Calibri" w:cs="Arial"/>
                <w:b/>
                <w:bCs/>
                <w:i/>
                <w:iCs/>
                <w:sz w:val="20"/>
                <w:szCs w:val="20"/>
                <w:lang w:val="en-US" w:eastAsia="en-US"/>
              </w:rPr>
              <w:t xml:space="preserve">EBITDA marže </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19,3%</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21,4%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2,1 pb</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Odpisy dlouhodobého nehmotného a hmotného majetku</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-7 936</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-8 107</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2,2%</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Provozní zisk</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05A71">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 xml:space="preserve">13 </w:t>
            </w:r>
            <w:r w:rsidR="00705A71" w:rsidRPr="00794BC6">
              <w:rPr>
                <w:rFonts w:ascii="Calibri" w:hAnsi="Calibri" w:cs="Arial"/>
                <w:b/>
                <w:bCs/>
                <w:sz w:val="20"/>
                <w:szCs w:val="20"/>
                <w:lang w:val="en-US" w:eastAsia="en-US"/>
              </w:rPr>
              <w:t>62</w:t>
            </w:r>
            <w:r w:rsidR="00705A71">
              <w:rPr>
                <w:rFonts w:ascii="Calibri" w:hAnsi="Calibri" w:cs="Arial"/>
                <w:b/>
                <w:bCs/>
                <w:sz w:val="20"/>
                <w:szCs w:val="20"/>
                <w:lang w:val="en-US" w:eastAsia="en-US"/>
              </w:rPr>
              <w:t>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14 706</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7,9%</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Kurzové zisky a ostatní finanční výnosy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11 313</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-208</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05A71"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Kurzové ztráty a ostatní finanční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-3 117</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-1 749</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-43,9%</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Úrokové výnosy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49</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Úrokové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-3 532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-4 196</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18,8%</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Zisk před zdaněním</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18 289</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8 602</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-53,0%</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Daň z příjmů</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-1 962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w:t>
            </w:r>
            <w:r w:rsidR="00BE6D86">
              <w:rPr>
                <w:rFonts w:ascii="Calibri" w:hAnsi="Calibri" w:cs="Arial"/>
                <w:sz w:val="20"/>
                <w:szCs w:val="20"/>
                <w:lang w:val="en-US" w:eastAsia="en-US"/>
              </w:rPr>
              <w:t xml:space="preserve"> 054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w:t>
            </w:r>
            <w:r w:rsidR="00BE6D86">
              <w:rPr>
                <w:rFonts w:ascii="Calibri" w:hAnsi="Calibri" w:cs="Arial"/>
                <w:sz w:val="20"/>
                <w:szCs w:val="20"/>
                <w:lang w:val="en-US" w:eastAsia="en-US"/>
              </w:rPr>
              <w:t>46,3</w:t>
            </w:r>
            <w:r w:rsidRPr="00794BC6">
              <w:rPr>
                <w:rFonts w:ascii="Calibri" w:hAnsi="Calibri" w:cs="Arial"/>
                <w:sz w:val="20"/>
                <w:szCs w:val="20"/>
                <w:lang w:val="en-US" w:eastAsia="en-US"/>
              </w:rPr>
              <w:t>%</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Čistý zisk po zdanění</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16 327</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7 548</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w:t>
            </w:r>
            <w:r w:rsidR="00BE6D86">
              <w:rPr>
                <w:rFonts w:ascii="Calibri" w:hAnsi="Calibri" w:cs="Arial"/>
                <w:b/>
                <w:bCs/>
                <w:sz w:val="20"/>
                <w:szCs w:val="20"/>
                <w:lang w:val="en-US" w:eastAsia="en-US"/>
              </w:rPr>
              <w:t>53,8</w:t>
            </w:r>
            <w:r w:rsidRPr="00794BC6">
              <w:rPr>
                <w:rFonts w:ascii="Calibri" w:hAnsi="Calibri" w:cs="Arial"/>
                <w:b/>
                <w:bCs/>
                <w:sz w:val="20"/>
                <w:szCs w:val="20"/>
                <w:lang w:val="en-US" w:eastAsia="en-US"/>
              </w:rPr>
              <w:t>%</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Ostatní úplný výsledek</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73"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Čistý zisk ze zajištění peněžních toků</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722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-3 101</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05A71"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Kurzové rozdíly vzniklé z přepočtu</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2 342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-3 044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05A71"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Úplný výsledek za období celkem</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19 391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1 403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w:t>
            </w:r>
            <w:r w:rsidR="00BE6D86">
              <w:rPr>
                <w:rFonts w:ascii="Calibri" w:hAnsi="Calibri" w:cs="Arial"/>
                <w:b/>
                <w:bCs/>
                <w:sz w:val="20"/>
                <w:szCs w:val="20"/>
                <w:lang w:val="en-US" w:eastAsia="en-US"/>
              </w:rPr>
              <w:t>92,8</w:t>
            </w:r>
            <w:r w:rsidRPr="00794BC6">
              <w:rPr>
                <w:rFonts w:ascii="Calibri" w:hAnsi="Calibri" w:cs="Arial"/>
                <w:b/>
                <w:bCs/>
                <w:sz w:val="20"/>
                <w:szCs w:val="20"/>
                <w:lang w:val="en-US" w:eastAsia="en-US"/>
              </w:rPr>
              <w:t>%</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Čistý zisk na akcii</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73"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Základní čistý zisk na akcii (EUR)</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1,77</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0,86</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w:t>
            </w:r>
            <w:r w:rsidR="00BE6D86">
              <w:rPr>
                <w:rFonts w:ascii="Calibri" w:hAnsi="Calibri" w:cs="Arial"/>
                <w:sz w:val="20"/>
                <w:szCs w:val="20"/>
                <w:lang w:val="en-US" w:eastAsia="en-US"/>
              </w:rPr>
              <w:t>51,3</w:t>
            </w:r>
            <w:r w:rsidRPr="00794BC6">
              <w:rPr>
                <w:rFonts w:ascii="Calibri" w:hAnsi="Calibri" w:cs="Arial"/>
                <w:sz w:val="20"/>
                <w:szCs w:val="20"/>
                <w:lang w:val="en-US" w:eastAsia="en-US"/>
              </w:rPr>
              <w:t>%</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Zředěný čistý zisk na akcii (EUR)</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0,86</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BE6D8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w:t>
            </w:r>
            <w:r w:rsidR="00BE6D86">
              <w:rPr>
                <w:rFonts w:ascii="Calibri" w:hAnsi="Calibri" w:cs="Arial"/>
                <w:sz w:val="20"/>
                <w:szCs w:val="20"/>
                <w:lang w:val="en-US" w:eastAsia="en-US"/>
              </w:rPr>
              <w:t>51,0</w:t>
            </w:r>
            <w:r w:rsidRPr="00794BC6">
              <w:rPr>
                <w:rFonts w:ascii="Calibri" w:hAnsi="Calibri" w:cs="Arial"/>
                <w:sz w:val="20"/>
                <w:szCs w:val="20"/>
                <w:lang w:val="en-US" w:eastAsia="en-US"/>
              </w:rPr>
              <w:t>%</w:t>
            </w:r>
          </w:p>
        </w:tc>
      </w:tr>
    </w:tbl>
    <w:p w:rsidR="00CC1601" w:rsidRPr="007A3749" w:rsidRDefault="00CC1601" w:rsidP="007A3749"/>
    <w:p w:rsidR="008A66C6" w:rsidRDefault="008A66C6">
      <w:pPr>
        <w:spacing w:before="0" w:beforeAutospacing="0" w:after="0" w:afterAutospacing="0"/>
        <w:jc w:val="left"/>
        <w:rPr>
          <w:b/>
          <w:bCs/>
          <w:kern w:val="32"/>
          <w:sz w:val="28"/>
          <w:szCs w:val="28"/>
        </w:rPr>
      </w:pPr>
      <w:bookmarkStart w:id="61" w:name="_Toc269139315"/>
      <w:bookmarkStart w:id="62" w:name="_Toc269139316"/>
      <w:bookmarkStart w:id="63" w:name="_Toc269139317"/>
      <w:bookmarkStart w:id="64" w:name="_Toc269139318"/>
      <w:bookmarkStart w:id="65" w:name="_Toc269139319"/>
      <w:bookmarkStart w:id="66" w:name="_Toc269139320"/>
      <w:bookmarkStart w:id="67" w:name="_Toc269139321"/>
      <w:bookmarkStart w:id="68" w:name="_Toc269139322"/>
      <w:bookmarkStart w:id="69" w:name="_Toc269139323"/>
      <w:bookmarkStart w:id="70" w:name="_Toc269111138"/>
      <w:bookmarkStart w:id="71" w:name="_Toc269118411"/>
      <w:bookmarkStart w:id="72" w:name="_Toc269139324"/>
      <w:bookmarkStart w:id="73" w:name="_Toc269111139"/>
      <w:bookmarkStart w:id="74" w:name="_Toc269118412"/>
      <w:bookmarkStart w:id="75" w:name="_Toc269139325"/>
      <w:bookmarkStart w:id="76" w:name="_Toc269295560"/>
      <w:bookmarkStart w:id="77" w:name="_Toc26990749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br w:type="page"/>
      </w:r>
    </w:p>
    <w:p w:rsidR="00CC1601" w:rsidRPr="007A3749" w:rsidRDefault="00234327" w:rsidP="00396F0C">
      <w:pPr>
        <w:pStyle w:val="Heading2"/>
      </w:pPr>
      <w:bookmarkStart w:id="78" w:name="_Toc458586527"/>
      <w:r w:rsidRPr="00234327">
        <w:lastRenderedPageBreak/>
        <w:t xml:space="preserve">Konsolidovaný výkaz o úplném výsledku ve zkrácené podobě za období </w:t>
      </w:r>
      <w:r>
        <w:t xml:space="preserve">tří </w:t>
      </w:r>
      <w:r w:rsidRPr="00234327">
        <w:t>měsíců</w:t>
      </w:r>
      <w:bookmarkEnd w:id="76"/>
      <w:bookmarkEnd w:id="77"/>
      <w:bookmarkEnd w:id="78"/>
    </w:p>
    <w:tbl>
      <w:tblPr>
        <w:tblW w:w="5000" w:type="pct"/>
        <w:tblLook w:val="04A0" w:firstRow="1" w:lastRow="0" w:firstColumn="1" w:lastColumn="0" w:noHBand="0" w:noVBand="1"/>
      </w:tblPr>
      <w:tblGrid>
        <w:gridCol w:w="4989"/>
        <w:gridCol w:w="1457"/>
        <w:gridCol w:w="1457"/>
        <w:gridCol w:w="1385"/>
      </w:tblGrid>
      <w:tr w:rsidR="00794BC6" w:rsidRPr="00794BC6" w:rsidTr="00794BC6">
        <w:trPr>
          <w:trHeight w:val="552"/>
        </w:trPr>
        <w:tc>
          <w:tcPr>
            <w:tcW w:w="2712"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b/>
                <w:bCs/>
                <w:color w:val="FFFFFF"/>
                <w:sz w:val="20"/>
                <w:szCs w:val="20"/>
                <w:lang w:val="en-US" w:eastAsia="en-US"/>
              </w:rPr>
            </w:pPr>
            <w:bookmarkStart w:id="79" w:name="_Toc269139327"/>
            <w:bookmarkStart w:id="80" w:name="_Toc269139328"/>
            <w:bookmarkStart w:id="81" w:name="_Toc269139329"/>
            <w:bookmarkStart w:id="82" w:name="_Toc269139330"/>
            <w:bookmarkStart w:id="83" w:name="_Toc269139331"/>
            <w:bookmarkStart w:id="84" w:name="_Toc269111141"/>
            <w:bookmarkStart w:id="85" w:name="_Toc269118414"/>
            <w:bookmarkStart w:id="86" w:name="_Toc269139332"/>
            <w:bookmarkStart w:id="87" w:name="_Toc269111142"/>
            <w:bookmarkStart w:id="88" w:name="_Toc269118415"/>
            <w:bookmarkStart w:id="89" w:name="_Toc269139333"/>
            <w:bookmarkStart w:id="90" w:name="_Toc269111143"/>
            <w:bookmarkStart w:id="91" w:name="_Toc269118416"/>
            <w:bookmarkStart w:id="92" w:name="_Toc269139334"/>
            <w:bookmarkStart w:id="93" w:name="_Toc269295561"/>
            <w:bookmarkStart w:id="94" w:name="_Toc269907500"/>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D00E7">
              <w:rPr>
                <w:rFonts w:ascii="Calibri" w:hAnsi="Calibri" w:cs="Arial"/>
                <w:b/>
                <w:bCs/>
                <w:color w:val="FFFFFF"/>
                <w:sz w:val="20"/>
                <w:szCs w:val="20"/>
                <w:lang w:eastAsia="en-US"/>
              </w:rPr>
              <w:t> </w:t>
            </w:r>
            <w:r w:rsidR="00656ADD" w:rsidRPr="00794BC6">
              <w:rPr>
                <w:rFonts w:ascii="Calibri" w:hAnsi="Calibri" w:cs="Arial"/>
                <w:b/>
                <w:bCs/>
                <w:color w:val="FFFFFF"/>
                <w:sz w:val="20"/>
                <w:szCs w:val="20"/>
                <w:lang w:val="en-US" w:eastAsia="en-US"/>
              </w:rPr>
              <w:t>v tis. EUR</w:t>
            </w:r>
          </w:p>
        </w:tc>
        <w:tc>
          <w:tcPr>
            <w:tcW w:w="757" w:type="pct"/>
            <w:tcBorders>
              <w:top w:val="nil"/>
              <w:left w:val="nil"/>
              <w:bottom w:val="nil"/>
              <w:right w:val="nil"/>
            </w:tcBorders>
            <w:shd w:val="clear" w:color="000000" w:fill="E2001C"/>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30. června</w:t>
            </w:r>
            <w:r w:rsidRPr="00794BC6">
              <w:rPr>
                <w:rFonts w:ascii="Calibri" w:hAnsi="Calibri" w:cs="Arial"/>
                <w:b/>
                <w:bCs/>
                <w:color w:val="FFFFFF"/>
                <w:sz w:val="20"/>
                <w:szCs w:val="20"/>
                <w:lang w:val="en-US" w:eastAsia="en-US"/>
              </w:rPr>
              <w:br/>
              <w:t>2015</w:t>
            </w:r>
          </w:p>
        </w:tc>
        <w:tc>
          <w:tcPr>
            <w:tcW w:w="757" w:type="pct"/>
            <w:tcBorders>
              <w:top w:val="nil"/>
              <w:left w:val="nil"/>
              <w:bottom w:val="nil"/>
              <w:right w:val="nil"/>
            </w:tcBorders>
            <w:shd w:val="clear" w:color="000000" w:fill="E2001C"/>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30. června</w:t>
            </w:r>
            <w:r w:rsidRPr="00794BC6">
              <w:rPr>
                <w:rFonts w:ascii="Calibri" w:hAnsi="Calibri" w:cs="Arial"/>
                <w:b/>
                <w:bCs/>
                <w:color w:val="FFFFFF"/>
                <w:sz w:val="20"/>
                <w:szCs w:val="20"/>
                <w:lang w:val="en-US" w:eastAsia="en-US"/>
              </w:rPr>
              <w:br/>
              <w:t>2016</w:t>
            </w:r>
          </w:p>
        </w:tc>
        <w:tc>
          <w:tcPr>
            <w:tcW w:w="773"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 </w:t>
            </w:r>
          </w:p>
        </w:tc>
      </w:tr>
      <w:tr w:rsidR="00794BC6" w:rsidRPr="00794BC6" w:rsidTr="00794BC6">
        <w:trPr>
          <w:trHeight w:val="276"/>
        </w:trPr>
        <w:tc>
          <w:tcPr>
            <w:tcW w:w="2712"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left"/>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 </w:t>
            </w:r>
          </w:p>
        </w:tc>
        <w:tc>
          <w:tcPr>
            <w:tcW w:w="757"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(neauditované)</w:t>
            </w:r>
          </w:p>
        </w:tc>
        <w:tc>
          <w:tcPr>
            <w:tcW w:w="757"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color w:val="FFFFFF"/>
                <w:sz w:val="20"/>
                <w:szCs w:val="20"/>
                <w:lang w:val="en-US" w:eastAsia="en-US"/>
              </w:rPr>
            </w:pPr>
            <w:r w:rsidRPr="00794BC6">
              <w:rPr>
                <w:rFonts w:ascii="Calibri" w:hAnsi="Calibri" w:cs="Arial"/>
                <w:color w:val="FFFFFF"/>
                <w:sz w:val="20"/>
                <w:szCs w:val="20"/>
                <w:lang w:val="en-US" w:eastAsia="en-US"/>
              </w:rPr>
              <w:t>(neauditované)</w:t>
            </w:r>
          </w:p>
        </w:tc>
        <w:tc>
          <w:tcPr>
            <w:tcW w:w="773" w:type="pct"/>
            <w:tcBorders>
              <w:top w:val="nil"/>
              <w:left w:val="nil"/>
              <w:bottom w:val="nil"/>
              <w:right w:val="nil"/>
            </w:tcBorders>
            <w:shd w:val="clear" w:color="000000" w:fill="E2001C"/>
            <w:noWrap/>
            <w:vAlign w:val="bottom"/>
            <w:hideMark/>
          </w:tcPr>
          <w:p w:rsidR="00794BC6" w:rsidRPr="00794BC6" w:rsidRDefault="00794BC6" w:rsidP="00794BC6">
            <w:pPr>
              <w:spacing w:before="0" w:beforeAutospacing="0" w:after="0" w:afterAutospacing="0"/>
              <w:jc w:val="center"/>
              <w:rPr>
                <w:rFonts w:ascii="Calibri" w:hAnsi="Calibri" w:cs="Arial"/>
                <w:b/>
                <w:bCs/>
                <w:color w:val="FFFFFF"/>
                <w:sz w:val="20"/>
                <w:szCs w:val="20"/>
                <w:lang w:val="en-US" w:eastAsia="en-US"/>
              </w:rPr>
            </w:pPr>
            <w:r w:rsidRPr="00794BC6">
              <w:rPr>
                <w:rFonts w:ascii="Calibri" w:hAnsi="Calibri" w:cs="Arial"/>
                <w:b/>
                <w:bCs/>
                <w:color w:val="FFFFFF"/>
                <w:sz w:val="20"/>
                <w:szCs w:val="20"/>
                <w:lang w:val="en-US" w:eastAsia="en-US"/>
              </w:rPr>
              <w:t>% změna</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color w:val="000000"/>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Výnosy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51 113</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51 584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0,9%</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Spotřeba materiálu a služeb</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-37 516</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-36 834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-1,8%</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Osobní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-4 145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-3 181</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-23,3%</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Ostatní provozní výnosy/(náklady) (netto)</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-516</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D1534">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-35</w:t>
            </w:r>
            <w:r w:rsidR="007D1534">
              <w:rPr>
                <w:rFonts w:ascii="Calibri" w:hAnsi="Calibri" w:cs="Arial"/>
                <w:sz w:val="20"/>
                <w:szCs w:val="20"/>
                <w:lang w:val="en-US" w:eastAsia="en-US"/>
              </w:rPr>
              <w:t>9</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-30,6%</w:t>
            </w:r>
          </w:p>
        </w:tc>
      </w:tr>
      <w:tr w:rsidR="00794BC6" w:rsidRPr="00794BC6" w:rsidTr="00794BC6">
        <w:trPr>
          <w:trHeight w:val="315"/>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EBITDA</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8 936</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11 210</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25,5%</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i/>
                <w:iCs/>
                <w:sz w:val="20"/>
                <w:szCs w:val="20"/>
                <w:lang w:val="en-US" w:eastAsia="en-US"/>
              </w:rPr>
            </w:pPr>
            <w:r w:rsidRPr="00794BC6">
              <w:rPr>
                <w:rFonts w:ascii="Calibri" w:hAnsi="Calibri" w:cs="Arial"/>
                <w:b/>
                <w:bCs/>
                <w:i/>
                <w:iCs/>
                <w:sz w:val="20"/>
                <w:szCs w:val="20"/>
                <w:lang w:val="en-US" w:eastAsia="en-US"/>
              </w:rPr>
              <w:t xml:space="preserve">EBITDA marže </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17,5%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21,7%</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i/>
                <w:iCs/>
                <w:sz w:val="20"/>
                <w:szCs w:val="20"/>
                <w:lang w:val="en-US" w:eastAsia="en-US"/>
              </w:rPr>
            </w:pPr>
            <w:r w:rsidRPr="00794BC6">
              <w:rPr>
                <w:rFonts w:ascii="Calibri" w:hAnsi="Calibri" w:cs="Arial"/>
                <w:b/>
                <w:bCs/>
                <w:i/>
                <w:iCs/>
                <w:sz w:val="20"/>
                <w:szCs w:val="20"/>
                <w:lang w:val="en-US" w:eastAsia="en-US"/>
              </w:rPr>
              <w:t>4,2 pb</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Odpisy dlouhodobého nehmotného a hmotného majetku</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-3 938</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-4 047</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2,8%</w:t>
            </w:r>
          </w:p>
        </w:tc>
      </w:tr>
      <w:tr w:rsidR="00794BC6" w:rsidRPr="00794BC6" w:rsidTr="00794BC6">
        <w:trPr>
          <w:trHeight w:val="315"/>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Provozní zisk</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4 998</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7 163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43,3%</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Kurzové zisky a ostatní finanční výnosy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415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-321</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Kurzové ztráty a ostatní finanční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-762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2 069</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Úrokové výnosy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r w:rsidRPr="00794BC6">
              <w:rPr>
                <w:rFonts w:ascii="Calibri" w:hAnsi="Calibri" w:cs="Arial"/>
                <w:sz w:val="20"/>
                <w:szCs w:val="20"/>
                <w:lang w:val="en-US" w:eastAsia="en-US"/>
              </w:rPr>
              <w:t>Úrokové náklady</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-1 758</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-2 061</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17,3%</w:t>
            </w:r>
          </w:p>
        </w:tc>
      </w:tr>
      <w:tr w:rsidR="00794BC6" w:rsidRPr="00794BC6" w:rsidTr="00794BC6">
        <w:trPr>
          <w:trHeight w:val="315"/>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Zisk před zdaněním</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2 892</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6 873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137,6%</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 xml:space="preserve">Daň z příjmů – (náklad)/výnos </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-923</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205</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300"/>
        </w:trPr>
        <w:tc>
          <w:tcPr>
            <w:tcW w:w="2712"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Čistý zisk po zdanění</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1 969</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7 078</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259</w:t>
            </w:r>
            <w:r w:rsidR="00794BC6" w:rsidRPr="00794BC6">
              <w:rPr>
                <w:rFonts w:ascii="Calibri" w:hAnsi="Calibri" w:cs="Arial"/>
                <w:b/>
                <w:bCs/>
                <w:sz w:val="20"/>
                <w:szCs w:val="20"/>
                <w:lang w:val="en-US" w:eastAsia="en-US"/>
              </w:rPr>
              <w:t>,5%</w:t>
            </w:r>
          </w:p>
        </w:tc>
      </w:tr>
      <w:tr w:rsidR="00794BC6" w:rsidRPr="00794BC6" w:rsidTr="00794BC6">
        <w:trPr>
          <w:trHeight w:val="276"/>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Ostatní úplný výsledek</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73"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Ostatní změny ve vlastním kapitálu</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-505</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-1 063</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110,5%</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Kurzové rozdíly vzniklé z přepočtu</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387</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-2</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705A71"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n/a</w:t>
            </w:r>
          </w:p>
        </w:tc>
      </w:tr>
      <w:tr w:rsidR="00794BC6" w:rsidRPr="00794BC6" w:rsidTr="00794BC6">
        <w:trPr>
          <w:trHeight w:val="315"/>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Úplný výsledek za období celkem</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1"/>
              <w:jc w:val="right"/>
              <w:rPr>
                <w:rFonts w:ascii="Calibri" w:hAnsi="Calibri" w:cs="Arial"/>
                <w:b/>
                <w:bCs/>
                <w:sz w:val="20"/>
                <w:szCs w:val="20"/>
                <w:lang w:val="en-US" w:eastAsia="en-US"/>
              </w:rPr>
            </w:pPr>
            <w:r w:rsidRPr="00794BC6">
              <w:rPr>
                <w:rFonts w:ascii="Calibri" w:hAnsi="Calibri" w:cs="Arial"/>
                <w:b/>
                <w:bCs/>
                <w:sz w:val="20"/>
                <w:szCs w:val="20"/>
                <w:lang w:val="en-US" w:eastAsia="en-US"/>
              </w:rPr>
              <w:t>1 851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BE6D8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6 014</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1"/>
              <w:jc w:val="right"/>
              <w:rPr>
                <w:rFonts w:ascii="Calibri" w:hAnsi="Calibri" w:cs="Arial"/>
                <w:b/>
                <w:bCs/>
                <w:sz w:val="20"/>
                <w:szCs w:val="20"/>
                <w:lang w:val="en-US" w:eastAsia="en-US"/>
              </w:rPr>
            </w:pPr>
            <w:r>
              <w:rPr>
                <w:rFonts w:ascii="Calibri" w:hAnsi="Calibri" w:cs="Arial"/>
                <w:b/>
                <w:bCs/>
                <w:sz w:val="20"/>
                <w:szCs w:val="20"/>
                <w:lang w:val="en-US" w:eastAsia="en-US"/>
              </w:rPr>
              <w:t>224,9</w:t>
            </w:r>
            <w:r w:rsidR="00794BC6" w:rsidRPr="00794BC6">
              <w:rPr>
                <w:rFonts w:ascii="Calibri" w:hAnsi="Calibri" w:cs="Arial"/>
                <w:b/>
                <w:bCs/>
                <w:sz w:val="20"/>
                <w:szCs w:val="20"/>
                <w:lang w:val="en-US" w:eastAsia="en-US"/>
              </w:rPr>
              <w:t>%</w:t>
            </w:r>
          </w:p>
        </w:tc>
      </w:tr>
      <w:tr w:rsidR="00794BC6" w:rsidRPr="00794BC6" w:rsidTr="00794BC6">
        <w:trPr>
          <w:trHeight w:val="105"/>
        </w:trPr>
        <w:tc>
          <w:tcPr>
            <w:tcW w:w="2712"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jc w:val="lef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57"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c>
          <w:tcPr>
            <w:tcW w:w="773" w:type="pct"/>
            <w:tcBorders>
              <w:top w:val="nil"/>
              <w:left w:val="nil"/>
              <w:bottom w:val="nil"/>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p>
        </w:tc>
      </w:tr>
      <w:tr w:rsidR="00794BC6" w:rsidRPr="00794BC6" w:rsidTr="00794BC6">
        <w:trPr>
          <w:trHeight w:val="276"/>
        </w:trPr>
        <w:tc>
          <w:tcPr>
            <w:tcW w:w="2712"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jc w:val="left"/>
              <w:rPr>
                <w:rFonts w:ascii="Calibri" w:hAnsi="Calibri" w:cs="Arial"/>
                <w:b/>
                <w:bCs/>
                <w:sz w:val="20"/>
                <w:szCs w:val="20"/>
                <w:lang w:val="en-US" w:eastAsia="en-US"/>
              </w:rPr>
            </w:pPr>
            <w:r w:rsidRPr="00794BC6">
              <w:rPr>
                <w:rFonts w:ascii="Calibri" w:hAnsi="Calibri" w:cs="Arial"/>
                <w:b/>
                <w:bCs/>
                <w:sz w:val="20"/>
                <w:szCs w:val="20"/>
                <w:lang w:val="en-US" w:eastAsia="en-US"/>
              </w:rPr>
              <w:t>Čistý zisk na akcii</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57"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c>
          <w:tcPr>
            <w:tcW w:w="773" w:type="pct"/>
            <w:tcBorders>
              <w:top w:val="nil"/>
              <w:left w:val="nil"/>
              <w:bottom w:val="nil"/>
              <w:right w:val="nil"/>
            </w:tcBorders>
            <w:shd w:val="clear" w:color="000000" w:fill="9C9D9F"/>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 </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Základní čistý zisk na akcii (EUR)</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0,21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0,81</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278,4</w:t>
            </w:r>
            <w:r w:rsidR="00794BC6" w:rsidRPr="00794BC6">
              <w:rPr>
                <w:rFonts w:ascii="Calibri" w:hAnsi="Calibri" w:cs="Arial"/>
                <w:sz w:val="20"/>
                <w:szCs w:val="20"/>
                <w:lang w:val="en-US" w:eastAsia="en-US"/>
              </w:rPr>
              <w:t>%</w:t>
            </w:r>
          </w:p>
        </w:tc>
      </w:tr>
      <w:tr w:rsidR="00794BC6" w:rsidRPr="00794BC6" w:rsidTr="00794BC6">
        <w:trPr>
          <w:trHeight w:val="276"/>
        </w:trPr>
        <w:tc>
          <w:tcPr>
            <w:tcW w:w="2712" w:type="pct"/>
            <w:tcBorders>
              <w:top w:val="nil"/>
              <w:left w:val="nil"/>
              <w:bottom w:val="single" w:sz="4" w:space="0" w:color="9C9D9F"/>
              <w:right w:val="nil"/>
            </w:tcBorders>
            <w:shd w:val="clear" w:color="auto" w:fill="auto"/>
            <w:noWrap/>
            <w:vAlign w:val="bottom"/>
            <w:hideMark/>
          </w:tcPr>
          <w:p w:rsidR="00794BC6" w:rsidRPr="007D00E7" w:rsidRDefault="00794BC6" w:rsidP="00794BC6">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Zředěný čistý zisk na akcii (EUR)</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794BC6" w:rsidP="00794BC6">
            <w:pPr>
              <w:spacing w:before="0" w:beforeAutospacing="0" w:after="0" w:afterAutospacing="0"/>
              <w:ind w:firstLineChars="100" w:firstLine="200"/>
              <w:jc w:val="right"/>
              <w:rPr>
                <w:rFonts w:ascii="Calibri" w:hAnsi="Calibri" w:cs="Arial"/>
                <w:sz w:val="20"/>
                <w:szCs w:val="20"/>
                <w:lang w:val="en-US" w:eastAsia="en-US"/>
              </w:rPr>
            </w:pPr>
            <w:r w:rsidRPr="00794BC6">
              <w:rPr>
                <w:rFonts w:ascii="Calibri" w:hAnsi="Calibri" w:cs="Arial"/>
                <w:sz w:val="20"/>
                <w:szCs w:val="20"/>
                <w:lang w:val="en-US" w:eastAsia="en-US"/>
              </w:rPr>
              <w:t>0,21</w:t>
            </w:r>
          </w:p>
        </w:tc>
        <w:tc>
          <w:tcPr>
            <w:tcW w:w="757"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0,80</w:t>
            </w:r>
          </w:p>
        </w:tc>
        <w:tc>
          <w:tcPr>
            <w:tcW w:w="773" w:type="pct"/>
            <w:tcBorders>
              <w:top w:val="nil"/>
              <w:left w:val="nil"/>
              <w:bottom w:val="single" w:sz="4" w:space="0" w:color="9C9D9F"/>
              <w:right w:val="nil"/>
            </w:tcBorders>
            <w:shd w:val="clear" w:color="auto" w:fill="auto"/>
            <w:noWrap/>
            <w:vAlign w:val="bottom"/>
            <w:hideMark/>
          </w:tcPr>
          <w:p w:rsidR="00794BC6" w:rsidRPr="00794BC6" w:rsidRDefault="00BE6D86" w:rsidP="00794BC6">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281,4</w:t>
            </w:r>
            <w:r w:rsidR="00794BC6" w:rsidRPr="00794BC6">
              <w:rPr>
                <w:rFonts w:ascii="Calibri" w:hAnsi="Calibri" w:cs="Arial"/>
                <w:sz w:val="20"/>
                <w:szCs w:val="20"/>
                <w:lang w:val="en-US" w:eastAsia="en-US"/>
              </w:rPr>
              <w:t>%</w:t>
            </w:r>
          </w:p>
        </w:tc>
      </w:tr>
    </w:tbl>
    <w:p w:rsidR="008A66C6" w:rsidRDefault="008A66C6">
      <w:pPr>
        <w:spacing w:before="0" w:beforeAutospacing="0" w:after="0" w:afterAutospacing="0"/>
        <w:jc w:val="left"/>
        <w:rPr>
          <w:b/>
          <w:bCs/>
          <w:kern w:val="32"/>
          <w:sz w:val="28"/>
          <w:szCs w:val="28"/>
        </w:rPr>
      </w:pPr>
      <w:r>
        <w:br w:type="page"/>
      </w:r>
    </w:p>
    <w:p w:rsidR="00CC1601" w:rsidRPr="007A3749" w:rsidRDefault="00234327" w:rsidP="00396F0C">
      <w:pPr>
        <w:pStyle w:val="Heading2"/>
      </w:pPr>
      <w:bookmarkStart w:id="95" w:name="_Toc458586528"/>
      <w:r w:rsidRPr="00234327">
        <w:lastRenderedPageBreak/>
        <w:t>Konsolidovaný výkaz o finanční situaci ve zkrácené podobě</w:t>
      </w:r>
      <w:bookmarkEnd w:id="93"/>
      <w:bookmarkEnd w:id="94"/>
      <w:bookmarkEnd w:id="95"/>
    </w:p>
    <w:tbl>
      <w:tblPr>
        <w:tblW w:w="5000" w:type="pct"/>
        <w:tblLook w:val="04A0" w:firstRow="1" w:lastRow="0" w:firstColumn="1" w:lastColumn="0" w:noHBand="0" w:noVBand="1"/>
      </w:tblPr>
      <w:tblGrid>
        <w:gridCol w:w="4946"/>
        <w:gridCol w:w="1457"/>
        <w:gridCol w:w="1428"/>
        <w:gridCol w:w="1457"/>
      </w:tblGrid>
      <w:tr w:rsidR="00593942" w:rsidRPr="00593942" w:rsidTr="00593942">
        <w:trPr>
          <w:trHeight w:val="564"/>
        </w:trPr>
        <w:tc>
          <w:tcPr>
            <w:tcW w:w="2669" w:type="pct"/>
            <w:tcBorders>
              <w:top w:val="nil"/>
              <w:left w:val="nil"/>
              <w:bottom w:val="nil"/>
              <w:right w:val="nil"/>
            </w:tcBorders>
            <w:shd w:val="clear" w:color="000000" w:fill="E2001C"/>
            <w:noWrap/>
            <w:vAlign w:val="bottom"/>
            <w:hideMark/>
          </w:tcPr>
          <w:p w:rsidR="00593942" w:rsidRPr="00593942" w:rsidRDefault="00593942" w:rsidP="00593942">
            <w:pPr>
              <w:spacing w:before="0" w:beforeAutospacing="0" w:after="0" w:afterAutospacing="0"/>
              <w:jc w:val="left"/>
              <w:rPr>
                <w:rFonts w:ascii="Calibri" w:hAnsi="Calibri" w:cs="Arial"/>
                <w:b/>
                <w:bCs/>
                <w:color w:val="FFFFFF"/>
                <w:sz w:val="20"/>
                <w:szCs w:val="20"/>
                <w:lang w:val="en-US" w:eastAsia="en-US"/>
              </w:rPr>
            </w:pPr>
            <w:r w:rsidRPr="00593942">
              <w:rPr>
                <w:rFonts w:ascii="Calibri" w:hAnsi="Calibri" w:cs="Arial"/>
                <w:b/>
                <w:bCs/>
                <w:color w:val="FFFFFF"/>
                <w:sz w:val="20"/>
                <w:szCs w:val="20"/>
                <w:lang w:val="en-US" w:eastAsia="en-US"/>
              </w:rPr>
              <w:t>v tis. EUR</w:t>
            </w:r>
          </w:p>
        </w:tc>
        <w:tc>
          <w:tcPr>
            <w:tcW w:w="778" w:type="pct"/>
            <w:tcBorders>
              <w:top w:val="nil"/>
              <w:left w:val="nil"/>
              <w:bottom w:val="nil"/>
              <w:right w:val="nil"/>
            </w:tcBorders>
            <w:shd w:val="clear" w:color="000000" w:fill="E2001C"/>
            <w:vAlign w:val="bottom"/>
            <w:hideMark/>
          </w:tcPr>
          <w:p w:rsidR="00593942" w:rsidRPr="00593942" w:rsidRDefault="00593942" w:rsidP="00593942">
            <w:pPr>
              <w:spacing w:before="0" w:beforeAutospacing="0" w:after="0" w:afterAutospacing="0"/>
              <w:jc w:val="center"/>
              <w:rPr>
                <w:rFonts w:ascii="Calibri" w:hAnsi="Calibri" w:cs="Arial"/>
                <w:b/>
                <w:bCs/>
                <w:color w:val="FFFFFF"/>
                <w:sz w:val="20"/>
                <w:szCs w:val="20"/>
                <w:lang w:val="en-US" w:eastAsia="en-US"/>
              </w:rPr>
            </w:pPr>
            <w:r w:rsidRPr="00593942">
              <w:rPr>
                <w:rFonts w:ascii="Calibri" w:hAnsi="Calibri" w:cs="Arial"/>
                <w:b/>
                <w:bCs/>
                <w:color w:val="FFFFFF"/>
                <w:sz w:val="20"/>
                <w:szCs w:val="20"/>
                <w:lang w:val="en-US" w:eastAsia="en-US"/>
              </w:rPr>
              <w:t>30. června</w:t>
            </w:r>
            <w:r w:rsidRPr="00593942">
              <w:rPr>
                <w:rFonts w:ascii="Calibri" w:hAnsi="Calibri" w:cs="Arial"/>
                <w:b/>
                <w:bCs/>
                <w:color w:val="FFFFFF"/>
                <w:sz w:val="20"/>
                <w:szCs w:val="20"/>
                <w:lang w:val="en-US" w:eastAsia="en-US"/>
              </w:rPr>
              <w:br/>
              <w:t>2015</w:t>
            </w:r>
          </w:p>
        </w:tc>
        <w:tc>
          <w:tcPr>
            <w:tcW w:w="775" w:type="pct"/>
            <w:tcBorders>
              <w:top w:val="nil"/>
              <w:left w:val="nil"/>
              <w:bottom w:val="nil"/>
              <w:right w:val="nil"/>
            </w:tcBorders>
            <w:shd w:val="clear" w:color="000000" w:fill="E2001C"/>
            <w:vAlign w:val="bottom"/>
            <w:hideMark/>
          </w:tcPr>
          <w:p w:rsidR="00593942" w:rsidRPr="00593942" w:rsidRDefault="00593942" w:rsidP="00593942">
            <w:pPr>
              <w:spacing w:before="0" w:beforeAutospacing="0" w:after="0" w:afterAutospacing="0"/>
              <w:jc w:val="center"/>
              <w:rPr>
                <w:rFonts w:ascii="Calibri" w:hAnsi="Calibri" w:cs="Arial"/>
                <w:b/>
                <w:bCs/>
                <w:color w:val="FFFFFF"/>
                <w:sz w:val="20"/>
                <w:szCs w:val="20"/>
                <w:lang w:val="en-US" w:eastAsia="en-US"/>
              </w:rPr>
            </w:pPr>
            <w:r w:rsidRPr="00593942">
              <w:rPr>
                <w:rFonts w:ascii="Calibri" w:hAnsi="Calibri" w:cs="Arial"/>
                <w:b/>
                <w:bCs/>
                <w:color w:val="FFFFFF"/>
                <w:sz w:val="20"/>
                <w:szCs w:val="20"/>
                <w:lang w:val="en-US" w:eastAsia="en-US"/>
              </w:rPr>
              <w:t>31. prosince</w:t>
            </w:r>
            <w:r w:rsidRPr="00593942">
              <w:rPr>
                <w:rFonts w:ascii="Calibri" w:hAnsi="Calibri" w:cs="Arial"/>
                <w:b/>
                <w:bCs/>
                <w:color w:val="FFFFFF"/>
                <w:sz w:val="20"/>
                <w:szCs w:val="20"/>
                <w:lang w:val="en-US" w:eastAsia="en-US"/>
              </w:rPr>
              <w:br/>
              <w:t>2015</w:t>
            </w:r>
          </w:p>
        </w:tc>
        <w:tc>
          <w:tcPr>
            <w:tcW w:w="778" w:type="pct"/>
            <w:tcBorders>
              <w:top w:val="nil"/>
              <w:left w:val="nil"/>
              <w:bottom w:val="nil"/>
              <w:right w:val="nil"/>
            </w:tcBorders>
            <w:shd w:val="clear" w:color="000000" w:fill="E2001C"/>
            <w:vAlign w:val="bottom"/>
            <w:hideMark/>
          </w:tcPr>
          <w:p w:rsidR="00593942" w:rsidRPr="00593942" w:rsidRDefault="00593942" w:rsidP="00593942">
            <w:pPr>
              <w:spacing w:before="0" w:beforeAutospacing="0" w:after="0" w:afterAutospacing="0"/>
              <w:jc w:val="center"/>
              <w:rPr>
                <w:rFonts w:ascii="Calibri" w:hAnsi="Calibri" w:cs="Arial"/>
                <w:b/>
                <w:bCs/>
                <w:color w:val="FFFFFF"/>
                <w:sz w:val="20"/>
                <w:szCs w:val="20"/>
                <w:lang w:val="en-US" w:eastAsia="en-US"/>
              </w:rPr>
            </w:pPr>
            <w:r w:rsidRPr="00593942">
              <w:rPr>
                <w:rFonts w:ascii="Calibri" w:hAnsi="Calibri" w:cs="Arial"/>
                <w:b/>
                <w:bCs/>
                <w:color w:val="FFFFFF"/>
                <w:sz w:val="20"/>
                <w:szCs w:val="20"/>
                <w:lang w:val="en-US" w:eastAsia="en-US"/>
              </w:rPr>
              <w:t>30. června</w:t>
            </w:r>
            <w:r w:rsidRPr="00593942">
              <w:rPr>
                <w:rFonts w:ascii="Calibri" w:hAnsi="Calibri" w:cs="Arial"/>
                <w:b/>
                <w:bCs/>
                <w:color w:val="FFFFFF"/>
                <w:sz w:val="20"/>
                <w:szCs w:val="20"/>
                <w:lang w:val="en-US" w:eastAsia="en-US"/>
              </w:rPr>
              <w:br/>
              <w:t>2016</w:t>
            </w:r>
          </w:p>
        </w:tc>
      </w:tr>
      <w:tr w:rsidR="00593942" w:rsidRPr="00593942" w:rsidTr="00593942">
        <w:trPr>
          <w:trHeight w:val="276"/>
        </w:trPr>
        <w:tc>
          <w:tcPr>
            <w:tcW w:w="2669" w:type="pct"/>
            <w:tcBorders>
              <w:top w:val="nil"/>
              <w:left w:val="nil"/>
              <w:bottom w:val="nil"/>
              <w:right w:val="nil"/>
            </w:tcBorders>
            <w:shd w:val="clear" w:color="000000" w:fill="E2001C"/>
            <w:noWrap/>
            <w:vAlign w:val="bottom"/>
            <w:hideMark/>
          </w:tcPr>
          <w:p w:rsidR="00593942" w:rsidRPr="00593942" w:rsidRDefault="00593942" w:rsidP="00593942">
            <w:pPr>
              <w:spacing w:before="0" w:beforeAutospacing="0" w:after="0" w:afterAutospacing="0"/>
              <w:jc w:val="left"/>
              <w:rPr>
                <w:rFonts w:ascii="Calibri" w:hAnsi="Calibri" w:cs="Arial"/>
                <w:color w:val="FFFFFF"/>
                <w:sz w:val="20"/>
                <w:szCs w:val="20"/>
                <w:lang w:val="en-US" w:eastAsia="en-US"/>
              </w:rPr>
            </w:pPr>
            <w:r w:rsidRPr="00593942">
              <w:rPr>
                <w:rFonts w:ascii="Calibri" w:hAnsi="Calibri" w:cs="Arial"/>
                <w:color w:val="FFFFFF"/>
                <w:sz w:val="20"/>
                <w:szCs w:val="20"/>
                <w:lang w:val="en-US" w:eastAsia="en-US"/>
              </w:rPr>
              <w:t> </w:t>
            </w:r>
          </w:p>
        </w:tc>
        <w:tc>
          <w:tcPr>
            <w:tcW w:w="778" w:type="pct"/>
            <w:tcBorders>
              <w:top w:val="nil"/>
              <w:left w:val="nil"/>
              <w:bottom w:val="nil"/>
              <w:right w:val="nil"/>
            </w:tcBorders>
            <w:shd w:val="clear" w:color="000000" w:fill="E2001C"/>
            <w:noWrap/>
            <w:vAlign w:val="bottom"/>
            <w:hideMark/>
          </w:tcPr>
          <w:p w:rsidR="00593942" w:rsidRPr="00593942" w:rsidRDefault="00593942" w:rsidP="00593942">
            <w:pPr>
              <w:spacing w:before="0" w:beforeAutospacing="0" w:after="0" w:afterAutospacing="0"/>
              <w:jc w:val="center"/>
              <w:rPr>
                <w:rFonts w:ascii="Calibri" w:hAnsi="Calibri" w:cs="Arial"/>
                <w:color w:val="FFFFFF"/>
                <w:sz w:val="20"/>
                <w:szCs w:val="20"/>
                <w:lang w:val="en-US" w:eastAsia="en-US"/>
              </w:rPr>
            </w:pPr>
            <w:r w:rsidRPr="00593942">
              <w:rPr>
                <w:rFonts w:ascii="Calibri" w:hAnsi="Calibri" w:cs="Arial"/>
                <w:color w:val="FFFFFF"/>
                <w:sz w:val="20"/>
                <w:szCs w:val="20"/>
                <w:lang w:val="en-US" w:eastAsia="en-US"/>
              </w:rPr>
              <w:t>(neauditované)</w:t>
            </w:r>
          </w:p>
        </w:tc>
        <w:tc>
          <w:tcPr>
            <w:tcW w:w="775" w:type="pct"/>
            <w:tcBorders>
              <w:top w:val="nil"/>
              <w:left w:val="nil"/>
              <w:bottom w:val="nil"/>
              <w:right w:val="nil"/>
            </w:tcBorders>
            <w:shd w:val="clear" w:color="000000" w:fill="E2001C"/>
            <w:noWrap/>
            <w:vAlign w:val="bottom"/>
            <w:hideMark/>
          </w:tcPr>
          <w:p w:rsidR="00593942" w:rsidRPr="00593942" w:rsidRDefault="00593942" w:rsidP="00593942">
            <w:pPr>
              <w:spacing w:before="0" w:beforeAutospacing="0" w:after="0" w:afterAutospacing="0"/>
              <w:jc w:val="center"/>
              <w:rPr>
                <w:rFonts w:ascii="Calibri" w:hAnsi="Calibri" w:cs="Arial"/>
                <w:color w:val="FFFFFF"/>
                <w:sz w:val="20"/>
                <w:szCs w:val="20"/>
                <w:lang w:val="en-US" w:eastAsia="en-US"/>
              </w:rPr>
            </w:pPr>
            <w:r w:rsidRPr="00593942">
              <w:rPr>
                <w:rFonts w:ascii="Calibri" w:hAnsi="Calibri" w:cs="Arial"/>
                <w:color w:val="FFFFFF"/>
                <w:sz w:val="20"/>
                <w:szCs w:val="20"/>
                <w:lang w:val="en-US" w:eastAsia="en-US"/>
              </w:rPr>
              <w:t>(auditované)</w:t>
            </w:r>
          </w:p>
        </w:tc>
        <w:tc>
          <w:tcPr>
            <w:tcW w:w="778" w:type="pct"/>
            <w:tcBorders>
              <w:top w:val="nil"/>
              <w:left w:val="nil"/>
              <w:bottom w:val="nil"/>
              <w:right w:val="nil"/>
            </w:tcBorders>
            <w:shd w:val="clear" w:color="000000" w:fill="E2001C"/>
            <w:noWrap/>
            <w:vAlign w:val="bottom"/>
            <w:hideMark/>
          </w:tcPr>
          <w:p w:rsidR="00593942" w:rsidRPr="00593942" w:rsidRDefault="00593942" w:rsidP="00593942">
            <w:pPr>
              <w:spacing w:before="0" w:beforeAutospacing="0" w:after="0" w:afterAutospacing="0"/>
              <w:jc w:val="center"/>
              <w:rPr>
                <w:rFonts w:ascii="Calibri" w:hAnsi="Calibri" w:cs="Arial"/>
                <w:color w:val="FFFFFF"/>
                <w:sz w:val="20"/>
                <w:szCs w:val="20"/>
                <w:lang w:val="en-US" w:eastAsia="en-US"/>
              </w:rPr>
            </w:pPr>
            <w:r w:rsidRPr="00593942">
              <w:rPr>
                <w:rFonts w:ascii="Calibri" w:hAnsi="Calibri" w:cs="Arial"/>
                <w:color w:val="FFFFFF"/>
                <w:sz w:val="20"/>
                <w:szCs w:val="20"/>
                <w:lang w:val="en-US" w:eastAsia="en-US"/>
              </w:rPr>
              <w:t>(neauditované)</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color w:val="000000"/>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color w:val="000000"/>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color w:val="000000"/>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color w:val="000000"/>
                <w:sz w:val="20"/>
                <w:szCs w:val="20"/>
                <w:lang w:val="en-US" w:eastAsia="en-US"/>
              </w:rPr>
            </w:pPr>
          </w:p>
        </w:tc>
      </w:tr>
      <w:tr w:rsidR="00593942" w:rsidRPr="00593942" w:rsidTr="00593942">
        <w:trPr>
          <w:trHeight w:val="288"/>
        </w:trPr>
        <w:tc>
          <w:tcPr>
            <w:tcW w:w="2669" w:type="pct"/>
            <w:tcBorders>
              <w:top w:val="double" w:sz="6" w:space="0" w:color="9C9D9F"/>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Aktiva</w:t>
            </w:r>
          </w:p>
        </w:tc>
        <w:tc>
          <w:tcPr>
            <w:tcW w:w="778" w:type="pct"/>
            <w:tcBorders>
              <w:top w:val="double" w:sz="6" w:space="0" w:color="9C9D9F"/>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5" w:type="pct"/>
            <w:tcBorders>
              <w:top w:val="double" w:sz="6" w:space="0" w:color="9C9D9F"/>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8" w:type="pct"/>
            <w:tcBorders>
              <w:top w:val="double" w:sz="6" w:space="0" w:color="9C9D9F"/>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r>
      <w:tr w:rsidR="00593942" w:rsidRPr="00593942" w:rsidTr="00593942">
        <w:trPr>
          <w:trHeight w:val="276"/>
        </w:trPr>
        <w:tc>
          <w:tcPr>
            <w:tcW w:w="2669"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Dlouhodobý majetek</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Dlouhodobý hmotný majetek</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180 547</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181 250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179 234</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Dlouhodobý nehmotný majetek</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442</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2 369</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2 345</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Goodwill</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85 133</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85 857</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85 516</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Dlouhodobý majetek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266 122</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269 476</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267 095</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r>
      <w:tr w:rsidR="00593942" w:rsidRPr="00593942" w:rsidTr="00593942">
        <w:trPr>
          <w:trHeight w:val="276"/>
        </w:trPr>
        <w:tc>
          <w:tcPr>
            <w:tcW w:w="2669"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Oběžná aktiva</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Zásoby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38 450</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39 538</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29 952</w:t>
            </w:r>
          </w:p>
        </w:tc>
      </w:tr>
      <w:tr w:rsidR="00593942" w:rsidRPr="00593942" w:rsidTr="00593942">
        <w:trPr>
          <w:trHeight w:val="276"/>
        </w:trPr>
        <w:tc>
          <w:tcPr>
            <w:tcW w:w="2669" w:type="pct"/>
            <w:tcBorders>
              <w:top w:val="nil"/>
              <w:left w:val="nil"/>
              <w:bottom w:val="single" w:sz="4" w:space="0" w:color="9C9D9F"/>
              <w:right w:val="nil"/>
            </w:tcBorders>
            <w:shd w:val="clear" w:color="auto" w:fill="auto"/>
            <w:vAlign w:val="bottom"/>
            <w:hideMark/>
          </w:tcPr>
          <w:p w:rsidR="00593942" w:rsidRPr="007D00E7" w:rsidRDefault="00593942" w:rsidP="00593942">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Pohledávky z obchodních vztahů a jiné pohledávky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45 404</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54 692</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48 739</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Pohledávky z daně z příjmu</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Peníze a peněžní ekvivalenty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9 227</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28 082</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39 663</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Oběžná aktiva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93 081</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122 312</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118 35</w:t>
            </w:r>
            <w:r w:rsidR="00705A71">
              <w:rPr>
                <w:rFonts w:ascii="Calibri" w:hAnsi="Calibri" w:cs="Arial"/>
                <w:b/>
                <w:bCs/>
                <w:sz w:val="20"/>
                <w:szCs w:val="20"/>
                <w:lang w:val="en-US" w:eastAsia="en-US"/>
              </w:rPr>
              <w:t>4</w:t>
            </w:r>
          </w:p>
        </w:tc>
      </w:tr>
      <w:tr w:rsidR="00593942" w:rsidRPr="00593942" w:rsidTr="00593942">
        <w:trPr>
          <w:trHeight w:val="300"/>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Aktiva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359 203</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391 788</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385 449</w:t>
            </w:r>
          </w:p>
        </w:tc>
      </w:tr>
      <w:tr w:rsidR="00593942" w:rsidRPr="00593942" w:rsidTr="00593942">
        <w:trPr>
          <w:trHeight w:val="288"/>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r>
      <w:tr w:rsidR="00593942" w:rsidRPr="00593942" w:rsidTr="00593942">
        <w:trPr>
          <w:trHeight w:val="288"/>
        </w:trPr>
        <w:tc>
          <w:tcPr>
            <w:tcW w:w="2669" w:type="pct"/>
            <w:tcBorders>
              <w:top w:val="double" w:sz="6" w:space="0" w:color="9C9D9F"/>
              <w:left w:val="nil"/>
              <w:bottom w:val="nil"/>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Vlastní kapitál a cizí zdroje</w:t>
            </w:r>
          </w:p>
        </w:tc>
        <w:tc>
          <w:tcPr>
            <w:tcW w:w="778" w:type="pct"/>
            <w:tcBorders>
              <w:top w:val="double" w:sz="6" w:space="0" w:color="9C9D9F"/>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c>
          <w:tcPr>
            <w:tcW w:w="775" w:type="pct"/>
            <w:tcBorders>
              <w:top w:val="double" w:sz="6" w:space="0" w:color="9C9D9F"/>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c>
          <w:tcPr>
            <w:tcW w:w="778" w:type="pct"/>
            <w:tcBorders>
              <w:top w:val="double" w:sz="6" w:space="0" w:color="9C9D9F"/>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b/>
                <w:bCs/>
                <w:sz w:val="20"/>
                <w:szCs w:val="20"/>
                <w:lang w:val="pl-PL" w:eastAsia="en-US"/>
              </w:rPr>
            </w:pPr>
          </w:p>
        </w:tc>
        <w:tc>
          <w:tcPr>
            <w:tcW w:w="778" w:type="pct"/>
            <w:tcBorders>
              <w:top w:val="nil"/>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p>
        </w:tc>
        <w:tc>
          <w:tcPr>
            <w:tcW w:w="775" w:type="pct"/>
            <w:tcBorders>
              <w:top w:val="nil"/>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p>
        </w:tc>
        <w:tc>
          <w:tcPr>
            <w:tcW w:w="778" w:type="pct"/>
            <w:tcBorders>
              <w:top w:val="nil"/>
              <w:left w:val="nil"/>
              <w:bottom w:val="nil"/>
              <w:right w:val="nil"/>
            </w:tcBorders>
            <w:shd w:val="clear" w:color="auto" w:fill="auto"/>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p>
        </w:tc>
      </w:tr>
      <w:tr w:rsidR="00593942" w:rsidRPr="00593942" w:rsidTr="00593942">
        <w:trPr>
          <w:trHeight w:val="276"/>
        </w:trPr>
        <w:tc>
          <w:tcPr>
            <w:tcW w:w="2669" w:type="pct"/>
            <w:tcBorders>
              <w:top w:val="nil"/>
              <w:left w:val="nil"/>
              <w:bottom w:val="nil"/>
              <w:right w:val="nil"/>
            </w:tcBorders>
            <w:shd w:val="clear" w:color="000000" w:fill="9C9D9F"/>
            <w:noWrap/>
            <w:vAlign w:val="bottom"/>
            <w:hideMark/>
          </w:tcPr>
          <w:p w:rsidR="00593942" w:rsidRPr="007D00E7" w:rsidRDefault="00593942" w:rsidP="00593942">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Základní kapitál a rezervní fondy</w:t>
            </w:r>
          </w:p>
        </w:tc>
        <w:tc>
          <w:tcPr>
            <w:tcW w:w="778" w:type="pct"/>
            <w:tcBorders>
              <w:top w:val="nil"/>
              <w:left w:val="nil"/>
              <w:bottom w:val="nil"/>
              <w:right w:val="nil"/>
            </w:tcBorders>
            <w:shd w:val="clear" w:color="000000" w:fill="9C9D9F"/>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c>
          <w:tcPr>
            <w:tcW w:w="775" w:type="pct"/>
            <w:tcBorders>
              <w:top w:val="nil"/>
              <w:left w:val="nil"/>
              <w:bottom w:val="nil"/>
              <w:right w:val="nil"/>
            </w:tcBorders>
            <w:shd w:val="clear" w:color="000000" w:fill="9C9D9F"/>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c>
          <w:tcPr>
            <w:tcW w:w="778" w:type="pct"/>
            <w:tcBorders>
              <w:top w:val="nil"/>
              <w:left w:val="nil"/>
              <w:bottom w:val="nil"/>
              <w:right w:val="nil"/>
            </w:tcBorders>
            <w:shd w:val="clear" w:color="000000" w:fill="9C9D9F"/>
            <w:noWrap/>
            <w:vAlign w:val="bottom"/>
            <w:hideMark/>
          </w:tcPr>
          <w:p w:rsidR="00593942" w:rsidRPr="007D00E7" w:rsidRDefault="00593942" w:rsidP="00593942">
            <w:pPr>
              <w:spacing w:before="0" w:beforeAutospacing="0" w:after="0" w:afterAutospacing="0"/>
              <w:ind w:firstLineChars="100" w:firstLine="200"/>
              <w:jc w:val="right"/>
              <w:rPr>
                <w:rFonts w:ascii="Calibri" w:hAnsi="Calibri" w:cs="Arial"/>
                <w:sz w:val="20"/>
                <w:szCs w:val="20"/>
                <w:lang w:val="pl-PL" w:eastAsia="en-US"/>
              </w:rPr>
            </w:pPr>
            <w:r w:rsidRPr="007D00E7">
              <w:rPr>
                <w:rFonts w:ascii="Calibri" w:hAnsi="Calibri" w:cs="Arial"/>
                <w:sz w:val="20"/>
                <w:szCs w:val="20"/>
                <w:lang w:val="pl-PL" w:eastAsia="en-US"/>
              </w:rPr>
              <w:t> </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 xml:space="preserve">Základní kapitál </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11 444</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11 444</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11 444</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Zákonný rezervní fond</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9 187</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9 451</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9 451</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Vlastní akcie</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-12 797</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-13 672</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Rozdíly z přepočtu</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7 255</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5 691</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2 646</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Zajištění peněžních toků</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-1 264</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1 418</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-1 683</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Nerozdělený zisk</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132 854</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141 505</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BE6D86" w:rsidP="00593942">
            <w:pPr>
              <w:spacing w:before="0" w:beforeAutospacing="0" w:after="0" w:afterAutospacing="0"/>
              <w:ind w:firstLineChars="100" w:firstLine="200"/>
              <w:jc w:val="right"/>
              <w:rPr>
                <w:rFonts w:ascii="Calibri" w:hAnsi="Calibri" w:cs="Arial"/>
                <w:sz w:val="20"/>
                <w:szCs w:val="20"/>
                <w:lang w:val="en-US" w:eastAsia="en-US"/>
              </w:rPr>
            </w:pPr>
            <w:r>
              <w:rPr>
                <w:rFonts w:ascii="Calibri" w:hAnsi="Calibri" w:cs="Arial"/>
                <w:sz w:val="20"/>
                <w:szCs w:val="20"/>
                <w:lang w:val="en-US" w:eastAsia="en-US"/>
              </w:rPr>
              <w:t>137 51</w:t>
            </w:r>
            <w:r w:rsidR="00705A71">
              <w:rPr>
                <w:rFonts w:ascii="Calibri" w:hAnsi="Calibri" w:cs="Arial"/>
                <w:sz w:val="20"/>
                <w:szCs w:val="20"/>
                <w:lang w:val="en-US" w:eastAsia="en-US"/>
              </w:rPr>
              <w:t>7</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Základní kapitál a rezervní fondy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159 476</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156 712</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BE6D86">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 xml:space="preserve">145 </w:t>
            </w:r>
            <w:r w:rsidR="00BE6D86">
              <w:rPr>
                <w:rFonts w:ascii="Calibri" w:hAnsi="Calibri" w:cs="Arial"/>
                <w:b/>
                <w:bCs/>
                <w:sz w:val="20"/>
                <w:szCs w:val="20"/>
                <w:lang w:val="en-US" w:eastAsia="en-US"/>
              </w:rPr>
              <w:t>703</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r>
      <w:tr w:rsidR="00593942" w:rsidRPr="00593942" w:rsidTr="00593942">
        <w:trPr>
          <w:trHeight w:val="276"/>
        </w:trPr>
        <w:tc>
          <w:tcPr>
            <w:tcW w:w="2669"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Dlouhodobé závazky</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Bankovní úvěry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38 209</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Odložený daňový závazek</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16 462</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17 440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BE6D86">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w:t>
            </w:r>
            <w:r w:rsidR="00BE6D86">
              <w:rPr>
                <w:rFonts w:ascii="Calibri" w:hAnsi="Calibri" w:cs="Arial"/>
                <w:sz w:val="20"/>
                <w:szCs w:val="20"/>
                <w:lang w:val="en-US" w:eastAsia="en-US"/>
              </w:rPr>
              <w:t>6</w:t>
            </w:r>
            <w:r w:rsidRPr="00593942">
              <w:rPr>
                <w:rFonts w:ascii="Calibri" w:hAnsi="Calibri" w:cs="Arial"/>
                <w:sz w:val="20"/>
                <w:szCs w:val="20"/>
                <w:lang w:val="en-US" w:eastAsia="en-US"/>
              </w:rPr>
              <w:t xml:space="preserve"> </w:t>
            </w:r>
            <w:r w:rsidR="00BE6D86">
              <w:rPr>
                <w:rFonts w:ascii="Calibri" w:hAnsi="Calibri" w:cs="Arial"/>
                <w:sz w:val="20"/>
                <w:szCs w:val="20"/>
                <w:lang w:val="en-US" w:eastAsia="en-US"/>
              </w:rPr>
              <w:t>866</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Ostatní dlouhodobé závazky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90 683</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184 806</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184 315</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Dlouhodobé závazky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145 354</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202 246</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BE6D86">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 xml:space="preserve">201 </w:t>
            </w:r>
            <w:r w:rsidR="00BE6D86">
              <w:rPr>
                <w:rFonts w:ascii="Calibri" w:hAnsi="Calibri" w:cs="Arial"/>
                <w:b/>
                <w:bCs/>
                <w:sz w:val="20"/>
                <w:szCs w:val="20"/>
                <w:lang w:val="en-US" w:eastAsia="en-US"/>
              </w:rPr>
              <w:t>181</w:t>
            </w:r>
          </w:p>
        </w:tc>
      </w:tr>
      <w:tr w:rsidR="00593942" w:rsidRPr="00593942" w:rsidTr="00593942">
        <w:trPr>
          <w:trHeight w:val="150"/>
        </w:trPr>
        <w:tc>
          <w:tcPr>
            <w:tcW w:w="2669"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5"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c>
          <w:tcPr>
            <w:tcW w:w="778" w:type="pct"/>
            <w:tcBorders>
              <w:top w:val="nil"/>
              <w:left w:val="nil"/>
              <w:bottom w:val="nil"/>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p>
        </w:tc>
      </w:tr>
      <w:tr w:rsidR="00593942" w:rsidRPr="00593942" w:rsidTr="00593942">
        <w:trPr>
          <w:trHeight w:val="276"/>
        </w:trPr>
        <w:tc>
          <w:tcPr>
            <w:tcW w:w="2669"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Krátkodobé závazky</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5"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c>
          <w:tcPr>
            <w:tcW w:w="778" w:type="pct"/>
            <w:tcBorders>
              <w:top w:val="nil"/>
              <w:left w:val="nil"/>
              <w:bottom w:val="nil"/>
              <w:right w:val="nil"/>
            </w:tcBorders>
            <w:shd w:val="clear" w:color="000000" w:fill="9C9D9F"/>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 </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Závazky z obchodních vztahů a jiné závazky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30 597</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23 895</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705A71">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38 07</w:t>
            </w:r>
            <w:r w:rsidR="00705A71">
              <w:rPr>
                <w:rFonts w:ascii="Calibri" w:hAnsi="Calibri" w:cs="Arial"/>
                <w:sz w:val="20"/>
                <w:szCs w:val="20"/>
                <w:lang w:val="en-US" w:eastAsia="en-US"/>
              </w:rPr>
              <w:t>2</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Daňové závazky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1 281</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1 824</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493</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Krátkodobá část bankovních úvěrů</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22 495</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7 111</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sz w:val="20"/>
                <w:szCs w:val="20"/>
                <w:lang w:val="en-US" w:eastAsia="en-US"/>
              </w:rPr>
            </w:pPr>
            <w:r w:rsidRPr="00593942">
              <w:rPr>
                <w:rFonts w:ascii="Calibri" w:hAnsi="Calibri" w:cs="Arial"/>
                <w:sz w:val="20"/>
                <w:szCs w:val="20"/>
                <w:lang w:val="en-US" w:eastAsia="en-US"/>
              </w:rPr>
              <w:t>Rezervy</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0"/>
              <w:jc w:val="right"/>
              <w:rPr>
                <w:rFonts w:ascii="Calibri" w:hAnsi="Calibri" w:cs="Arial"/>
                <w:sz w:val="20"/>
                <w:szCs w:val="20"/>
                <w:lang w:val="en-US" w:eastAsia="en-US"/>
              </w:rPr>
            </w:pPr>
            <w:r w:rsidRPr="00593942">
              <w:rPr>
                <w:rFonts w:ascii="Calibri" w:hAnsi="Calibri" w:cs="Arial"/>
                <w:sz w:val="20"/>
                <w:szCs w:val="20"/>
                <w:lang w:val="en-US" w:eastAsia="en-US"/>
              </w:rPr>
              <w:t>0</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Krátkodobé závazky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54 373</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32 830</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38 565</w:t>
            </w:r>
          </w:p>
        </w:tc>
      </w:tr>
      <w:tr w:rsidR="00593942" w:rsidRPr="00593942" w:rsidTr="00593942">
        <w:trPr>
          <w:trHeight w:val="276"/>
        </w:trPr>
        <w:tc>
          <w:tcPr>
            <w:tcW w:w="2669"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jc w:val="left"/>
              <w:rPr>
                <w:rFonts w:ascii="Calibri" w:hAnsi="Calibri" w:cs="Arial"/>
                <w:b/>
                <w:bCs/>
                <w:sz w:val="20"/>
                <w:szCs w:val="20"/>
                <w:lang w:val="en-US" w:eastAsia="en-US"/>
              </w:rPr>
            </w:pPr>
            <w:r w:rsidRPr="00593942">
              <w:rPr>
                <w:rFonts w:ascii="Calibri" w:hAnsi="Calibri" w:cs="Arial"/>
                <w:b/>
                <w:bCs/>
                <w:sz w:val="20"/>
                <w:szCs w:val="20"/>
                <w:lang w:val="en-US" w:eastAsia="en-US"/>
              </w:rPr>
              <w:t>Cizí zdroje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199 727</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235 076</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83500">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2</w:t>
            </w:r>
            <w:r w:rsidR="00583500">
              <w:rPr>
                <w:rFonts w:ascii="Calibri" w:hAnsi="Calibri" w:cs="Arial"/>
                <w:b/>
                <w:bCs/>
                <w:sz w:val="20"/>
                <w:szCs w:val="20"/>
                <w:lang w:val="en-US" w:eastAsia="en-US"/>
              </w:rPr>
              <w:t>39 746</w:t>
            </w:r>
          </w:p>
        </w:tc>
      </w:tr>
      <w:tr w:rsidR="00593942" w:rsidRPr="00593942" w:rsidTr="00593942">
        <w:trPr>
          <w:trHeight w:val="300"/>
        </w:trPr>
        <w:tc>
          <w:tcPr>
            <w:tcW w:w="2669" w:type="pct"/>
            <w:tcBorders>
              <w:top w:val="nil"/>
              <w:left w:val="nil"/>
              <w:bottom w:val="single" w:sz="4" w:space="0" w:color="9C9D9F"/>
              <w:right w:val="nil"/>
            </w:tcBorders>
            <w:shd w:val="clear" w:color="auto" w:fill="auto"/>
            <w:noWrap/>
            <w:vAlign w:val="bottom"/>
            <w:hideMark/>
          </w:tcPr>
          <w:p w:rsidR="00593942" w:rsidRPr="007D00E7" w:rsidRDefault="00593942" w:rsidP="00593942">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Vlastní kapitál a cizí zdroje celkem</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359 203</w:t>
            </w:r>
          </w:p>
        </w:tc>
        <w:tc>
          <w:tcPr>
            <w:tcW w:w="775"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391 788</w:t>
            </w:r>
          </w:p>
        </w:tc>
        <w:tc>
          <w:tcPr>
            <w:tcW w:w="778" w:type="pct"/>
            <w:tcBorders>
              <w:top w:val="nil"/>
              <w:left w:val="nil"/>
              <w:bottom w:val="single" w:sz="4" w:space="0" w:color="9C9D9F"/>
              <w:right w:val="nil"/>
            </w:tcBorders>
            <w:shd w:val="clear" w:color="auto" w:fill="auto"/>
            <w:noWrap/>
            <w:vAlign w:val="bottom"/>
            <w:hideMark/>
          </w:tcPr>
          <w:p w:rsidR="00593942" w:rsidRPr="00593942" w:rsidRDefault="00593942" w:rsidP="00593942">
            <w:pPr>
              <w:spacing w:before="0" w:beforeAutospacing="0" w:after="0" w:afterAutospacing="0"/>
              <w:ind w:firstLineChars="100" w:firstLine="201"/>
              <w:jc w:val="right"/>
              <w:rPr>
                <w:rFonts w:ascii="Calibri" w:hAnsi="Calibri" w:cs="Arial"/>
                <w:b/>
                <w:bCs/>
                <w:sz w:val="20"/>
                <w:szCs w:val="20"/>
                <w:lang w:val="en-US" w:eastAsia="en-US"/>
              </w:rPr>
            </w:pPr>
            <w:r w:rsidRPr="00593942">
              <w:rPr>
                <w:rFonts w:ascii="Calibri" w:hAnsi="Calibri" w:cs="Arial"/>
                <w:b/>
                <w:bCs/>
                <w:sz w:val="20"/>
                <w:szCs w:val="20"/>
                <w:lang w:val="en-US" w:eastAsia="en-US"/>
              </w:rPr>
              <w:t>385 449</w:t>
            </w:r>
          </w:p>
        </w:tc>
      </w:tr>
    </w:tbl>
    <w:p w:rsidR="00CC1601" w:rsidRPr="007A3749" w:rsidRDefault="00CC1601" w:rsidP="007A3749"/>
    <w:p w:rsidR="00CC1601" w:rsidRPr="007A3749" w:rsidRDefault="00234327" w:rsidP="00396F0C">
      <w:pPr>
        <w:pStyle w:val="Heading2"/>
      </w:pPr>
      <w:bookmarkStart w:id="96" w:name="_Toc269111145"/>
      <w:bookmarkStart w:id="97" w:name="_Toc269118418"/>
      <w:bookmarkStart w:id="98" w:name="_Toc269139336"/>
      <w:bookmarkStart w:id="99" w:name="_Toc269295562"/>
      <w:bookmarkStart w:id="100" w:name="_Toc269907501"/>
      <w:bookmarkStart w:id="101" w:name="_Toc458586529"/>
      <w:bookmarkEnd w:id="96"/>
      <w:bookmarkEnd w:id="97"/>
      <w:bookmarkEnd w:id="98"/>
      <w:r w:rsidRPr="00234327">
        <w:lastRenderedPageBreak/>
        <w:t>Konsolidovaný přehled o peněžních tocích ve zkrácené podobě</w:t>
      </w:r>
      <w:bookmarkEnd w:id="99"/>
      <w:bookmarkEnd w:id="100"/>
      <w:bookmarkEnd w:id="101"/>
    </w:p>
    <w:tbl>
      <w:tblPr>
        <w:tblW w:w="5000" w:type="pct"/>
        <w:tblLook w:val="04A0" w:firstRow="1" w:lastRow="0" w:firstColumn="1" w:lastColumn="0" w:noHBand="0" w:noVBand="1"/>
      </w:tblPr>
      <w:tblGrid>
        <w:gridCol w:w="5724"/>
        <w:gridCol w:w="1783"/>
        <w:gridCol w:w="1781"/>
      </w:tblGrid>
      <w:tr w:rsidR="00843428" w:rsidRPr="00843428" w:rsidTr="00843428">
        <w:trPr>
          <w:trHeight w:val="276"/>
        </w:trPr>
        <w:tc>
          <w:tcPr>
            <w:tcW w:w="3081"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left"/>
              <w:rPr>
                <w:rFonts w:ascii="Calibri" w:hAnsi="Calibri" w:cs="Arial"/>
                <w:b/>
                <w:bCs/>
                <w:color w:val="FFFFFF"/>
                <w:sz w:val="20"/>
                <w:szCs w:val="20"/>
                <w:lang w:val="en-US" w:eastAsia="en-US"/>
              </w:rPr>
            </w:pPr>
            <w:r w:rsidRPr="00843428">
              <w:rPr>
                <w:rFonts w:ascii="Calibri" w:hAnsi="Calibri" w:cs="Arial"/>
                <w:b/>
                <w:bCs/>
                <w:color w:val="FFFFFF"/>
                <w:sz w:val="20"/>
                <w:szCs w:val="20"/>
                <w:lang w:val="en-US" w:eastAsia="en-US"/>
              </w:rPr>
              <w:t>v tis. EUR</w:t>
            </w:r>
          </w:p>
        </w:tc>
        <w:tc>
          <w:tcPr>
            <w:tcW w:w="960"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center"/>
              <w:rPr>
                <w:rFonts w:ascii="Calibri" w:hAnsi="Calibri" w:cs="Arial"/>
                <w:b/>
                <w:bCs/>
                <w:color w:val="FFFFFF"/>
                <w:sz w:val="20"/>
                <w:szCs w:val="20"/>
                <w:lang w:val="en-US" w:eastAsia="en-US"/>
              </w:rPr>
            </w:pPr>
            <w:r w:rsidRPr="00843428">
              <w:rPr>
                <w:rFonts w:ascii="Calibri" w:hAnsi="Calibri" w:cs="Arial"/>
                <w:b/>
                <w:bCs/>
                <w:color w:val="FFFFFF"/>
                <w:sz w:val="20"/>
                <w:szCs w:val="20"/>
                <w:lang w:val="en-US" w:eastAsia="en-US"/>
              </w:rPr>
              <w:t>2015</w:t>
            </w:r>
          </w:p>
        </w:tc>
        <w:tc>
          <w:tcPr>
            <w:tcW w:w="960"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center"/>
              <w:rPr>
                <w:rFonts w:ascii="Calibri" w:hAnsi="Calibri" w:cs="Arial"/>
                <w:b/>
                <w:bCs/>
                <w:color w:val="FFFFFF"/>
                <w:sz w:val="20"/>
                <w:szCs w:val="20"/>
                <w:lang w:val="en-US" w:eastAsia="en-US"/>
              </w:rPr>
            </w:pPr>
            <w:r w:rsidRPr="00843428">
              <w:rPr>
                <w:rFonts w:ascii="Calibri" w:hAnsi="Calibri" w:cs="Arial"/>
                <w:b/>
                <w:bCs/>
                <w:color w:val="FFFFFF"/>
                <w:sz w:val="20"/>
                <w:szCs w:val="20"/>
                <w:lang w:val="en-US" w:eastAsia="en-US"/>
              </w:rPr>
              <w:t>2016</w:t>
            </w:r>
          </w:p>
        </w:tc>
      </w:tr>
      <w:tr w:rsidR="00843428" w:rsidRPr="00843428" w:rsidTr="00843428">
        <w:trPr>
          <w:trHeight w:val="276"/>
        </w:trPr>
        <w:tc>
          <w:tcPr>
            <w:tcW w:w="3081"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left"/>
              <w:rPr>
                <w:rFonts w:ascii="Calibri" w:hAnsi="Calibri" w:cs="Arial"/>
                <w:color w:val="FFFFFF"/>
                <w:sz w:val="20"/>
                <w:szCs w:val="20"/>
                <w:lang w:val="en-US" w:eastAsia="en-US"/>
              </w:rPr>
            </w:pPr>
            <w:r w:rsidRPr="00843428">
              <w:rPr>
                <w:rFonts w:ascii="Calibri" w:hAnsi="Calibri" w:cs="Arial"/>
                <w:color w:val="FFFFFF"/>
                <w:sz w:val="20"/>
                <w:szCs w:val="20"/>
                <w:lang w:val="en-US" w:eastAsia="en-US"/>
              </w:rPr>
              <w:t> </w:t>
            </w:r>
          </w:p>
        </w:tc>
        <w:tc>
          <w:tcPr>
            <w:tcW w:w="960"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center"/>
              <w:rPr>
                <w:rFonts w:ascii="Calibri" w:hAnsi="Calibri" w:cs="Arial"/>
                <w:color w:val="FFFFFF"/>
                <w:sz w:val="20"/>
                <w:szCs w:val="20"/>
                <w:lang w:val="en-US" w:eastAsia="en-US"/>
              </w:rPr>
            </w:pPr>
            <w:r w:rsidRPr="00843428">
              <w:rPr>
                <w:rFonts w:ascii="Calibri" w:hAnsi="Calibri" w:cs="Arial"/>
                <w:color w:val="FFFFFF"/>
                <w:sz w:val="20"/>
                <w:szCs w:val="20"/>
                <w:lang w:val="en-US" w:eastAsia="en-US"/>
              </w:rPr>
              <w:t>(neauditované)</w:t>
            </w:r>
          </w:p>
        </w:tc>
        <w:tc>
          <w:tcPr>
            <w:tcW w:w="960" w:type="pct"/>
            <w:tcBorders>
              <w:top w:val="nil"/>
              <w:left w:val="nil"/>
              <w:bottom w:val="nil"/>
              <w:right w:val="nil"/>
            </w:tcBorders>
            <w:shd w:val="clear" w:color="000000" w:fill="E2001C"/>
            <w:noWrap/>
            <w:vAlign w:val="bottom"/>
            <w:hideMark/>
          </w:tcPr>
          <w:p w:rsidR="00843428" w:rsidRPr="00843428" w:rsidRDefault="00843428" w:rsidP="00843428">
            <w:pPr>
              <w:spacing w:before="0" w:beforeAutospacing="0" w:after="0" w:afterAutospacing="0"/>
              <w:jc w:val="center"/>
              <w:rPr>
                <w:rFonts w:ascii="Calibri" w:hAnsi="Calibri" w:cs="Arial"/>
                <w:color w:val="FFFFFF"/>
                <w:sz w:val="20"/>
                <w:szCs w:val="20"/>
                <w:lang w:val="en-US" w:eastAsia="en-US"/>
              </w:rPr>
            </w:pPr>
            <w:r w:rsidRPr="00843428">
              <w:rPr>
                <w:rFonts w:ascii="Calibri" w:hAnsi="Calibri" w:cs="Arial"/>
                <w:color w:val="FFFFFF"/>
                <w:sz w:val="20"/>
                <w:szCs w:val="20"/>
                <w:lang w:val="en-US" w:eastAsia="en-US"/>
              </w:rPr>
              <w:t>(neauditované)</w:t>
            </w:r>
          </w:p>
        </w:tc>
      </w:tr>
      <w:tr w:rsidR="00843428" w:rsidRPr="00843428" w:rsidTr="00843428">
        <w:trPr>
          <w:trHeight w:val="135"/>
        </w:trPr>
        <w:tc>
          <w:tcPr>
            <w:tcW w:w="3081"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jc w:val="left"/>
              <w:rPr>
                <w:rFonts w:ascii="Calibri" w:hAnsi="Calibri" w:cs="Arial"/>
                <w:color w:val="000000"/>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color w:val="000000"/>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color w:val="000000"/>
                <w:sz w:val="20"/>
                <w:szCs w:val="20"/>
                <w:lang w:val="en-US" w:eastAsia="en-US"/>
              </w:rPr>
            </w:pP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b/>
                <w:bCs/>
                <w:sz w:val="20"/>
                <w:szCs w:val="20"/>
                <w:lang w:val="en-US" w:eastAsia="en-US"/>
              </w:rPr>
            </w:pPr>
            <w:r w:rsidRPr="00843428">
              <w:rPr>
                <w:rFonts w:ascii="Calibri" w:hAnsi="Calibri" w:cs="Arial"/>
                <w:b/>
                <w:bCs/>
                <w:sz w:val="20"/>
                <w:szCs w:val="20"/>
                <w:lang w:val="en-US" w:eastAsia="en-US"/>
              </w:rPr>
              <w:t>Zisk před zdaněním</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18 289</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8 602</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nil"/>
              <w:right w:val="nil"/>
            </w:tcBorders>
            <w:shd w:val="clear" w:color="000000" w:fill="9C9D9F"/>
            <w:vAlign w:val="bottom"/>
            <w:hideMark/>
          </w:tcPr>
          <w:p w:rsidR="00843428" w:rsidRPr="00843428" w:rsidRDefault="00843428" w:rsidP="00843428">
            <w:pPr>
              <w:spacing w:before="0" w:beforeAutospacing="0" w:after="0" w:afterAutospacing="0"/>
              <w:jc w:val="left"/>
              <w:rPr>
                <w:rFonts w:ascii="Calibri" w:hAnsi="Calibri" w:cs="Arial"/>
                <w:b/>
                <w:bCs/>
                <w:sz w:val="20"/>
                <w:szCs w:val="20"/>
                <w:lang w:val="en-US" w:eastAsia="en-US"/>
              </w:rPr>
            </w:pPr>
            <w:r w:rsidRPr="00843428">
              <w:rPr>
                <w:rFonts w:ascii="Calibri" w:hAnsi="Calibri" w:cs="Arial"/>
                <w:b/>
                <w:bCs/>
                <w:sz w:val="20"/>
                <w:szCs w:val="20"/>
                <w:lang w:val="en-US" w:eastAsia="en-US"/>
              </w:rPr>
              <w:t>Úpravy o:</w:t>
            </w:r>
          </w:p>
        </w:tc>
        <w:tc>
          <w:tcPr>
            <w:tcW w:w="960" w:type="pct"/>
            <w:tcBorders>
              <w:top w:val="nil"/>
              <w:left w:val="nil"/>
              <w:bottom w:val="nil"/>
              <w:right w:val="nil"/>
            </w:tcBorders>
            <w:shd w:val="clear" w:color="000000" w:fill="9C9D9F"/>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 </w:t>
            </w:r>
          </w:p>
        </w:tc>
        <w:tc>
          <w:tcPr>
            <w:tcW w:w="960" w:type="pct"/>
            <w:tcBorders>
              <w:top w:val="nil"/>
              <w:left w:val="nil"/>
              <w:bottom w:val="nil"/>
              <w:right w:val="nil"/>
            </w:tcBorders>
            <w:shd w:val="clear" w:color="000000" w:fill="9C9D9F"/>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 </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Odpisy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7 936</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8 107</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Kursové změny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-5 777</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-1 615</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Úrokové náklady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3 532</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4 196</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Ostatní změny ve vlastním kapitálu</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722</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-3 101</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Ostatní finanční výnosy/(náklady)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274</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-499</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nil"/>
              <w:right w:val="nil"/>
            </w:tcBorders>
            <w:shd w:val="clear" w:color="000000" w:fill="9C9D9F"/>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Peněžní toky z provozní činnosti</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eastAsia="en-US"/>
              </w:rPr>
            </w:pPr>
            <w:r w:rsidRPr="007D00E7">
              <w:rPr>
                <w:rFonts w:ascii="Calibri" w:hAnsi="Calibri" w:cs="Arial"/>
                <w:b/>
                <w:bCs/>
                <w:sz w:val="20"/>
                <w:szCs w:val="20"/>
                <w:lang w:eastAsia="en-US"/>
              </w:rPr>
              <w:t> </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eastAsia="en-US"/>
              </w:rPr>
            </w:pPr>
            <w:r w:rsidRPr="007D00E7">
              <w:rPr>
                <w:rFonts w:ascii="Calibri" w:hAnsi="Calibri" w:cs="Arial"/>
                <w:b/>
                <w:bCs/>
                <w:sz w:val="20"/>
                <w:szCs w:val="20"/>
                <w:lang w:eastAsia="en-US"/>
              </w:rPr>
              <w:t> </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Pokles/(růst) stavu zásob</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4 858</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8 788</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Pokles/(růst) pohledávek</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-1 277</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1 957</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Růst/(pokles) závazků</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-21 973</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2 784</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Zaplacená daň z příjmů</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-319</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-1 769</w:t>
            </w:r>
          </w:p>
        </w:tc>
      </w:tr>
      <w:tr w:rsidR="00843428" w:rsidRPr="00843428" w:rsidTr="00843428">
        <w:trPr>
          <w:trHeight w:val="315"/>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Čisté peněžní toky z provozní činnosti</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6 265</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27 449</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nil"/>
              <w:right w:val="nil"/>
            </w:tcBorders>
            <w:shd w:val="clear" w:color="000000" w:fill="9C9D9F"/>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Peněžní toky z investiční činnosti</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eastAsia="en-US"/>
              </w:rPr>
            </w:pPr>
            <w:r w:rsidRPr="007D00E7">
              <w:rPr>
                <w:rFonts w:ascii="Calibri" w:hAnsi="Calibri" w:cs="Arial"/>
                <w:b/>
                <w:bCs/>
                <w:sz w:val="20"/>
                <w:szCs w:val="20"/>
                <w:lang w:eastAsia="en-US"/>
              </w:rPr>
              <w:t> </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eastAsia="en-US"/>
              </w:rPr>
            </w:pPr>
            <w:r w:rsidRPr="007D00E7">
              <w:rPr>
                <w:rFonts w:ascii="Calibri" w:hAnsi="Calibri" w:cs="Arial"/>
                <w:b/>
                <w:bCs/>
                <w:sz w:val="20"/>
                <w:szCs w:val="20"/>
                <w:lang w:eastAsia="en-US"/>
              </w:rPr>
              <w:t> </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Pořízení dlouhodobého hmotného a nehmotného majetku</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-1 540</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-6 447</w:t>
            </w:r>
          </w:p>
        </w:tc>
      </w:tr>
      <w:tr w:rsidR="00843428" w:rsidRPr="00843428" w:rsidTr="00843428">
        <w:trPr>
          <w:trHeight w:val="300"/>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Čisté peněžní toky z investiční činnosti</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-1 540</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-6 447</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nil"/>
              <w:right w:val="nil"/>
            </w:tcBorders>
            <w:shd w:val="clear" w:color="000000" w:fill="9C9D9F"/>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val="pl-PL" w:eastAsia="en-US"/>
              </w:rPr>
            </w:pPr>
            <w:r w:rsidRPr="007D00E7">
              <w:rPr>
                <w:rFonts w:ascii="Calibri" w:hAnsi="Calibri" w:cs="Arial"/>
                <w:b/>
                <w:bCs/>
                <w:sz w:val="20"/>
                <w:szCs w:val="20"/>
                <w:lang w:val="pl-PL" w:eastAsia="en-US"/>
              </w:rPr>
              <w:t>Peněžní toky z finanční činnosti</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c>
          <w:tcPr>
            <w:tcW w:w="960" w:type="pct"/>
            <w:tcBorders>
              <w:top w:val="nil"/>
              <w:left w:val="nil"/>
              <w:bottom w:val="nil"/>
              <w:right w:val="nil"/>
            </w:tcBorders>
            <w:shd w:val="clear" w:color="000000" w:fill="9C9D9F"/>
            <w:noWrap/>
            <w:vAlign w:val="bottom"/>
            <w:hideMark/>
          </w:tcPr>
          <w:p w:rsidR="00843428" w:rsidRPr="007D00E7" w:rsidRDefault="00843428" w:rsidP="00843428">
            <w:pPr>
              <w:spacing w:before="0" w:beforeAutospacing="0" w:after="0" w:afterAutospacing="0"/>
              <w:ind w:firstLineChars="100" w:firstLine="201"/>
              <w:jc w:val="right"/>
              <w:rPr>
                <w:rFonts w:ascii="Calibri" w:hAnsi="Calibri" w:cs="Arial"/>
                <w:b/>
                <w:bCs/>
                <w:sz w:val="20"/>
                <w:szCs w:val="20"/>
                <w:lang w:val="pl-PL" w:eastAsia="en-US"/>
              </w:rPr>
            </w:pPr>
            <w:r w:rsidRPr="007D00E7">
              <w:rPr>
                <w:rFonts w:ascii="Calibri" w:hAnsi="Calibri" w:cs="Arial"/>
                <w:b/>
                <w:bCs/>
                <w:sz w:val="20"/>
                <w:szCs w:val="20"/>
                <w:lang w:val="pl-PL" w:eastAsia="en-US"/>
              </w:rPr>
              <w:t> </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Růst/(pokles) bankovních úvěrů</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-2 445</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-7 106</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Růst/(pokles) ostatních dlouhodobých závazků</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1 647</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-490</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val="pl-PL" w:eastAsia="en-US"/>
              </w:rPr>
            </w:pPr>
            <w:r w:rsidRPr="007D00E7">
              <w:rPr>
                <w:rFonts w:ascii="Calibri" w:hAnsi="Calibri" w:cs="Arial"/>
                <w:sz w:val="20"/>
                <w:szCs w:val="20"/>
                <w:lang w:val="pl-PL" w:eastAsia="en-US"/>
              </w:rPr>
              <w:t>Nabytí vlastních akcií a ostatní změny v kapitálu</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0</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-875</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Distribuce dividendy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0</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0</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Zaplacené úroky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-3 388</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-1 449</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r w:rsidRPr="00843428">
              <w:rPr>
                <w:rFonts w:ascii="Calibri" w:hAnsi="Calibri" w:cs="Arial"/>
                <w:sz w:val="20"/>
                <w:szCs w:val="20"/>
                <w:lang w:val="en-US" w:eastAsia="en-US"/>
              </w:rPr>
              <w:t>Ostatní finanční výnosy/(náklady)</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-274</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499</w:t>
            </w:r>
          </w:p>
        </w:tc>
      </w:tr>
      <w:tr w:rsidR="00843428" w:rsidRPr="00843428" w:rsidTr="00843428">
        <w:trPr>
          <w:trHeight w:val="315"/>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Čisté peněžní toky z finanční činnosti</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-4 460</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-9 421</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Peněžní prostředky a peněžní ekvivalenty na počátku účetního období</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8 962</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28 082</w:t>
            </w: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sz w:val="20"/>
                <w:szCs w:val="20"/>
                <w:lang w:eastAsia="en-US"/>
              </w:rPr>
            </w:pPr>
            <w:r w:rsidRPr="007D00E7">
              <w:rPr>
                <w:rFonts w:ascii="Calibri" w:hAnsi="Calibri" w:cs="Arial"/>
                <w:sz w:val="20"/>
                <w:szCs w:val="20"/>
                <w:lang w:eastAsia="en-US"/>
              </w:rPr>
              <w:t>Čistý přírůstek (úbytek) peněžních prostředků a peněžních ekvivalentů</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265</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r w:rsidRPr="00843428">
              <w:rPr>
                <w:rFonts w:ascii="Calibri" w:hAnsi="Calibri" w:cs="Arial"/>
                <w:sz w:val="20"/>
                <w:szCs w:val="20"/>
                <w:lang w:val="en-US" w:eastAsia="en-US"/>
              </w:rPr>
              <w:t>11 581</w:t>
            </w:r>
          </w:p>
        </w:tc>
      </w:tr>
      <w:tr w:rsidR="00843428" w:rsidRPr="00843428" w:rsidTr="00843428">
        <w:trPr>
          <w:trHeight w:val="135"/>
        </w:trPr>
        <w:tc>
          <w:tcPr>
            <w:tcW w:w="3081" w:type="pct"/>
            <w:tcBorders>
              <w:top w:val="nil"/>
              <w:left w:val="nil"/>
              <w:bottom w:val="nil"/>
              <w:right w:val="nil"/>
            </w:tcBorders>
            <w:shd w:val="clear" w:color="auto" w:fill="auto"/>
            <w:vAlign w:val="bottom"/>
            <w:hideMark/>
          </w:tcPr>
          <w:p w:rsidR="00843428" w:rsidRPr="00843428" w:rsidRDefault="00843428" w:rsidP="00843428">
            <w:pPr>
              <w:spacing w:before="0" w:beforeAutospacing="0" w:after="0" w:afterAutospacing="0"/>
              <w:jc w:val="lef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c>
          <w:tcPr>
            <w:tcW w:w="960" w:type="pct"/>
            <w:tcBorders>
              <w:top w:val="nil"/>
              <w:left w:val="nil"/>
              <w:bottom w:val="nil"/>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0"/>
              <w:jc w:val="right"/>
              <w:rPr>
                <w:rFonts w:ascii="Calibri" w:hAnsi="Calibri" w:cs="Arial"/>
                <w:sz w:val="20"/>
                <w:szCs w:val="20"/>
                <w:lang w:val="en-US" w:eastAsia="en-US"/>
              </w:rPr>
            </w:pPr>
          </w:p>
        </w:tc>
      </w:tr>
      <w:tr w:rsidR="00843428" w:rsidRPr="00843428" w:rsidTr="00843428">
        <w:trPr>
          <w:trHeight w:val="276"/>
        </w:trPr>
        <w:tc>
          <w:tcPr>
            <w:tcW w:w="3081" w:type="pct"/>
            <w:tcBorders>
              <w:top w:val="nil"/>
              <w:left w:val="nil"/>
              <w:bottom w:val="single" w:sz="4" w:space="0" w:color="9C9D9F"/>
              <w:right w:val="nil"/>
            </w:tcBorders>
            <w:shd w:val="clear" w:color="auto" w:fill="auto"/>
            <w:vAlign w:val="bottom"/>
            <w:hideMark/>
          </w:tcPr>
          <w:p w:rsidR="00843428" w:rsidRPr="007D00E7" w:rsidRDefault="00843428" w:rsidP="00843428">
            <w:pPr>
              <w:spacing w:before="0" w:beforeAutospacing="0" w:after="0" w:afterAutospacing="0"/>
              <w:jc w:val="left"/>
              <w:rPr>
                <w:rFonts w:ascii="Calibri" w:hAnsi="Calibri" w:cs="Arial"/>
                <w:b/>
                <w:bCs/>
                <w:sz w:val="20"/>
                <w:szCs w:val="20"/>
                <w:lang w:eastAsia="en-US"/>
              </w:rPr>
            </w:pPr>
            <w:r w:rsidRPr="007D00E7">
              <w:rPr>
                <w:rFonts w:ascii="Calibri" w:hAnsi="Calibri" w:cs="Arial"/>
                <w:b/>
                <w:bCs/>
                <w:sz w:val="20"/>
                <w:szCs w:val="20"/>
                <w:lang w:eastAsia="en-US"/>
              </w:rPr>
              <w:t>Peněžní prostředky a peněžní ekvivalenty na konci účetního období</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9 227</w:t>
            </w:r>
          </w:p>
        </w:tc>
        <w:tc>
          <w:tcPr>
            <w:tcW w:w="960" w:type="pct"/>
            <w:tcBorders>
              <w:top w:val="nil"/>
              <w:left w:val="nil"/>
              <w:bottom w:val="single" w:sz="4" w:space="0" w:color="9C9D9F"/>
              <w:right w:val="nil"/>
            </w:tcBorders>
            <w:shd w:val="clear" w:color="auto" w:fill="auto"/>
            <w:noWrap/>
            <w:vAlign w:val="bottom"/>
            <w:hideMark/>
          </w:tcPr>
          <w:p w:rsidR="00843428" w:rsidRPr="00843428" w:rsidRDefault="00843428" w:rsidP="00843428">
            <w:pPr>
              <w:spacing w:before="0" w:beforeAutospacing="0" w:after="0" w:afterAutospacing="0"/>
              <w:ind w:firstLineChars="100" w:firstLine="201"/>
              <w:jc w:val="right"/>
              <w:rPr>
                <w:rFonts w:ascii="Calibri" w:hAnsi="Calibri" w:cs="Arial"/>
                <w:b/>
                <w:bCs/>
                <w:sz w:val="20"/>
                <w:szCs w:val="20"/>
                <w:lang w:val="en-US" w:eastAsia="en-US"/>
              </w:rPr>
            </w:pPr>
            <w:r w:rsidRPr="00843428">
              <w:rPr>
                <w:rFonts w:ascii="Calibri" w:hAnsi="Calibri" w:cs="Arial"/>
                <w:b/>
                <w:bCs/>
                <w:sz w:val="20"/>
                <w:szCs w:val="20"/>
                <w:lang w:val="en-US" w:eastAsia="en-US"/>
              </w:rPr>
              <w:t>39 663</w:t>
            </w:r>
          </w:p>
        </w:tc>
      </w:tr>
    </w:tbl>
    <w:p w:rsidR="00CC1601" w:rsidRPr="007A3749" w:rsidRDefault="00CC1601" w:rsidP="007A3749"/>
    <w:p w:rsidR="00CC1601" w:rsidRPr="007A3749" w:rsidRDefault="00CC1601" w:rsidP="007A3749"/>
    <w:p w:rsidR="008A66C6" w:rsidRDefault="008A66C6">
      <w:pPr>
        <w:spacing w:before="0" w:beforeAutospacing="0" w:after="0" w:afterAutospacing="0"/>
        <w:jc w:val="left"/>
        <w:rPr>
          <w:b/>
          <w:bCs/>
          <w:kern w:val="32"/>
          <w:sz w:val="28"/>
          <w:szCs w:val="28"/>
        </w:rPr>
      </w:pPr>
      <w:bookmarkStart w:id="102" w:name="_Toc269295563"/>
      <w:bookmarkStart w:id="103" w:name="_Toc269907502"/>
      <w:r>
        <w:br w:type="page"/>
      </w:r>
    </w:p>
    <w:p w:rsidR="00CC1601" w:rsidRPr="007A3749" w:rsidRDefault="00234327" w:rsidP="00396F0C">
      <w:pPr>
        <w:pStyle w:val="Heading2"/>
      </w:pPr>
      <w:bookmarkStart w:id="104" w:name="_Toc458586530"/>
      <w:r w:rsidRPr="00234327">
        <w:lastRenderedPageBreak/>
        <w:t>Konsolidovaný přehled o změnách vlastního kapitálu ve zkrácené podobě</w:t>
      </w:r>
      <w:bookmarkEnd w:id="102"/>
      <w:bookmarkEnd w:id="103"/>
      <w:bookmarkEnd w:id="104"/>
    </w:p>
    <w:tbl>
      <w:tblPr>
        <w:tblW w:w="5373" w:type="pct"/>
        <w:tblInd w:w="-144" w:type="dxa"/>
        <w:tblLayout w:type="fixed"/>
        <w:tblCellMar>
          <w:left w:w="0" w:type="dxa"/>
          <w:right w:w="0" w:type="dxa"/>
        </w:tblCellMar>
        <w:tblLook w:val="0000" w:firstRow="0" w:lastRow="0" w:firstColumn="0" w:lastColumn="0" w:noHBand="0" w:noVBand="0"/>
      </w:tblPr>
      <w:tblGrid>
        <w:gridCol w:w="1767"/>
        <w:gridCol w:w="1174"/>
        <w:gridCol w:w="1172"/>
        <w:gridCol w:w="1082"/>
        <w:gridCol w:w="1082"/>
        <w:gridCol w:w="1082"/>
        <w:gridCol w:w="1203"/>
        <w:gridCol w:w="1187"/>
      </w:tblGrid>
      <w:tr w:rsidR="00037DF3" w:rsidRPr="005D16E5" w:rsidTr="00037DF3">
        <w:trPr>
          <w:trHeight w:val="255"/>
        </w:trPr>
        <w:tc>
          <w:tcPr>
            <w:tcW w:w="906" w:type="pct"/>
            <w:shd w:val="clear" w:color="auto" w:fill="E2001C"/>
            <w:noWrap/>
            <w:vAlign w:val="center"/>
          </w:tcPr>
          <w:p w:rsidR="00037DF3" w:rsidRPr="005D16E5" w:rsidRDefault="001B637E" w:rsidP="001B637E">
            <w:pPr>
              <w:ind w:right="144"/>
              <w:jc w:val="center"/>
              <w:rPr>
                <w:rFonts w:cs="Arial"/>
                <w:b/>
                <w:color w:val="FFFFFF" w:themeColor="background1"/>
                <w:sz w:val="20"/>
                <w:szCs w:val="20"/>
              </w:rPr>
            </w:pPr>
            <w:r w:rsidRPr="00843428">
              <w:rPr>
                <w:rFonts w:ascii="Calibri" w:hAnsi="Calibri" w:cs="Arial"/>
                <w:b/>
                <w:bCs/>
                <w:color w:val="FFFFFF"/>
                <w:sz w:val="20"/>
                <w:szCs w:val="20"/>
                <w:lang w:val="en-US" w:eastAsia="en-US"/>
              </w:rPr>
              <w:t>v tis. EUR</w:t>
            </w:r>
          </w:p>
        </w:tc>
        <w:tc>
          <w:tcPr>
            <w:tcW w:w="602" w:type="pct"/>
            <w:shd w:val="clear" w:color="auto" w:fill="E2001C"/>
            <w:noWrap/>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Základní kapitál</w:t>
            </w:r>
          </w:p>
        </w:tc>
        <w:tc>
          <w:tcPr>
            <w:tcW w:w="601"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Zákonný rezervní fond</w:t>
            </w:r>
          </w:p>
        </w:tc>
        <w:tc>
          <w:tcPr>
            <w:tcW w:w="555" w:type="pct"/>
            <w:shd w:val="clear" w:color="auto" w:fill="E2001C"/>
            <w:vAlign w:val="center"/>
          </w:tcPr>
          <w:p w:rsidR="00037DF3" w:rsidRPr="005D16E5" w:rsidRDefault="00037DF3" w:rsidP="00656ADD">
            <w:pPr>
              <w:jc w:val="center"/>
              <w:rPr>
                <w:rFonts w:cs="Arial"/>
                <w:b/>
                <w:color w:val="FFFFFF" w:themeColor="background1"/>
                <w:sz w:val="20"/>
                <w:szCs w:val="20"/>
              </w:rPr>
            </w:pPr>
            <w:r>
              <w:rPr>
                <w:rFonts w:cs="Arial"/>
                <w:b/>
                <w:color w:val="FFFFFF" w:themeColor="background1"/>
                <w:sz w:val="20"/>
                <w:szCs w:val="20"/>
              </w:rPr>
              <w:t>Vlastní</w:t>
            </w:r>
            <w:r w:rsidR="00656ADD">
              <w:rPr>
                <w:rFonts w:cs="Arial"/>
                <w:b/>
                <w:color w:val="FFFFFF" w:themeColor="background1"/>
                <w:sz w:val="20"/>
                <w:szCs w:val="20"/>
              </w:rPr>
              <w:t xml:space="preserve"> </w:t>
            </w:r>
            <w:r>
              <w:rPr>
                <w:rFonts w:cs="Arial"/>
                <w:b/>
                <w:color w:val="FFFFFF" w:themeColor="background1"/>
                <w:sz w:val="20"/>
                <w:szCs w:val="20"/>
              </w:rPr>
              <w:t>akcie</w:t>
            </w:r>
          </w:p>
        </w:tc>
        <w:tc>
          <w:tcPr>
            <w:tcW w:w="555"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Rozdíly z přepočtu</w:t>
            </w:r>
          </w:p>
        </w:tc>
        <w:tc>
          <w:tcPr>
            <w:tcW w:w="555" w:type="pct"/>
            <w:shd w:val="clear" w:color="auto" w:fill="E2001C"/>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Zajištění peněžních toků</w:t>
            </w:r>
          </w:p>
        </w:tc>
        <w:tc>
          <w:tcPr>
            <w:tcW w:w="617" w:type="pct"/>
            <w:shd w:val="clear" w:color="auto" w:fill="E2001C"/>
            <w:noWrap/>
            <w:vAlign w:val="center"/>
          </w:tcPr>
          <w:p w:rsidR="00037DF3" w:rsidRPr="005D16E5" w:rsidRDefault="00037DF3" w:rsidP="00037DF3">
            <w:pPr>
              <w:jc w:val="center"/>
              <w:rPr>
                <w:rFonts w:cs="Arial"/>
                <w:b/>
                <w:color w:val="FFFFFF" w:themeColor="background1"/>
                <w:sz w:val="20"/>
                <w:szCs w:val="20"/>
              </w:rPr>
            </w:pPr>
            <w:r w:rsidRPr="005D16E5">
              <w:rPr>
                <w:rFonts w:cs="Arial"/>
                <w:b/>
                <w:color w:val="FFFFFF" w:themeColor="background1"/>
                <w:sz w:val="20"/>
                <w:szCs w:val="20"/>
              </w:rPr>
              <w:t>Nerozdělený zisk</w:t>
            </w:r>
          </w:p>
        </w:tc>
        <w:tc>
          <w:tcPr>
            <w:tcW w:w="609" w:type="pct"/>
            <w:shd w:val="clear" w:color="auto" w:fill="E2001C"/>
            <w:vAlign w:val="center"/>
          </w:tcPr>
          <w:p w:rsidR="00037DF3" w:rsidRPr="005D16E5" w:rsidRDefault="00037DF3" w:rsidP="00037DF3">
            <w:pPr>
              <w:jc w:val="center"/>
              <w:rPr>
                <w:rFonts w:cs="Arial"/>
                <w:b/>
                <w:color w:val="FFFFFF" w:themeColor="background1"/>
                <w:sz w:val="20"/>
                <w:szCs w:val="20"/>
              </w:rPr>
            </w:pPr>
            <w:r>
              <w:rPr>
                <w:rFonts w:cs="Arial"/>
                <w:b/>
                <w:color w:val="FFFFFF" w:themeColor="background1"/>
                <w:sz w:val="20"/>
                <w:szCs w:val="20"/>
              </w:rPr>
              <w:t>Základní kapitál a rezervní fondy celkem</w:t>
            </w:r>
          </w:p>
        </w:tc>
      </w:tr>
      <w:tr w:rsidR="00037DF3" w:rsidRPr="005D16E5" w:rsidTr="00037DF3">
        <w:trPr>
          <w:trHeight w:val="20"/>
        </w:trPr>
        <w:tc>
          <w:tcPr>
            <w:tcW w:w="906" w:type="pct"/>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617"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vAlign w:val="center"/>
          </w:tcPr>
          <w:p w:rsidR="00037DF3" w:rsidRPr="005D16E5" w:rsidRDefault="00037DF3" w:rsidP="00037DF3">
            <w:pPr>
              <w:ind w:right="96"/>
              <w:jc w:val="right"/>
              <w:rPr>
                <w:rFonts w:cs="Arial"/>
                <w:b/>
                <w:bCs/>
                <w:color w:val="000000"/>
                <w:sz w:val="20"/>
                <w:szCs w:val="20"/>
              </w:rPr>
            </w:pPr>
          </w:p>
        </w:tc>
      </w:tr>
      <w:tr w:rsidR="00037DF3" w:rsidRPr="005D16E5" w:rsidTr="00037DF3">
        <w:trPr>
          <w:trHeight w:val="446"/>
        </w:trPr>
        <w:tc>
          <w:tcPr>
            <w:tcW w:w="906" w:type="pct"/>
            <w:shd w:val="clear" w:color="auto" w:fill="9C9D9F"/>
            <w:noWrap/>
            <w:vAlign w:val="center"/>
          </w:tcPr>
          <w:p w:rsidR="00037DF3" w:rsidRPr="005D16E5" w:rsidRDefault="00037DF3" w:rsidP="00037DF3">
            <w:pPr>
              <w:ind w:right="144"/>
              <w:jc w:val="right"/>
              <w:rPr>
                <w:rFonts w:cs="Arial"/>
                <w:color w:val="000000"/>
                <w:sz w:val="20"/>
                <w:szCs w:val="20"/>
              </w:rPr>
            </w:pPr>
            <w:r w:rsidRPr="005D16E5">
              <w:rPr>
                <w:rFonts w:cs="Arial"/>
                <w:b/>
                <w:bCs/>
                <w:color w:val="000000"/>
                <w:sz w:val="20"/>
                <w:szCs w:val="20"/>
              </w:rPr>
              <w:t>k 1. lednu 2015</w:t>
            </w:r>
          </w:p>
        </w:tc>
        <w:tc>
          <w:tcPr>
            <w:tcW w:w="602" w:type="pct"/>
            <w:shd w:val="clear" w:color="auto" w:fill="9C9D9F"/>
            <w:noWrap/>
            <w:vAlign w:val="center"/>
          </w:tcPr>
          <w:p w:rsidR="00037DF3" w:rsidRPr="005D16E5" w:rsidRDefault="00037DF3" w:rsidP="00037DF3">
            <w:pPr>
              <w:ind w:right="96"/>
              <w:jc w:val="right"/>
              <w:rPr>
                <w:b/>
                <w:color w:val="000000"/>
                <w:sz w:val="20"/>
                <w:szCs w:val="20"/>
              </w:rPr>
            </w:pPr>
            <w:r w:rsidRPr="005D16E5">
              <w:rPr>
                <w:b/>
                <w:color w:val="000000"/>
                <w:sz w:val="20"/>
                <w:szCs w:val="20"/>
              </w:rPr>
              <w:t xml:space="preserve">11 444 </w:t>
            </w:r>
          </w:p>
        </w:tc>
        <w:tc>
          <w:tcPr>
            <w:tcW w:w="601" w:type="pct"/>
            <w:shd w:val="clear" w:color="auto" w:fill="9C9D9F"/>
            <w:vAlign w:val="center"/>
          </w:tcPr>
          <w:p w:rsidR="00037DF3" w:rsidRPr="005D16E5" w:rsidRDefault="00037DF3" w:rsidP="00037DF3">
            <w:pPr>
              <w:ind w:right="96"/>
              <w:jc w:val="right"/>
              <w:rPr>
                <w:b/>
                <w:color w:val="000000"/>
                <w:sz w:val="20"/>
                <w:szCs w:val="20"/>
              </w:rPr>
            </w:pPr>
            <w:r w:rsidRPr="005D16E5">
              <w:rPr>
                <w:b/>
                <w:color w:val="000000"/>
                <w:sz w:val="20"/>
                <w:szCs w:val="20"/>
              </w:rPr>
              <w:t>9</w:t>
            </w:r>
            <w:r>
              <w:rPr>
                <w:b/>
                <w:color w:val="000000"/>
                <w:sz w:val="20"/>
                <w:szCs w:val="20"/>
              </w:rPr>
              <w:t> </w:t>
            </w:r>
            <w:r w:rsidRPr="005D16E5">
              <w:rPr>
                <w:b/>
                <w:color w:val="000000"/>
                <w:sz w:val="20"/>
                <w:szCs w:val="20"/>
              </w:rPr>
              <w:t>187</w:t>
            </w:r>
          </w:p>
        </w:tc>
        <w:tc>
          <w:tcPr>
            <w:tcW w:w="555" w:type="pct"/>
            <w:shd w:val="clear" w:color="auto" w:fill="9C9D9F"/>
            <w:vAlign w:val="center"/>
          </w:tcPr>
          <w:p w:rsidR="00037DF3" w:rsidRPr="005D16E5" w:rsidRDefault="00037DF3" w:rsidP="00037DF3">
            <w:pPr>
              <w:ind w:right="96"/>
              <w:jc w:val="right"/>
              <w:rPr>
                <w:b/>
                <w:color w:val="000000"/>
                <w:sz w:val="20"/>
                <w:szCs w:val="20"/>
              </w:rPr>
            </w:pPr>
            <w:r w:rsidRPr="005D16E5">
              <w:rPr>
                <w:b/>
                <w:color w:val="000000"/>
                <w:sz w:val="20"/>
                <w:szCs w:val="20"/>
              </w:rPr>
              <w:t>--</w:t>
            </w:r>
          </w:p>
        </w:tc>
        <w:tc>
          <w:tcPr>
            <w:tcW w:w="555" w:type="pct"/>
            <w:shd w:val="clear" w:color="auto" w:fill="9C9D9F"/>
            <w:vAlign w:val="center"/>
          </w:tcPr>
          <w:p w:rsidR="00037DF3" w:rsidRPr="005D16E5" w:rsidRDefault="00037DF3" w:rsidP="00037DF3">
            <w:pPr>
              <w:ind w:right="96"/>
              <w:jc w:val="right"/>
              <w:rPr>
                <w:b/>
                <w:color w:val="000000"/>
                <w:sz w:val="20"/>
                <w:szCs w:val="20"/>
              </w:rPr>
            </w:pPr>
            <w:r>
              <w:rPr>
                <w:b/>
                <w:color w:val="000000"/>
                <w:sz w:val="20"/>
                <w:szCs w:val="20"/>
              </w:rPr>
              <w:t>4 913</w:t>
            </w:r>
          </w:p>
        </w:tc>
        <w:tc>
          <w:tcPr>
            <w:tcW w:w="555" w:type="pct"/>
            <w:shd w:val="clear" w:color="auto" w:fill="9C9D9F"/>
            <w:vAlign w:val="center"/>
          </w:tcPr>
          <w:p w:rsidR="00037DF3" w:rsidRPr="005D16E5" w:rsidDel="002D1E65" w:rsidRDefault="00037DF3" w:rsidP="00037DF3">
            <w:pPr>
              <w:ind w:right="96"/>
              <w:jc w:val="right"/>
              <w:rPr>
                <w:b/>
                <w:color w:val="000000"/>
                <w:sz w:val="20"/>
                <w:szCs w:val="20"/>
              </w:rPr>
            </w:pPr>
            <w:r w:rsidRPr="005D16E5">
              <w:rPr>
                <w:b/>
                <w:color w:val="000000"/>
                <w:sz w:val="20"/>
                <w:szCs w:val="20"/>
              </w:rPr>
              <w:t>-1</w:t>
            </w:r>
            <w:r>
              <w:rPr>
                <w:b/>
                <w:color w:val="000000"/>
                <w:sz w:val="20"/>
                <w:szCs w:val="20"/>
              </w:rPr>
              <w:t> </w:t>
            </w:r>
            <w:r w:rsidRPr="005D16E5">
              <w:rPr>
                <w:b/>
                <w:color w:val="000000"/>
                <w:sz w:val="20"/>
                <w:szCs w:val="20"/>
              </w:rPr>
              <w:t>986</w:t>
            </w:r>
          </w:p>
        </w:tc>
        <w:tc>
          <w:tcPr>
            <w:tcW w:w="617" w:type="pct"/>
            <w:shd w:val="clear" w:color="auto" w:fill="9C9D9F"/>
            <w:noWrap/>
            <w:vAlign w:val="center"/>
          </w:tcPr>
          <w:p w:rsidR="00037DF3" w:rsidRPr="005D16E5" w:rsidRDefault="00037DF3" w:rsidP="00037DF3">
            <w:pPr>
              <w:ind w:right="96"/>
              <w:jc w:val="right"/>
              <w:rPr>
                <w:b/>
                <w:color w:val="000000"/>
                <w:sz w:val="20"/>
                <w:szCs w:val="20"/>
              </w:rPr>
            </w:pPr>
            <w:r w:rsidRPr="005D16E5">
              <w:rPr>
                <w:b/>
                <w:color w:val="000000"/>
                <w:sz w:val="20"/>
                <w:szCs w:val="20"/>
              </w:rPr>
              <w:t>127 141</w:t>
            </w:r>
          </w:p>
        </w:tc>
        <w:tc>
          <w:tcPr>
            <w:tcW w:w="609" w:type="pct"/>
            <w:shd w:val="clear" w:color="auto" w:fill="9C9D9F"/>
            <w:vAlign w:val="center"/>
          </w:tcPr>
          <w:p w:rsidR="00037DF3" w:rsidRPr="005D16E5" w:rsidRDefault="00037DF3" w:rsidP="00037DF3">
            <w:pPr>
              <w:ind w:right="94"/>
              <w:jc w:val="right"/>
              <w:rPr>
                <w:b/>
                <w:color w:val="000000"/>
                <w:sz w:val="20"/>
                <w:szCs w:val="20"/>
              </w:rPr>
            </w:pPr>
            <w:r w:rsidRPr="005D16E5">
              <w:rPr>
                <w:b/>
                <w:color w:val="000000"/>
                <w:sz w:val="20"/>
                <w:szCs w:val="20"/>
              </w:rPr>
              <w:t>15</w:t>
            </w:r>
            <w:r>
              <w:rPr>
                <w:b/>
                <w:color w:val="000000"/>
                <w:sz w:val="20"/>
                <w:szCs w:val="20"/>
              </w:rPr>
              <w:t>0</w:t>
            </w:r>
            <w:r w:rsidRPr="005D16E5">
              <w:rPr>
                <w:b/>
                <w:color w:val="000000"/>
                <w:sz w:val="20"/>
                <w:szCs w:val="20"/>
              </w:rPr>
              <w:t xml:space="preserve"> </w:t>
            </w:r>
            <w:r>
              <w:rPr>
                <w:b/>
                <w:color w:val="000000"/>
                <w:sz w:val="20"/>
                <w:szCs w:val="20"/>
              </w:rPr>
              <w:t>699</w:t>
            </w:r>
          </w:p>
        </w:tc>
      </w:tr>
      <w:tr w:rsidR="00037DF3" w:rsidRPr="005D16E5" w:rsidTr="00037DF3">
        <w:trPr>
          <w:trHeight w:val="427"/>
        </w:trPr>
        <w:tc>
          <w:tcPr>
            <w:tcW w:w="906" w:type="pct"/>
            <w:tcBorders>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Distribuce</w:t>
            </w:r>
          </w:p>
        </w:tc>
        <w:tc>
          <w:tcPr>
            <w:tcW w:w="602" w:type="pct"/>
            <w:tcBorders>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617" w:type="pct"/>
            <w:tcBorders>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Pr>
                <w:color w:val="000000"/>
                <w:sz w:val="20"/>
                <w:szCs w:val="20"/>
              </w:rPr>
              <w:t>-10 614</w:t>
            </w:r>
          </w:p>
        </w:tc>
        <w:tc>
          <w:tcPr>
            <w:tcW w:w="609" w:type="pct"/>
            <w:tcBorders>
              <w:bottom w:val="single" w:sz="4" w:space="0" w:color="9C9D9F"/>
            </w:tcBorders>
            <w:vAlign w:val="center"/>
          </w:tcPr>
          <w:p w:rsidR="00037DF3" w:rsidRPr="005D16E5" w:rsidRDefault="00037DF3" w:rsidP="00037DF3">
            <w:pPr>
              <w:ind w:right="94"/>
              <w:jc w:val="right"/>
              <w:rPr>
                <w:rFonts w:cs="Arial"/>
                <w:b/>
                <w:bCs/>
                <w:color w:val="000000"/>
                <w:sz w:val="20"/>
                <w:szCs w:val="20"/>
              </w:rPr>
            </w:pPr>
            <w:r>
              <w:rPr>
                <w:b/>
                <w:color w:val="000000"/>
                <w:sz w:val="20"/>
                <w:szCs w:val="20"/>
              </w:rPr>
              <w:t>-10 614</w:t>
            </w:r>
          </w:p>
        </w:tc>
      </w:tr>
      <w:tr w:rsidR="00037DF3" w:rsidRPr="005D16E5" w:rsidTr="00037DF3">
        <w:trPr>
          <w:trHeight w:hRule="exact" w:val="611"/>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Pr>
                <w:color w:val="000000"/>
                <w:sz w:val="20"/>
                <w:szCs w:val="20"/>
              </w:rPr>
              <w:t>2 342</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Cs/>
                <w:color w:val="000000"/>
                <w:sz w:val="20"/>
                <w:szCs w:val="20"/>
              </w:rPr>
            </w:pPr>
            <w:r>
              <w:rPr>
                <w:color w:val="000000"/>
                <w:sz w:val="20"/>
                <w:szCs w:val="20"/>
              </w:rPr>
              <w:t>722</w:t>
            </w:r>
          </w:p>
        </w:tc>
        <w:tc>
          <w:tcPr>
            <w:tcW w:w="617"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9" w:type="pct"/>
            <w:tcBorders>
              <w:top w:val="single" w:sz="4" w:space="0" w:color="9C9D9F"/>
              <w:bottom w:val="single" w:sz="4" w:space="0" w:color="9C9D9F"/>
            </w:tcBorders>
            <w:vAlign w:val="center"/>
          </w:tcPr>
          <w:p w:rsidR="00037DF3" w:rsidRPr="005D16E5" w:rsidRDefault="00037DF3" w:rsidP="00037DF3">
            <w:pPr>
              <w:ind w:right="94"/>
              <w:jc w:val="right"/>
              <w:rPr>
                <w:rFonts w:cs="Arial"/>
                <w:b/>
                <w:bCs/>
                <w:color w:val="000000"/>
                <w:sz w:val="20"/>
                <w:szCs w:val="20"/>
              </w:rPr>
            </w:pPr>
            <w:r w:rsidRPr="005D16E5">
              <w:rPr>
                <w:b/>
                <w:color w:val="000000"/>
                <w:sz w:val="20"/>
                <w:szCs w:val="20"/>
              </w:rPr>
              <w:t xml:space="preserve">3 </w:t>
            </w:r>
            <w:r>
              <w:rPr>
                <w:b/>
                <w:color w:val="000000"/>
                <w:sz w:val="20"/>
                <w:szCs w:val="20"/>
              </w:rPr>
              <w:t>064</w:t>
            </w:r>
          </w:p>
        </w:tc>
      </w:tr>
      <w:tr w:rsidR="00037DF3" w:rsidRPr="005D16E5" w:rsidTr="00037DF3">
        <w:trPr>
          <w:trHeight w:hRule="exact" w:val="665"/>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Pr>
                <w:color w:val="000000"/>
                <w:sz w:val="20"/>
                <w:szCs w:val="20"/>
              </w:rPr>
              <w:t>16 327</w:t>
            </w:r>
          </w:p>
        </w:tc>
        <w:tc>
          <w:tcPr>
            <w:tcW w:w="609" w:type="pct"/>
            <w:tcBorders>
              <w:top w:val="single" w:sz="4" w:space="0" w:color="9C9D9F"/>
              <w:bottom w:val="single" w:sz="4" w:space="0" w:color="9C9D9F"/>
            </w:tcBorders>
            <w:vAlign w:val="center"/>
          </w:tcPr>
          <w:p w:rsidR="00037DF3" w:rsidRPr="005D16E5" w:rsidRDefault="00037DF3" w:rsidP="00037DF3">
            <w:pPr>
              <w:ind w:right="94"/>
              <w:jc w:val="right"/>
              <w:rPr>
                <w:rFonts w:cs="Arial"/>
                <w:b/>
                <w:bCs/>
                <w:color w:val="000000"/>
                <w:sz w:val="20"/>
                <w:szCs w:val="20"/>
              </w:rPr>
            </w:pPr>
            <w:r>
              <w:rPr>
                <w:b/>
                <w:color w:val="000000"/>
                <w:sz w:val="20"/>
                <w:szCs w:val="20"/>
              </w:rPr>
              <w:t>16 327</w:t>
            </w:r>
          </w:p>
        </w:tc>
      </w:tr>
      <w:tr w:rsidR="00037DF3" w:rsidRPr="005D16E5" w:rsidTr="00037DF3">
        <w:trPr>
          <w:trHeight w:hRule="exact" w:val="1004"/>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color w:val="000000"/>
                <w:sz w:val="20"/>
                <w:szCs w:val="20"/>
              </w:rPr>
            </w:pPr>
            <w:r w:rsidRPr="005D16E5">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9" w:type="pct"/>
            <w:tcBorders>
              <w:top w:val="single" w:sz="4" w:space="0" w:color="9C9D9F"/>
              <w:bottom w:val="single" w:sz="4" w:space="0" w:color="9C9D9F"/>
            </w:tcBorders>
            <w:vAlign w:val="center"/>
          </w:tcPr>
          <w:p w:rsidR="00037DF3" w:rsidRPr="005D16E5" w:rsidRDefault="00037DF3" w:rsidP="00037DF3">
            <w:pPr>
              <w:ind w:right="94"/>
              <w:jc w:val="right"/>
              <w:rPr>
                <w:rFonts w:cs="Arial"/>
                <w:b/>
                <w:bCs/>
                <w:color w:val="000000"/>
                <w:sz w:val="20"/>
                <w:szCs w:val="20"/>
              </w:rPr>
            </w:pPr>
            <w:r w:rsidRPr="005D16E5">
              <w:rPr>
                <w:b/>
                <w:color w:val="000000"/>
                <w:sz w:val="20"/>
                <w:szCs w:val="20"/>
              </w:rPr>
              <w:t>--</w:t>
            </w:r>
          </w:p>
        </w:tc>
      </w:tr>
      <w:tr w:rsidR="00037DF3" w:rsidRPr="005D16E5" w:rsidTr="00037DF3">
        <w:trPr>
          <w:trHeight w:val="211"/>
        </w:trPr>
        <w:tc>
          <w:tcPr>
            <w:tcW w:w="906" w:type="pct"/>
            <w:tcBorders>
              <w:top w:val="single" w:sz="4" w:space="0" w:color="9C9D9F"/>
            </w:tcBorders>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tcBorders>
              <w:top w:val="single" w:sz="4" w:space="0" w:color="9C9D9F"/>
            </w:tcBorders>
            <w:vAlign w:val="center"/>
          </w:tcPr>
          <w:p w:rsidR="00037DF3" w:rsidRPr="005D16E5" w:rsidRDefault="00037DF3" w:rsidP="00037DF3">
            <w:pPr>
              <w:ind w:right="94"/>
              <w:jc w:val="right"/>
              <w:rPr>
                <w:rFonts w:cs="Arial"/>
                <w:b/>
                <w:bCs/>
                <w:color w:val="000000"/>
                <w:sz w:val="20"/>
                <w:szCs w:val="20"/>
              </w:rPr>
            </w:pPr>
          </w:p>
        </w:tc>
      </w:tr>
      <w:tr w:rsidR="00037DF3" w:rsidRPr="005D16E5" w:rsidTr="00037DF3">
        <w:trPr>
          <w:trHeight w:hRule="exact" w:val="446"/>
        </w:trPr>
        <w:tc>
          <w:tcPr>
            <w:tcW w:w="906" w:type="pct"/>
            <w:shd w:val="clear" w:color="auto" w:fill="9C9D9F"/>
            <w:noWrap/>
            <w:vAlign w:val="center"/>
          </w:tcPr>
          <w:p w:rsidR="00037DF3" w:rsidRPr="005D16E5" w:rsidRDefault="00037DF3" w:rsidP="00037DF3">
            <w:pPr>
              <w:ind w:right="144"/>
              <w:jc w:val="right"/>
              <w:rPr>
                <w:rFonts w:cs="Arial"/>
                <w:b/>
                <w:bCs/>
                <w:color w:val="000000"/>
                <w:sz w:val="20"/>
                <w:szCs w:val="20"/>
              </w:rPr>
            </w:pPr>
            <w:r w:rsidRPr="005D16E5">
              <w:rPr>
                <w:rFonts w:cs="Arial"/>
                <w:b/>
                <w:bCs/>
                <w:color w:val="000000"/>
                <w:sz w:val="20"/>
                <w:szCs w:val="20"/>
              </w:rPr>
              <w:t>k 3</w:t>
            </w:r>
            <w:r>
              <w:rPr>
                <w:rFonts w:cs="Arial"/>
                <w:b/>
                <w:bCs/>
                <w:color w:val="000000"/>
                <w:sz w:val="20"/>
                <w:szCs w:val="20"/>
              </w:rPr>
              <w:t>0</w:t>
            </w:r>
            <w:r w:rsidRPr="005D16E5">
              <w:rPr>
                <w:rFonts w:cs="Arial"/>
                <w:b/>
                <w:bCs/>
                <w:color w:val="000000"/>
                <w:sz w:val="20"/>
                <w:szCs w:val="20"/>
              </w:rPr>
              <w:t xml:space="preserve">. </w:t>
            </w:r>
            <w:r>
              <w:rPr>
                <w:rFonts w:cs="Arial"/>
                <w:b/>
                <w:bCs/>
                <w:color w:val="000000"/>
                <w:sz w:val="20"/>
                <w:szCs w:val="20"/>
              </w:rPr>
              <w:t xml:space="preserve">červnu </w:t>
            </w:r>
            <w:r w:rsidRPr="005D16E5">
              <w:rPr>
                <w:rFonts w:cs="Arial"/>
                <w:b/>
                <w:bCs/>
                <w:color w:val="000000"/>
                <w:sz w:val="20"/>
                <w:szCs w:val="20"/>
              </w:rPr>
              <w:t>2015</w:t>
            </w:r>
          </w:p>
        </w:tc>
        <w:tc>
          <w:tcPr>
            <w:tcW w:w="602" w:type="pct"/>
            <w:shd w:val="clear" w:color="auto" w:fill="9C9D9F"/>
            <w:noWrap/>
            <w:vAlign w:val="center"/>
          </w:tcPr>
          <w:p w:rsidR="00037DF3" w:rsidRPr="005D16E5" w:rsidRDefault="00037DF3" w:rsidP="00037DF3">
            <w:pPr>
              <w:ind w:right="96"/>
              <w:jc w:val="right"/>
              <w:rPr>
                <w:rFonts w:cs="Arial"/>
                <w:b/>
                <w:iCs/>
                <w:color w:val="000000"/>
                <w:sz w:val="20"/>
                <w:szCs w:val="20"/>
              </w:rPr>
            </w:pPr>
            <w:r w:rsidRPr="005D16E5">
              <w:rPr>
                <w:b/>
                <w:color w:val="000000"/>
                <w:sz w:val="20"/>
                <w:szCs w:val="20"/>
              </w:rPr>
              <w:t>11 444</w:t>
            </w:r>
          </w:p>
        </w:tc>
        <w:tc>
          <w:tcPr>
            <w:tcW w:w="601" w:type="pct"/>
            <w:shd w:val="clear" w:color="auto" w:fill="9C9D9F"/>
            <w:vAlign w:val="center"/>
          </w:tcPr>
          <w:p w:rsidR="00037DF3" w:rsidRPr="005D16E5" w:rsidRDefault="00037DF3" w:rsidP="00037DF3">
            <w:pPr>
              <w:ind w:right="96"/>
              <w:jc w:val="right"/>
              <w:rPr>
                <w:rFonts w:cs="Arial"/>
                <w:b/>
                <w:iCs/>
                <w:color w:val="000000"/>
                <w:sz w:val="20"/>
                <w:szCs w:val="20"/>
              </w:rPr>
            </w:pPr>
            <w:r w:rsidRPr="005D16E5">
              <w:rPr>
                <w:b/>
                <w:color w:val="000000"/>
                <w:sz w:val="20"/>
                <w:szCs w:val="20"/>
              </w:rPr>
              <w:t>9 187</w:t>
            </w:r>
          </w:p>
        </w:tc>
        <w:tc>
          <w:tcPr>
            <w:tcW w:w="555" w:type="pct"/>
            <w:shd w:val="clear" w:color="auto" w:fill="9C9D9F"/>
            <w:vAlign w:val="center"/>
          </w:tcPr>
          <w:p w:rsidR="00037DF3" w:rsidRPr="005D16E5" w:rsidRDefault="00037DF3" w:rsidP="00037DF3">
            <w:pPr>
              <w:ind w:right="96"/>
              <w:jc w:val="right"/>
              <w:rPr>
                <w:rFonts w:cs="Arial"/>
                <w:b/>
                <w:bCs/>
                <w:color w:val="000000"/>
                <w:sz w:val="20"/>
                <w:szCs w:val="20"/>
              </w:rPr>
            </w:pPr>
            <w:r w:rsidRPr="005D16E5">
              <w:rPr>
                <w:b/>
                <w:color w:val="000000"/>
                <w:sz w:val="20"/>
                <w:szCs w:val="20"/>
              </w:rPr>
              <w:t>--</w:t>
            </w:r>
          </w:p>
        </w:tc>
        <w:tc>
          <w:tcPr>
            <w:tcW w:w="555" w:type="pct"/>
            <w:shd w:val="clear" w:color="auto" w:fill="9C9D9F"/>
            <w:vAlign w:val="center"/>
          </w:tcPr>
          <w:p w:rsidR="00037DF3" w:rsidRPr="005D16E5" w:rsidRDefault="00037DF3" w:rsidP="00037DF3">
            <w:pPr>
              <w:ind w:right="96"/>
              <w:jc w:val="right"/>
              <w:rPr>
                <w:rFonts w:cs="Arial"/>
                <w:b/>
                <w:bCs/>
                <w:color w:val="000000"/>
                <w:sz w:val="20"/>
                <w:szCs w:val="20"/>
              </w:rPr>
            </w:pPr>
            <w:r>
              <w:rPr>
                <w:rFonts w:cs="Arial"/>
                <w:b/>
                <w:bCs/>
                <w:color w:val="000000"/>
                <w:sz w:val="20"/>
                <w:szCs w:val="20"/>
              </w:rPr>
              <w:t>7 255</w:t>
            </w:r>
          </w:p>
        </w:tc>
        <w:tc>
          <w:tcPr>
            <w:tcW w:w="555" w:type="pct"/>
            <w:shd w:val="clear" w:color="auto" w:fill="9C9D9F"/>
            <w:vAlign w:val="center"/>
          </w:tcPr>
          <w:p w:rsidR="00037DF3" w:rsidRPr="005D16E5" w:rsidDel="002D1E65" w:rsidRDefault="00037DF3" w:rsidP="00037DF3">
            <w:pPr>
              <w:ind w:right="96"/>
              <w:jc w:val="right"/>
              <w:rPr>
                <w:rFonts w:cs="Arial"/>
                <w:b/>
                <w:bCs/>
                <w:color w:val="000000"/>
                <w:sz w:val="20"/>
                <w:szCs w:val="20"/>
              </w:rPr>
            </w:pPr>
            <w:r w:rsidRPr="005D16E5">
              <w:rPr>
                <w:b/>
                <w:color w:val="000000"/>
                <w:sz w:val="20"/>
                <w:szCs w:val="20"/>
              </w:rPr>
              <w:t>-</w:t>
            </w:r>
            <w:r>
              <w:rPr>
                <w:b/>
                <w:color w:val="000000"/>
                <w:sz w:val="20"/>
                <w:szCs w:val="20"/>
              </w:rPr>
              <w:t>1 264</w:t>
            </w:r>
          </w:p>
        </w:tc>
        <w:tc>
          <w:tcPr>
            <w:tcW w:w="617" w:type="pct"/>
            <w:shd w:val="clear" w:color="auto" w:fill="9C9D9F"/>
            <w:noWrap/>
            <w:vAlign w:val="center"/>
          </w:tcPr>
          <w:p w:rsidR="00037DF3" w:rsidRPr="005D16E5" w:rsidRDefault="00037DF3" w:rsidP="00037DF3">
            <w:pPr>
              <w:ind w:right="96"/>
              <w:jc w:val="right"/>
              <w:rPr>
                <w:rFonts w:cs="Arial"/>
                <w:b/>
                <w:bCs/>
                <w:color w:val="000000"/>
                <w:sz w:val="20"/>
                <w:szCs w:val="20"/>
              </w:rPr>
            </w:pPr>
            <w:r>
              <w:rPr>
                <w:rFonts w:cs="Arial"/>
                <w:b/>
                <w:bCs/>
                <w:color w:val="000000"/>
                <w:sz w:val="20"/>
                <w:szCs w:val="20"/>
              </w:rPr>
              <w:t>132 854</w:t>
            </w:r>
          </w:p>
        </w:tc>
        <w:tc>
          <w:tcPr>
            <w:tcW w:w="609" w:type="pct"/>
            <w:shd w:val="clear" w:color="auto" w:fill="9C9D9F"/>
            <w:vAlign w:val="center"/>
          </w:tcPr>
          <w:p w:rsidR="00037DF3" w:rsidRPr="005D16E5" w:rsidRDefault="00037DF3" w:rsidP="00037DF3">
            <w:pPr>
              <w:ind w:right="94"/>
              <w:jc w:val="right"/>
              <w:rPr>
                <w:rFonts w:cs="Arial"/>
                <w:b/>
                <w:bCs/>
                <w:color w:val="000000"/>
                <w:sz w:val="20"/>
                <w:szCs w:val="20"/>
              </w:rPr>
            </w:pPr>
            <w:r w:rsidRPr="005D16E5">
              <w:rPr>
                <w:b/>
                <w:color w:val="000000"/>
                <w:sz w:val="20"/>
                <w:szCs w:val="20"/>
              </w:rPr>
              <w:t>1</w:t>
            </w:r>
            <w:r>
              <w:rPr>
                <w:b/>
                <w:color w:val="000000"/>
                <w:sz w:val="20"/>
                <w:szCs w:val="20"/>
              </w:rPr>
              <w:t>59 476</w:t>
            </w:r>
          </w:p>
        </w:tc>
      </w:tr>
      <w:tr w:rsidR="00037DF3" w:rsidRPr="005D16E5" w:rsidTr="00037DF3">
        <w:trPr>
          <w:trHeight w:val="118"/>
        </w:trPr>
        <w:tc>
          <w:tcPr>
            <w:tcW w:w="906" w:type="pct"/>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555" w:type="pct"/>
            <w:vAlign w:val="center"/>
          </w:tcPr>
          <w:p w:rsidR="00037DF3" w:rsidRPr="005D16E5" w:rsidRDefault="00037DF3" w:rsidP="00037DF3">
            <w:pPr>
              <w:ind w:right="96"/>
              <w:jc w:val="right"/>
              <w:rPr>
                <w:rFonts w:cs="Arial"/>
                <w:b/>
                <w:bCs/>
                <w:color w:val="000000"/>
                <w:sz w:val="20"/>
                <w:szCs w:val="20"/>
              </w:rPr>
            </w:pPr>
          </w:p>
        </w:tc>
        <w:tc>
          <w:tcPr>
            <w:tcW w:w="617" w:type="pct"/>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vAlign w:val="center"/>
          </w:tcPr>
          <w:p w:rsidR="00037DF3" w:rsidRPr="005D16E5" w:rsidRDefault="00037DF3" w:rsidP="00037DF3">
            <w:pPr>
              <w:ind w:right="94"/>
              <w:jc w:val="right"/>
              <w:rPr>
                <w:rFonts w:cs="Arial"/>
                <w:b/>
                <w:bCs/>
                <w:color w:val="000000"/>
                <w:sz w:val="20"/>
                <w:szCs w:val="20"/>
              </w:rPr>
            </w:pPr>
          </w:p>
        </w:tc>
      </w:tr>
      <w:tr w:rsidR="00037DF3" w:rsidRPr="005D16E5" w:rsidTr="00037DF3">
        <w:trPr>
          <w:trHeight w:val="443"/>
        </w:trPr>
        <w:tc>
          <w:tcPr>
            <w:tcW w:w="906" w:type="pct"/>
            <w:shd w:val="clear" w:color="auto" w:fill="9C9D9F"/>
            <w:noWrap/>
            <w:vAlign w:val="center"/>
          </w:tcPr>
          <w:p w:rsidR="00037DF3" w:rsidRPr="005D16E5" w:rsidRDefault="00037DF3" w:rsidP="00037DF3">
            <w:pPr>
              <w:ind w:right="144"/>
              <w:jc w:val="right"/>
              <w:rPr>
                <w:rFonts w:cs="Arial"/>
                <w:color w:val="000000"/>
                <w:sz w:val="20"/>
                <w:szCs w:val="20"/>
              </w:rPr>
            </w:pPr>
            <w:r w:rsidRPr="005D16E5">
              <w:rPr>
                <w:rFonts w:cs="Arial"/>
                <w:b/>
                <w:bCs/>
                <w:color w:val="000000"/>
                <w:sz w:val="20"/>
                <w:szCs w:val="20"/>
              </w:rPr>
              <w:t>k 1. lednu 2016</w:t>
            </w:r>
          </w:p>
        </w:tc>
        <w:tc>
          <w:tcPr>
            <w:tcW w:w="602" w:type="pct"/>
            <w:shd w:val="clear" w:color="auto" w:fill="9C9D9F"/>
            <w:noWrap/>
            <w:vAlign w:val="center"/>
          </w:tcPr>
          <w:p w:rsidR="00037DF3" w:rsidRPr="005D16E5" w:rsidRDefault="00037DF3" w:rsidP="00037DF3">
            <w:pPr>
              <w:ind w:right="96"/>
              <w:jc w:val="right"/>
              <w:rPr>
                <w:b/>
                <w:color w:val="000000"/>
                <w:sz w:val="20"/>
                <w:szCs w:val="20"/>
              </w:rPr>
            </w:pPr>
            <w:r w:rsidRPr="005D16E5">
              <w:rPr>
                <w:b/>
                <w:color w:val="000000"/>
                <w:sz w:val="20"/>
                <w:szCs w:val="20"/>
              </w:rPr>
              <w:t xml:space="preserve">11 444 </w:t>
            </w:r>
          </w:p>
        </w:tc>
        <w:tc>
          <w:tcPr>
            <w:tcW w:w="601" w:type="pct"/>
            <w:shd w:val="clear" w:color="auto" w:fill="9C9D9F"/>
            <w:vAlign w:val="center"/>
          </w:tcPr>
          <w:p w:rsidR="00037DF3" w:rsidRPr="005D16E5" w:rsidRDefault="00037DF3" w:rsidP="00037DF3">
            <w:pPr>
              <w:ind w:right="96"/>
              <w:jc w:val="right"/>
              <w:rPr>
                <w:b/>
                <w:color w:val="000000"/>
                <w:sz w:val="20"/>
                <w:szCs w:val="20"/>
              </w:rPr>
            </w:pPr>
            <w:r w:rsidRPr="005D16E5">
              <w:rPr>
                <w:b/>
                <w:color w:val="000000"/>
                <w:sz w:val="20"/>
                <w:szCs w:val="20"/>
              </w:rPr>
              <w:t>9 451</w:t>
            </w:r>
          </w:p>
        </w:tc>
        <w:tc>
          <w:tcPr>
            <w:tcW w:w="555" w:type="pct"/>
            <w:shd w:val="clear" w:color="auto" w:fill="9C9D9F"/>
            <w:vAlign w:val="center"/>
          </w:tcPr>
          <w:p w:rsidR="00037DF3" w:rsidRPr="005D16E5" w:rsidRDefault="00037DF3" w:rsidP="00037DF3">
            <w:pPr>
              <w:ind w:right="96"/>
              <w:jc w:val="right"/>
              <w:rPr>
                <w:b/>
                <w:color w:val="000000"/>
                <w:sz w:val="20"/>
                <w:szCs w:val="20"/>
              </w:rPr>
            </w:pPr>
            <w:r w:rsidRPr="005D16E5">
              <w:rPr>
                <w:b/>
                <w:color w:val="000000"/>
                <w:sz w:val="20"/>
                <w:szCs w:val="20"/>
              </w:rPr>
              <w:t>-12 797</w:t>
            </w:r>
          </w:p>
        </w:tc>
        <w:tc>
          <w:tcPr>
            <w:tcW w:w="555" w:type="pct"/>
            <w:shd w:val="clear" w:color="auto" w:fill="9C9D9F"/>
            <w:vAlign w:val="center"/>
          </w:tcPr>
          <w:p w:rsidR="00037DF3" w:rsidRPr="005D16E5" w:rsidRDefault="00037DF3" w:rsidP="00037DF3">
            <w:pPr>
              <w:ind w:right="96"/>
              <w:jc w:val="right"/>
              <w:rPr>
                <w:b/>
                <w:color w:val="000000"/>
                <w:sz w:val="20"/>
                <w:szCs w:val="20"/>
              </w:rPr>
            </w:pPr>
            <w:r w:rsidRPr="005D16E5">
              <w:rPr>
                <w:b/>
                <w:color w:val="000000"/>
                <w:sz w:val="20"/>
                <w:szCs w:val="20"/>
              </w:rPr>
              <w:t>5 691</w:t>
            </w:r>
          </w:p>
        </w:tc>
        <w:tc>
          <w:tcPr>
            <w:tcW w:w="555" w:type="pct"/>
            <w:shd w:val="clear" w:color="auto" w:fill="9C9D9F"/>
            <w:vAlign w:val="center"/>
          </w:tcPr>
          <w:p w:rsidR="00037DF3" w:rsidRPr="005D16E5" w:rsidDel="002D1E65" w:rsidRDefault="00037DF3" w:rsidP="00037DF3">
            <w:pPr>
              <w:ind w:right="96"/>
              <w:jc w:val="right"/>
              <w:rPr>
                <w:b/>
                <w:color w:val="000000"/>
                <w:sz w:val="20"/>
                <w:szCs w:val="20"/>
              </w:rPr>
            </w:pPr>
            <w:r w:rsidRPr="005D16E5">
              <w:rPr>
                <w:b/>
                <w:color w:val="000000"/>
                <w:sz w:val="20"/>
                <w:szCs w:val="20"/>
              </w:rPr>
              <w:t>1 418</w:t>
            </w:r>
          </w:p>
        </w:tc>
        <w:tc>
          <w:tcPr>
            <w:tcW w:w="617" w:type="pct"/>
            <w:shd w:val="clear" w:color="auto" w:fill="9C9D9F"/>
            <w:noWrap/>
            <w:vAlign w:val="center"/>
          </w:tcPr>
          <w:p w:rsidR="00037DF3" w:rsidRPr="005D16E5" w:rsidRDefault="00037DF3" w:rsidP="00037DF3">
            <w:pPr>
              <w:ind w:right="96"/>
              <w:jc w:val="right"/>
              <w:rPr>
                <w:b/>
                <w:color w:val="000000"/>
                <w:sz w:val="20"/>
                <w:szCs w:val="20"/>
              </w:rPr>
            </w:pPr>
            <w:r w:rsidRPr="005D16E5">
              <w:rPr>
                <w:b/>
                <w:color w:val="000000"/>
                <w:sz w:val="20"/>
                <w:szCs w:val="20"/>
              </w:rPr>
              <w:t>141 50</w:t>
            </w:r>
            <w:r>
              <w:rPr>
                <w:b/>
                <w:color w:val="000000"/>
                <w:sz w:val="20"/>
                <w:szCs w:val="20"/>
              </w:rPr>
              <w:t>5</w:t>
            </w:r>
          </w:p>
        </w:tc>
        <w:tc>
          <w:tcPr>
            <w:tcW w:w="609" w:type="pct"/>
            <w:shd w:val="clear" w:color="auto" w:fill="9C9D9F"/>
            <w:vAlign w:val="center"/>
          </w:tcPr>
          <w:p w:rsidR="00037DF3" w:rsidRPr="005D16E5" w:rsidRDefault="00037DF3" w:rsidP="00037DF3">
            <w:pPr>
              <w:ind w:right="94"/>
              <w:jc w:val="right"/>
              <w:rPr>
                <w:b/>
                <w:color w:val="000000"/>
                <w:sz w:val="20"/>
                <w:szCs w:val="20"/>
              </w:rPr>
            </w:pPr>
            <w:r>
              <w:rPr>
                <w:b/>
                <w:color w:val="000000"/>
                <w:sz w:val="20"/>
                <w:szCs w:val="20"/>
              </w:rPr>
              <w:t>156 712</w:t>
            </w:r>
          </w:p>
        </w:tc>
      </w:tr>
      <w:tr w:rsidR="00037DF3" w:rsidRPr="005D16E5" w:rsidTr="00037DF3">
        <w:trPr>
          <w:trHeight w:val="359"/>
        </w:trPr>
        <w:tc>
          <w:tcPr>
            <w:tcW w:w="906" w:type="pct"/>
            <w:tcBorders>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Distribuce</w:t>
            </w:r>
          </w:p>
        </w:tc>
        <w:tc>
          <w:tcPr>
            <w:tcW w:w="602" w:type="pct"/>
            <w:tcBorders>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bottom w:val="single" w:sz="4" w:space="0" w:color="9C9D9F"/>
            </w:tcBorders>
            <w:shd w:val="clear" w:color="auto" w:fill="auto"/>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bottom w:val="single" w:sz="4" w:space="0" w:color="9C9D9F"/>
            </w:tcBorders>
            <w:shd w:val="clear" w:color="auto" w:fill="auto"/>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617" w:type="pct"/>
            <w:tcBorders>
              <w:bottom w:val="single" w:sz="4" w:space="0" w:color="9C9D9F"/>
            </w:tcBorders>
            <w:shd w:val="clear" w:color="auto" w:fill="auto"/>
            <w:noWrap/>
            <w:vAlign w:val="center"/>
          </w:tcPr>
          <w:p w:rsidR="00037DF3" w:rsidRPr="005D16E5" w:rsidRDefault="00B531D3" w:rsidP="00037DF3">
            <w:pPr>
              <w:ind w:right="96"/>
              <w:jc w:val="right"/>
              <w:rPr>
                <w:rFonts w:cs="Arial"/>
                <w:iCs/>
                <w:color w:val="000000"/>
                <w:sz w:val="20"/>
                <w:szCs w:val="20"/>
              </w:rPr>
            </w:pPr>
            <w:r>
              <w:rPr>
                <w:color w:val="000000"/>
                <w:sz w:val="20"/>
                <w:szCs w:val="20"/>
              </w:rPr>
              <w:t>-11 537</w:t>
            </w:r>
          </w:p>
        </w:tc>
        <w:tc>
          <w:tcPr>
            <w:tcW w:w="609" w:type="pct"/>
            <w:tcBorders>
              <w:bottom w:val="single" w:sz="4" w:space="0" w:color="9C9D9F"/>
            </w:tcBorders>
            <w:shd w:val="clear" w:color="auto" w:fill="auto"/>
            <w:vAlign w:val="center"/>
          </w:tcPr>
          <w:p w:rsidR="00037DF3" w:rsidRPr="005D16E5" w:rsidRDefault="00B531D3" w:rsidP="00037DF3">
            <w:pPr>
              <w:ind w:right="94"/>
              <w:jc w:val="right"/>
              <w:rPr>
                <w:rFonts w:cs="Arial"/>
                <w:b/>
                <w:bCs/>
                <w:color w:val="000000"/>
                <w:sz w:val="20"/>
                <w:szCs w:val="20"/>
              </w:rPr>
            </w:pPr>
            <w:r>
              <w:rPr>
                <w:b/>
                <w:color w:val="000000"/>
                <w:sz w:val="20"/>
                <w:szCs w:val="20"/>
              </w:rPr>
              <w:t>-11 537</w:t>
            </w:r>
          </w:p>
        </w:tc>
      </w:tr>
      <w:tr w:rsidR="00037DF3" w:rsidRPr="005D16E5" w:rsidTr="00037DF3">
        <w:trPr>
          <w:trHeight w:val="707"/>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F466A6"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673872" w:rsidP="00037DF3">
            <w:pPr>
              <w:ind w:right="96"/>
              <w:jc w:val="right"/>
              <w:rPr>
                <w:rFonts w:cs="Arial"/>
                <w:iCs/>
                <w:color w:val="000000"/>
                <w:sz w:val="20"/>
                <w:szCs w:val="20"/>
              </w:rPr>
            </w:pPr>
            <w:r>
              <w:rPr>
                <w:rFonts w:cs="Arial"/>
                <w:iCs/>
                <w:color w:val="000000"/>
                <w:sz w:val="20"/>
                <w:szCs w:val="20"/>
              </w:rPr>
              <w:t>-3</w:t>
            </w:r>
            <w:r w:rsidR="00F466A6">
              <w:rPr>
                <w:rFonts w:cs="Arial"/>
                <w:iCs/>
                <w:color w:val="000000"/>
                <w:sz w:val="20"/>
                <w:szCs w:val="20"/>
              </w:rPr>
              <w:t> </w:t>
            </w:r>
            <w:r>
              <w:rPr>
                <w:rFonts w:cs="Arial"/>
                <w:iCs/>
                <w:color w:val="000000"/>
                <w:sz w:val="20"/>
                <w:szCs w:val="20"/>
              </w:rPr>
              <w:t>044</w:t>
            </w:r>
          </w:p>
        </w:tc>
        <w:tc>
          <w:tcPr>
            <w:tcW w:w="555" w:type="pct"/>
            <w:tcBorders>
              <w:top w:val="single" w:sz="4" w:space="0" w:color="9C9D9F"/>
              <w:bottom w:val="single" w:sz="4" w:space="0" w:color="9C9D9F"/>
            </w:tcBorders>
            <w:shd w:val="clear" w:color="auto" w:fill="auto"/>
            <w:vAlign w:val="center"/>
          </w:tcPr>
          <w:p w:rsidR="00037DF3" w:rsidRPr="005D16E5" w:rsidRDefault="00673872" w:rsidP="00037DF3">
            <w:pPr>
              <w:ind w:right="96"/>
              <w:jc w:val="right"/>
              <w:rPr>
                <w:rFonts w:cs="Arial"/>
                <w:bCs/>
                <w:color w:val="000000"/>
                <w:sz w:val="20"/>
                <w:szCs w:val="20"/>
              </w:rPr>
            </w:pPr>
            <w:r>
              <w:rPr>
                <w:rFonts w:cs="Arial"/>
                <w:bCs/>
                <w:color w:val="000000"/>
                <w:sz w:val="20"/>
                <w:szCs w:val="20"/>
              </w:rPr>
              <w:t>-3 101</w:t>
            </w:r>
          </w:p>
        </w:tc>
        <w:tc>
          <w:tcPr>
            <w:tcW w:w="617" w:type="pct"/>
            <w:tcBorders>
              <w:top w:val="single" w:sz="4" w:space="0" w:color="9C9D9F"/>
              <w:bottom w:val="single" w:sz="4" w:space="0" w:color="9C9D9F"/>
            </w:tcBorders>
            <w:shd w:val="clear" w:color="auto" w:fill="auto"/>
            <w:noWrap/>
            <w:vAlign w:val="center"/>
          </w:tcPr>
          <w:p w:rsidR="00037DF3" w:rsidRPr="005D16E5" w:rsidRDefault="00F466A6" w:rsidP="00037DF3">
            <w:pPr>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rsidR="00037DF3" w:rsidRPr="005D16E5" w:rsidRDefault="00593942" w:rsidP="00037DF3">
            <w:pPr>
              <w:ind w:right="94"/>
              <w:jc w:val="right"/>
              <w:rPr>
                <w:rFonts w:cs="Arial"/>
                <w:b/>
                <w:bCs/>
                <w:color w:val="000000"/>
                <w:sz w:val="20"/>
                <w:szCs w:val="20"/>
              </w:rPr>
            </w:pPr>
            <w:r>
              <w:rPr>
                <w:rFonts w:cs="Arial"/>
                <w:b/>
                <w:bCs/>
                <w:color w:val="000000"/>
                <w:sz w:val="20"/>
                <w:szCs w:val="20"/>
              </w:rPr>
              <w:t>-6 145</w:t>
            </w:r>
          </w:p>
        </w:tc>
      </w:tr>
      <w:tr w:rsidR="00037DF3" w:rsidRPr="005D16E5" w:rsidTr="00037DF3">
        <w:trPr>
          <w:trHeight w:val="751"/>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bCs/>
                <w:color w:val="000000"/>
                <w:sz w:val="20"/>
                <w:szCs w:val="20"/>
              </w:rPr>
            </w:pPr>
            <w:r w:rsidRPr="005D16E5">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F466A6" w:rsidP="00037DF3">
            <w:pPr>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F466A6" w:rsidP="00037DF3">
            <w:pPr>
              <w:ind w:right="96"/>
              <w:jc w:val="right"/>
              <w:rPr>
                <w:rFonts w:cs="Arial"/>
                <w:b/>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F466A6" w:rsidP="00037DF3">
            <w:pPr>
              <w:ind w:right="96"/>
              <w:jc w:val="right"/>
              <w:rPr>
                <w:rFonts w:cs="Arial"/>
                <w:b/>
                <w:iCs/>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B531D3" w:rsidP="00583500">
            <w:pPr>
              <w:ind w:right="96"/>
              <w:jc w:val="right"/>
              <w:rPr>
                <w:rFonts w:cs="Arial"/>
                <w:iCs/>
                <w:color w:val="000000"/>
                <w:sz w:val="20"/>
                <w:szCs w:val="20"/>
              </w:rPr>
            </w:pPr>
            <w:r>
              <w:rPr>
                <w:rFonts w:cs="Arial"/>
                <w:iCs/>
                <w:color w:val="000000"/>
                <w:sz w:val="20"/>
                <w:szCs w:val="20"/>
              </w:rPr>
              <w:t>7</w:t>
            </w:r>
            <w:r w:rsidR="00F466A6">
              <w:rPr>
                <w:rFonts w:cs="Arial"/>
                <w:iCs/>
                <w:color w:val="000000"/>
                <w:sz w:val="20"/>
                <w:szCs w:val="20"/>
              </w:rPr>
              <w:t> </w:t>
            </w:r>
            <w:r w:rsidR="00583500">
              <w:rPr>
                <w:rFonts w:cs="Arial"/>
                <w:iCs/>
                <w:color w:val="000000"/>
                <w:sz w:val="20"/>
                <w:szCs w:val="20"/>
              </w:rPr>
              <w:t>548</w:t>
            </w:r>
          </w:p>
        </w:tc>
        <w:tc>
          <w:tcPr>
            <w:tcW w:w="609" w:type="pct"/>
            <w:tcBorders>
              <w:top w:val="single" w:sz="4" w:space="0" w:color="9C9D9F"/>
              <w:bottom w:val="single" w:sz="4" w:space="0" w:color="9C9D9F"/>
            </w:tcBorders>
            <w:shd w:val="clear" w:color="auto" w:fill="auto"/>
            <w:vAlign w:val="center"/>
          </w:tcPr>
          <w:p w:rsidR="00037DF3" w:rsidRPr="005D16E5" w:rsidRDefault="00F466A6" w:rsidP="00583500">
            <w:pPr>
              <w:ind w:right="94"/>
              <w:jc w:val="right"/>
              <w:rPr>
                <w:rFonts w:cs="Arial"/>
                <w:b/>
                <w:bCs/>
                <w:color w:val="000000"/>
                <w:sz w:val="20"/>
                <w:szCs w:val="20"/>
              </w:rPr>
            </w:pPr>
            <w:r>
              <w:rPr>
                <w:rFonts w:cs="Arial"/>
                <w:b/>
                <w:bCs/>
                <w:color w:val="000000"/>
                <w:sz w:val="20"/>
                <w:szCs w:val="20"/>
              </w:rPr>
              <w:t xml:space="preserve">7 </w:t>
            </w:r>
            <w:r w:rsidR="00583500">
              <w:rPr>
                <w:rFonts w:cs="Arial"/>
                <w:b/>
                <w:bCs/>
                <w:color w:val="000000"/>
                <w:sz w:val="20"/>
                <w:szCs w:val="20"/>
              </w:rPr>
              <w:t>548</w:t>
            </w:r>
          </w:p>
        </w:tc>
      </w:tr>
      <w:tr w:rsidR="00037DF3" w:rsidRPr="005D16E5" w:rsidTr="00037DF3">
        <w:trPr>
          <w:trHeight w:val="625"/>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color w:val="000000"/>
                <w:sz w:val="20"/>
                <w:szCs w:val="20"/>
              </w:rPr>
            </w:pPr>
            <w:r>
              <w:rPr>
                <w:rFonts w:cs="Arial"/>
                <w:color w:val="000000"/>
                <w:sz w:val="20"/>
                <w:szCs w:val="20"/>
              </w:rPr>
              <w:t>Nabytí vlastních akcií</w:t>
            </w:r>
          </w:p>
        </w:tc>
        <w:tc>
          <w:tcPr>
            <w:tcW w:w="602" w:type="pct"/>
            <w:tcBorders>
              <w:top w:val="single" w:sz="4" w:space="0" w:color="9C9D9F"/>
              <w:bottom w:val="single" w:sz="4" w:space="0" w:color="9C9D9F"/>
            </w:tcBorders>
            <w:shd w:val="clear" w:color="auto" w:fill="auto"/>
            <w:noWrap/>
            <w:vAlign w:val="center"/>
          </w:tcPr>
          <w:p w:rsidR="00037DF3" w:rsidRPr="005D16E5" w:rsidRDefault="00F466A6" w:rsidP="00037DF3">
            <w:pPr>
              <w:ind w:right="96"/>
              <w:jc w:val="right"/>
              <w:rPr>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F466A6" w:rsidP="00037DF3">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color w:val="000000"/>
                <w:sz w:val="20"/>
                <w:szCs w:val="20"/>
              </w:rPr>
            </w:pPr>
            <w:r>
              <w:rPr>
                <w:color w:val="000000"/>
                <w:sz w:val="20"/>
                <w:szCs w:val="20"/>
              </w:rPr>
              <w:t>-875</w:t>
            </w:r>
          </w:p>
        </w:tc>
        <w:tc>
          <w:tcPr>
            <w:tcW w:w="555" w:type="pct"/>
            <w:tcBorders>
              <w:top w:val="single" w:sz="4" w:space="0" w:color="9C9D9F"/>
              <w:bottom w:val="single" w:sz="4" w:space="0" w:color="9C9D9F"/>
            </w:tcBorders>
            <w:vAlign w:val="center"/>
          </w:tcPr>
          <w:p w:rsidR="00037DF3" w:rsidRPr="005D16E5" w:rsidRDefault="00F466A6" w:rsidP="00037DF3">
            <w:pPr>
              <w:ind w:right="96"/>
              <w:jc w:val="right"/>
              <w:rPr>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F466A6" w:rsidP="00037DF3">
            <w:pPr>
              <w:ind w:right="96"/>
              <w:jc w:val="right"/>
              <w:rPr>
                <w:color w:val="000000"/>
                <w:sz w:val="20"/>
                <w:szCs w:val="20"/>
              </w:rPr>
            </w:pPr>
            <w:r>
              <w:rPr>
                <w:rFonts w:cs="Arial"/>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F466A6" w:rsidP="00037DF3">
            <w:pPr>
              <w:ind w:right="96"/>
              <w:jc w:val="right"/>
              <w:rPr>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rsidR="00037DF3" w:rsidRPr="005D16E5" w:rsidRDefault="00593942" w:rsidP="00037DF3">
            <w:pPr>
              <w:ind w:right="94"/>
              <w:jc w:val="right"/>
              <w:rPr>
                <w:b/>
                <w:color w:val="000000"/>
                <w:sz w:val="20"/>
                <w:szCs w:val="20"/>
              </w:rPr>
            </w:pPr>
            <w:r>
              <w:rPr>
                <w:b/>
                <w:color w:val="000000"/>
                <w:sz w:val="20"/>
                <w:szCs w:val="20"/>
              </w:rPr>
              <w:t>-875</w:t>
            </w:r>
          </w:p>
        </w:tc>
      </w:tr>
      <w:tr w:rsidR="00037DF3" w:rsidRPr="005D16E5" w:rsidTr="00037DF3">
        <w:trPr>
          <w:trHeight w:val="118"/>
        </w:trPr>
        <w:tc>
          <w:tcPr>
            <w:tcW w:w="906" w:type="pct"/>
            <w:tcBorders>
              <w:top w:val="single" w:sz="4" w:space="0" w:color="9C9D9F"/>
              <w:bottom w:val="single" w:sz="4" w:space="0" w:color="9C9D9F"/>
            </w:tcBorders>
            <w:shd w:val="clear" w:color="auto" w:fill="auto"/>
            <w:noWrap/>
            <w:vAlign w:val="center"/>
          </w:tcPr>
          <w:p w:rsidR="00037DF3" w:rsidRPr="005D16E5" w:rsidRDefault="00037DF3" w:rsidP="00037DF3">
            <w:pPr>
              <w:ind w:right="144"/>
              <w:jc w:val="right"/>
              <w:rPr>
                <w:rFonts w:cs="Arial"/>
                <w:color w:val="000000"/>
                <w:sz w:val="20"/>
                <w:szCs w:val="20"/>
              </w:rPr>
            </w:pPr>
            <w:r w:rsidRPr="005D16E5">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1" w:type="pct"/>
            <w:tcBorders>
              <w:top w:val="single" w:sz="4" w:space="0" w:color="9C9D9F"/>
              <w:bottom w:val="single" w:sz="4" w:space="0" w:color="9C9D9F"/>
            </w:tcBorders>
            <w:shd w:val="clear" w:color="auto" w:fill="auto"/>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555" w:type="pct"/>
            <w:tcBorders>
              <w:top w:val="single" w:sz="4" w:space="0" w:color="9C9D9F"/>
              <w:bottom w:val="single" w:sz="4" w:space="0" w:color="9C9D9F"/>
            </w:tcBorders>
            <w:shd w:val="clear" w:color="auto" w:fill="auto"/>
            <w:vAlign w:val="center"/>
          </w:tcPr>
          <w:p w:rsidR="00037DF3" w:rsidRPr="005D16E5" w:rsidRDefault="00037DF3" w:rsidP="00037DF3">
            <w:pPr>
              <w:ind w:right="96"/>
              <w:jc w:val="right"/>
              <w:rPr>
                <w:rFonts w:cs="Arial"/>
                <w:b/>
                <w:iCs/>
                <w:color w:val="000000"/>
                <w:sz w:val="20"/>
                <w:szCs w:val="20"/>
              </w:rPr>
            </w:pPr>
            <w:r w:rsidRPr="005D16E5">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rsidR="00037DF3" w:rsidRPr="005D16E5" w:rsidRDefault="00037DF3" w:rsidP="00037DF3">
            <w:pPr>
              <w:ind w:right="96"/>
              <w:jc w:val="right"/>
              <w:rPr>
                <w:rFonts w:cs="Arial"/>
                <w:iCs/>
                <w:color w:val="000000"/>
                <w:sz w:val="20"/>
                <w:szCs w:val="20"/>
              </w:rPr>
            </w:pPr>
            <w:r w:rsidRPr="005D16E5">
              <w:rPr>
                <w:color w:val="000000"/>
                <w:sz w:val="20"/>
                <w:szCs w:val="20"/>
              </w:rPr>
              <w:t>--</w:t>
            </w:r>
          </w:p>
        </w:tc>
        <w:tc>
          <w:tcPr>
            <w:tcW w:w="609" w:type="pct"/>
            <w:tcBorders>
              <w:top w:val="single" w:sz="4" w:space="0" w:color="9C9D9F"/>
              <w:bottom w:val="single" w:sz="4" w:space="0" w:color="9C9D9F"/>
            </w:tcBorders>
            <w:shd w:val="clear" w:color="auto" w:fill="auto"/>
            <w:vAlign w:val="center"/>
          </w:tcPr>
          <w:p w:rsidR="00037DF3" w:rsidRPr="005D16E5" w:rsidRDefault="00037DF3" w:rsidP="00037DF3">
            <w:pPr>
              <w:ind w:right="94"/>
              <w:jc w:val="right"/>
              <w:rPr>
                <w:rFonts w:cs="Arial"/>
                <w:b/>
                <w:bCs/>
                <w:color w:val="000000"/>
                <w:sz w:val="20"/>
                <w:szCs w:val="20"/>
              </w:rPr>
            </w:pPr>
            <w:r w:rsidRPr="005D16E5">
              <w:rPr>
                <w:b/>
                <w:color w:val="000000"/>
                <w:sz w:val="20"/>
                <w:szCs w:val="20"/>
              </w:rPr>
              <w:t>--</w:t>
            </w:r>
          </w:p>
        </w:tc>
      </w:tr>
      <w:tr w:rsidR="00037DF3" w:rsidRPr="005D16E5" w:rsidTr="00037DF3">
        <w:trPr>
          <w:trHeight w:val="118"/>
        </w:trPr>
        <w:tc>
          <w:tcPr>
            <w:tcW w:w="906" w:type="pct"/>
            <w:tcBorders>
              <w:top w:val="single" w:sz="4" w:space="0" w:color="9C9D9F"/>
            </w:tcBorders>
            <w:shd w:val="clear" w:color="auto" w:fill="auto"/>
            <w:noWrap/>
            <w:vAlign w:val="center"/>
          </w:tcPr>
          <w:p w:rsidR="00037DF3" w:rsidRPr="005D16E5" w:rsidRDefault="00037DF3" w:rsidP="00037DF3">
            <w:pPr>
              <w:ind w:right="144"/>
              <w:jc w:val="right"/>
              <w:rPr>
                <w:rFonts w:cs="Arial"/>
                <w:b/>
                <w:bCs/>
                <w:color w:val="000000"/>
                <w:sz w:val="20"/>
                <w:szCs w:val="20"/>
              </w:rPr>
            </w:pPr>
          </w:p>
        </w:tc>
        <w:tc>
          <w:tcPr>
            <w:tcW w:w="602"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1" w:type="pct"/>
            <w:tcBorders>
              <w:top w:val="single" w:sz="4" w:space="0" w:color="9C9D9F"/>
            </w:tcBorders>
            <w:shd w:val="clear" w:color="auto" w:fill="auto"/>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vAlign w:val="center"/>
          </w:tcPr>
          <w:p w:rsidR="00037DF3" w:rsidRPr="005D16E5" w:rsidRDefault="00037DF3" w:rsidP="00037DF3">
            <w:pPr>
              <w:ind w:right="96"/>
              <w:jc w:val="right"/>
              <w:rPr>
                <w:rFonts w:cs="Arial"/>
                <w:b/>
                <w:bCs/>
                <w:color w:val="000000"/>
                <w:sz w:val="20"/>
                <w:szCs w:val="20"/>
              </w:rPr>
            </w:pPr>
          </w:p>
        </w:tc>
        <w:tc>
          <w:tcPr>
            <w:tcW w:w="555" w:type="pct"/>
            <w:tcBorders>
              <w:top w:val="single" w:sz="4" w:space="0" w:color="9C9D9F"/>
            </w:tcBorders>
            <w:shd w:val="clear" w:color="auto" w:fill="auto"/>
            <w:vAlign w:val="center"/>
          </w:tcPr>
          <w:p w:rsidR="00037DF3" w:rsidRPr="005D16E5" w:rsidRDefault="00037DF3" w:rsidP="00037DF3">
            <w:pPr>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rsidR="00037DF3" w:rsidRPr="005D16E5" w:rsidRDefault="00037DF3" w:rsidP="00037DF3">
            <w:pPr>
              <w:ind w:right="96"/>
              <w:jc w:val="right"/>
              <w:rPr>
                <w:rFonts w:cs="Arial"/>
                <w:b/>
                <w:bCs/>
                <w:color w:val="000000"/>
                <w:sz w:val="20"/>
                <w:szCs w:val="20"/>
              </w:rPr>
            </w:pPr>
          </w:p>
        </w:tc>
        <w:tc>
          <w:tcPr>
            <w:tcW w:w="609" w:type="pct"/>
            <w:tcBorders>
              <w:top w:val="single" w:sz="4" w:space="0" w:color="9C9D9F"/>
            </w:tcBorders>
            <w:shd w:val="clear" w:color="auto" w:fill="auto"/>
            <w:vAlign w:val="center"/>
          </w:tcPr>
          <w:p w:rsidR="00037DF3" w:rsidRPr="005D16E5" w:rsidRDefault="00037DF3" w:rsidP="00037DF3">
            <w:pPr>
              <w:ind w:right="94"/>
              <w:jc w:val="right"/>
              <w:rPr>
                <w:rFonts w:cs="Arial"/>
                <w:b/>
                <w:bCs/>
                <w:color w:val="000000"/>
                <w:sz w:val="20"/>
                <w:szCs w:val="20"/>
              </w:rPr>
            </w:pPr>
          </w:p>
        </w:tc>
      </w:tr>
      <w:tr w:rsidR="00037DF3" w:rsidRPr="005D16E5" w:rsidTr="00037DF3">
        <w:trPr>
          <w:trHeight w:val="464"/>
        </w:trPr>
        <w:tc>
          <w:tcPr>
            <w:tcW w:w="906" w:type="pct"/>
            <w:shd w:val="clear" w:color="auto" w:fill="9C9D9F"/>
            <w:noWrap/>
            <w:vAlign w:val="center"/>
          </w:tcPr>
          <w:p w:rsidR="00037DF3" w:rsidRPr="005D16E5" w:rsidRDefault="00037DF3" w:rsidP="00843428">
            <w:pPr>
              <w:ind w:right="144"/>
              <w:jc w:val="right"/>
              <w:rPr>
                <w:rFonts w:cs="Arial"/>
                <w:b/>
                <w:bCs/>
                <w:color w:val="000000"/>
                <w:sz w:val="20"/>
                <w:szCs w:val="20"/>
              </w:rPr>
            </w:pPr>
            <w:r w:rsidRPr="005D16E5">
              <w:rPr>
                <w:rFonts w:cs="Arial"/>
                <w:b/>
                <w:bCs/>
                <w:color w:val="000000"/>
                <w:sz w:val="20"/>
                <w:szCs w:val="20"/>
              </w:rPr>
              <w:t>k 3</w:t>
            </w:r>
            <w:r w:rsidR="00843428">
              <w:rPr>
                <w:rFonts w:cs="Arial"/>
                <w:b/>
                <w:bCs/>
                <w:color w:val="000000"/>
                <w:sz w:val="20"/>
                <w:szCs w:val="20"/>
              </w:rPr>
              <w:t>0</w:t>
            </w:r>
            <w:r w:rsidRPr="005D16E5">
              <w:rPr>
                <w:rFonts w:cs="Arial"/>
                <w:b/>
                <w:bCs/>
                <w:color w:val="000000"/>
                <w:sz w:val="20"/>
                <w:szCs w:val="20"/>
              </w:rPr>
              <w:t xml:space="preserve">. </w:t>
            </w:r>
            <w:r w:rsidR="00843428">
              <w:rPr>
                <w:rFonts w:cs="Arial"/>
                <w:b/>
                <w:bCs/>
                <w:color w:val="000000"/>
                <w:sz w:val="20"/>
                <w:szCs w:val="20"/>
              </w:rPr>
              <w:t xml:space="preserve">červnu </w:t>
            </w:r>
            <w:r w:rsidRPr="005D16E5">
              <w:rPr>
                <w:rFonts w:cs="Arial"/>
                <w:b/>
                <w:bCs/>
                <w:color w:val="000000"/>
                <w:sz w:val="20"/>
                <w:szCs w:val="20"/>
              </w:rPr>
              <w:t>2016</w:t>
            </w:r>
          </w:p>
        </w:tc>
        <w:tc>
          <w:tcPr>
            <w:tcW w:w="602" w:type="pct"/>
            <w:shd w:val="clear" w:color="auto" w:fill="9C9D9F"/>
            <w:noWrap/>
            <w:vAlign w:val="center"/>
          </w:tcPr>
          <w:p w:rsidR="00037DF3" w:rsidRPr="00673872" w:rsidRDefault="00037DF3" w:rsidP="00037DF3">
            <w:pPr>
              <w:ind w:right="96"/>
              <w:jc w:val="right"/>
              <w:rPr>
                <w:rFonts w:cs="Arial"/>
                <w:b/>
                <w:iCs/>
                <w:color w:val="000000"/>
                <w:sz w:val="20"/>
                <w:szCs w:val="20"/>
              </w:rPr>
            </w:pPr>
            <w:r w:rsidRPr="00673872">
              <w:rPr>
                <w:rFonts w:cs="Arial"/>
                <w:b/>
                <w:iCs/>
                <w:color w:val="000000"/>
                <w:sz w:val="20"/>
                <w:szCs w:val="20"/>
              </w:rPr>
              <w:t>11</w:t>
            </w:r>
            <w:r w:rsidR="00673872" w:rsidRPr="00673872">
              <w:rPr>
                <w:rFonts w:cs="Arial"/>
                <w:b/>
                <w:iCs/>
                <w:color w:val="000000"/>
                <w:sz w:val="20"/>
                <w:szCs w:val="20"/>
              </w:rPr>
              <w:t> </w:t>
            </w:r>
            <w:r w:rsidRPr="00673872">
              <w:rPr>
                <w:rFonts w:cs="Arial"/>
                <w:b/>
                <w:iCs/>
                <w:color w:val="000000"/>
                <w:sz w:val="20"/>
                <w:szCs w:val="20"/>
              </w:rPr>
              <w:t>444</w:t>
            </w:r>
          </w:p>
        </w:tc>
        <w:tc>
          <w:tcPr>
            <w:tcW w:w="601" w:type="pct"/>
            <w:shd w:val="clear" w:color="auto" w:fill="9C9D9F"/>
            <w:vAlign w:val="center"/>
          </w:tcPr>
          <w:p w:rsidR="00037DF3" w:rsidRPr="00673872" w:rsidRDefault="00037DF3" w:rsidP="00037DF3">
            <w:pPr>
              <w:ind w:right="96"/>
              <w:jc w:val="right"/>
              <w:rPr>
                <w:rFonts w:cs="Arial"/>
                <w:b/>
                <w:iCs/>
                <w:color w:val="000000"/>
                <w:sz w:val="20"/>
                <w:szCs w:val="20"/>
              </w:rPr>
            </w:pPr>
            <w:r w:rsidRPr="00673872">
              <w:rPr>
                <w:rFonts w:cs="Arial"/>
                <w:b/>
                <w:iCs/>
                <w:color w:val="000000"/>
                <w:sz w:val="20"/>
                <w:szCs w:val="20"/>
              </w:rPr>
              <w:t>9</w:t>
            </w:r>
            <w:r w:rsidR="00673872" w:rsidRPr="00673872">
              <w:rPr>
                <w:rFonts w:cs="Arial"/>
                <w:b/>
                <w:iCs/>
                <w:color w:val="000000"/>
                <w:sz w:val="20"/>
                <w:szCs w:val="20"/>
              </w:rPr>
              <w:t> </w:t>
            </w:r>
            <w:r w:rsidRPr="00673872">
              <w:rPr>
                <w:rFonts w:cs="Arial"/>
                <w:b/>
                <w:iCs/>
                <w:color w:val="000000"/>
                <w:sz w:val="20"/>
                <w:szCs w:val="20"/>
              </w:rPr>
              <w:t>451</w:t>
            </w:r>
          </w:p>
        </w:tc>
        <w:tc>
          <w:tcPr>
            <w:tcW w:w="555" w:type="pct"/>
            <w:shd w:val="clear" w:color="auto" w:fill="9C9D9F"/>
            <w:vAlign w:val="center"/>
          </w:tcPr>
          <w:p w:rsidR="00037DF3" w:rsidRPr="00673872" w:rsidRDefault="00037DF3" w:rsidP="00037DF3">
            <w:pPr>
              <w:ind w:right="96"/>
              <w:jc w:val="right"/>
              <w:rPr>
                <w:rFonts w:cs="Arial"/>
                <w:b/>
                <w:bCs/>
                <w:color w:val="000000"/>
                <w:sz w:val="20"/>
                <w:szCs w:val="20"/>
              </w:rPr>
            </w:pPr>
            <w:r w:rsidRPr="00673872">
              <w:rPr>
                <w:rFonts w:cs="Arial"/>
                <w:b/>
                <w:bCs/>
                <w:color w:val="000000"/>
                <w:sz w:val="20"/>
                <w:szCs w:val="20"/>
              </w:rPr>
              <w:t>-13 672</w:t>
            </w:r>
          </w:p>
        </w:tc>
        <w:tc>
          <w:tcPr>
            <w:tcW w:w="555" w:type="pct"/>
            <w:shd w:val="clear" w:color="auto" w:fill="9C9D9F"/>
            <w:vAlign w:val="center"/>
          </w:tcPr>
          <w:p w:rsidR="00037DF3" w:rsidRPr="00673872" w:rsidRDefault="00B531D3" w:rsidP="00037DF3">
            <w:pPr>
              <w:ind w:right="96"/>
              <w:jc w:val="right"/>
              <w:rPr>
                <w:rFonts w:cs="Arial"/>
                <w:b/>
                <w:bCs/>
                <w:color w:val="000000"/>
                <w:sz w:val="20"/>
                <w:szCs w:val="20"/>
              </w:rPr>
            </w:pPr>
            <w:r w:rsidRPr="00593942">
              <w:rPr>
                <w:rFonts w:cs="Arial"/>
                <w:b/>
                <w:bCs/>
                <w:color w:val="000000"/>
                <w:sz w:val="20"/>
                <w:szCs w:val="20"/>
              </w:rPr>
              <w:t>2 646</w:t>
            </w:r>
          </w:p>
        </w:tc>
        <w:tc>
          <w:tcPr>
            <w:tcW w:w="555" w:type="pct"/>
            <w:shd w:val="clear" w:color="auto" w:fill="9C9D9F"/>
            <w:vAlign w:val="center"/>
          </w:tcPr>
          <w:p w:rsidR="00037DF3" w:rsidRPr="00673872" w:rsidDel="002D1E65" w:rsidRDefault="00B531D3" w:rsidP="00037DF3">
            <w:pPr>
              <w:ind w:right="96"/>
              <w:jc w:val="right"/>
              <w:rPr>
                <w:rFonts w:cs="Arial"/>
                <w:b/>
                <w:bCs/>
                <w:color w:val="000000"/>
                <w:sz w:val="20"/>
                <w:szCs w:val="20"/>
              </w:rPr>
            </w:pPr>
            <w:r w:rsidRPr="00673872">
              <w:rPr>
                <w:rFonts w:cs="Arial"/>
                <w:b/>
                <w:bCs/>
                <w:color w:val="000000"/>
                <w:sz w:val="20"/>
                <w:szCs w:val="20"/>
              </w:rPr>
              <w:t>-1 683</w:t>
            </w:r>
          </w:p>
        </w:tc>
        <w:tc>
          <w:tcPr>
            <w:tcW w:w="617" w:type="pct"/>
            <w:shd w:val="clear" w:color="auto" w:fill="9C9D9F"/>
            <w:noWrap/>
            <w:vAlign w:val="center"/>
          </w:tcPr>
          <w:p w:rsidR="00037DF3" w:rsidRPr="00673872" w:rsidRDefault="00B531D3" w:rsidP="001F4730">
            <w:pPr>
              <w:ind w:right="96"/>
              <w:jc w:val="right"/>
              <w:rPr>
                <w:rFonts w:cs="Arial"/>
                <w:b/>
                <w:bCs/>
                <w:color w:val="000000"/>
                <w:sz w:val="20"/>
                <w:szCs w:val="20"/>
              </w:rPr>
            </w:pPr>
            <w:r w:rsidRPr="00673872">
              <w:rPr>
                <w:rFonts w:cs="Arial"/>
                <w:b/>
                <w:bCs/>
                <w:color w:val="000000"/>
                <w:sz w:val="20"/>
                <w:szCs w:val="20"/>
              </w:rPr>
              <w:t xml:space="preserve">137 </w:t>
            </w:r>
            <w:r w:rsidR="00583500">
              <w:rPr>
                <w:rFonts w:cs="Arial"/>
                <w:b/>
                <w:bCs/>
                <w:color w:val="000000"/>
                <w:sz w:val="20"/>
                <w:szCs w:val="20"/>
              </w:rPr>
              <w:t>51</w:t>
            </w:r>
            <w:r w:rsidR="001F4730">
              <w:rPr>
                <w:rFonts w:cs="Arial"/>
                <w:b/>
                <w:bCs/>
                <w:color w:val="000000"/>
                <w:sz w:val="20"/>
                <w:szCs w:val="20"/>
              </w:rPr>
              <w:t>7</w:t>
            </w:r>
          </w:p>
        </w:tc>
        <w:tc>
          <w:tcPr>
            <w:tcW w:w="609" w:type="pct"/>
            <w:shd w:val="clear" w:color="auto" w:fill="9C9D9F"/>
            <w:vAlign w:val="center"/>
          </w:tcPr>
          <w:p w:rsidR="00037DF3" w:rsidRPr="00673872" w:rsidRDefault="00B531D3" w:rsidP="00583500">
            <w:pPr>
              <w:ind w:right="94"/>
              <w:jc w:val="right"/>
              <w:rPr>
                <w:rFonts w:cs="Arial"/>
                <w:b/>
                <w:bCs/>
                <w:color w:val="000000"/>
                <w:sz w:val="20"/>
                <w:szCs w:val="20"/>
              </w:rPr>
            </w:pPr>
            <w:r w:rsidRPr="00673872">
              <w:rPr>
                <w:b/>
                <w:color w:val="000000"/>
                <w:sz w:val="20"/>
                <w:szCs w:val="20"/>
              </w:rPr>
              <w:t xml:space="preserve">145 </w:t>
            </w:r>
            <w:r w:rsidR="00583500">
              <w:rPr>
                <w:b/>
                <w:color w:val="000000"/>
                <w:sz w:val="20"/>
                <w:szCs w:val="20"/>
              </w:rPr>
              <w:t>703</w:t>
            </w:r>
          </w:p>
        </w:tc>
      </w:tr>
    </w:tbl>
    <w:p w:rsidR="00CC1601" w:rsidRPr="007A3749" w:rsidRDefault="00CC1601" w:rsidP="007A3749"/>
    <w:p w:rsidR="008A66C6" w:rsidRDefault="008A66C6">
      <w:pPr>
        <w:spacing w:before="0" w:beforeAutospacing="0" w:after="0" w:afterAutospacing="0"/>
        <w:jc w:val="left"/>
        <w:rPr>
          <w:b/>
          <w:bCs/>
          <w:kern w:val="32"/>
          <w:sz w:val="28"/>
          <w:szCs w:val="28"/>
        </w:rPr>
      </w:pPr>
      <w:r>
        <w:br w:type="page"/>
      </w:r>
    </w:p>
    <w:p w:rsidR="00236FFC" w:rsidRPr="007A3749" w:rsidRDefault="006F6E73" w:rsidP="00396F0C">
      <w:pPr>
        <w:pStyle w:val="Heading2"/>
      </w:pPr>
      <w:bookmarkStart w:id="105" w:name="_Toc458586531"/>
      <w:r w:rsidRPr="006F6E73">
        <w:lastRenderedPageBreak/>
        <w:t>Vybrané vysvětlující poznámky k mezitímní konsolidované účetní závěrce</w:t>
      </w:r>
      <w:bookmarkEnd w:id="105"/>
      <w:r w:rsidR="00236FFC" w:rsidRPr="007A3749">
        <w:t xml:space="preserve"> </w:t>
      </w:r>
    </w:p>
    <w:p w:rsidR="00236FFC" w:rsidRPr="007A3749" w:rsidRDefault="00236FFC" w:rsidP="006F6E73">
      <w:pPr>
        <w:pStyle w:val="Heading4"/>
      </w:pPr>
      <w:r w:rsidRPr="007A3749">
        <w:t>Základní předpoklady přípravy účetních výkazů</w:t>
      </w:r>
    </w:p>
    <w:p w:rsidR="00236FFC" w:rsidRPr="007A3749" w:rsidRDefault="00236FFC" w:rsidP="007A3749">
      <w:r w:rsidRPr="007A3749">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rsidR="00236FFC" w:rsidRPr="006F6E73" w:rsidRDefault="00236FFC" w:rsidP="00BC1C24">
      <w:pPr>
        <w:pStyle w:val="Heading4"/>
      </w:pPr>
      <w:r w:rsidRPr="006F6E73">
        <w:t xml:space="preserve">Zásadní účetní postupy používané Společností </w:t>
      </w:r>
    </w:p>
    <w:p w:rsidR="00236FFC" w:rsidRPr="007A3749" w:rsidRDefault="00236FFC" w:rsidP="007A3749">
      <w:r w:rsidRPr="007A3749">
        <w:t>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w:t>
      </w:r>
      <w:r w:rsidR="00BC1C24">
        <w:t>5</w:t>
      </w:r>
      <w:r w:rsidRPr="007A3749">
        <w:t xml:space="preserve">. </w:t>
      </w:r>
    </w:p>
    <w:p w:rsidR="00236FFC" w:rsidRPr="006F6E73" w:rsidRDefault="00236FFC" w:rsidP="00BC1C24">
      <w:pPr>
        <w:pStyle w:val="Heading4"/>
      </w:pPr>
      <w:r w:rsidRPr="006F6E73">
        <w:t>Sezónní a ekonomické vlivy</w:t>
      </w:r>
    </w:p>
    <w:p w:rsidR="00236FFC" w:rsidRPr="007A3749" w:rsidRDefault="00236FFC" w:rsidP="007A3749">
      <w:r w:rsidRPr="007A3749">
        <w:t xml:space="preserve">Podnikání společnosti PEGAS NONWOVENS SA není v podstatě ovlivňováno sezónními a ekonomickými faktory mimo běžného ekonomického cyklu, ačkoliv trh s hygienickými potřebami je do značné míry necyklický.  </w:t>
      </w:r>
    </w:p>
    <w:p w:rsidR="00926D63" w:rsidRPr="00C93D77" w:rsidRDefault="00926D63" w:rsidP="00926D63">
      <w:pPr>
        <w:pStyle w:val="Heading4"/>
      </w:pPr>
      <w:r>
        <w:t>Významné události a transakce</w:t>
      </w:r>
    </w:p>
    <w:p w:rsidR="00926D63" w:rsidRDefault="00926D63" w:rsidP="00926D63">
      <w:r>
        <w:t>Během prvního pololetí 2016 nedošlo k žádným významným událostem nebo transakcím, které by byly významné pro porozumění změn ve výkazu o finanční situaci a hospodaření Společnosti.</w:t>
      </w:r>
    </w:p>
    <w:p w:rsidR="00236FFC" w:rsidRPr="007A3749" w:rsidRDefault="00236FFC" w:rsidP="00BC1C24">
      <w:pPr>
        <w:pStyle w:val="Heading4"/>
      </w:pPr>
      <w:r w:rsidRPr="007A3749">
        <w:t>Použití odhadů a úsudků</w:t>
      </w:r>
    </w:p>
    <w:p w:rsidR="00236FFC" w:rsidRPr="007A3749" w:rsidRDefault="00236FFC" w:rsidP="007A3749">
      <w:r w:rsidRPr="007A3749">
        <w:t>Pro přípravu mezitímních účetních výkazů v souladu s IFRS je nutné, aby vedení Společnosti učinilo některé úsudky, odhady a předpoklady, které ovlivňují aplikaci účetních postupů a výši vykazovaných aktiv a pasiv, výnosů a nákladů. Odhady</w:t>
      </w:r>
      <w:r w:rsidR="006D37C5" w:rsidRPr="007A3749">
        <w:t xml:space="preserve"> </w:t>
      </w:r>
      <w:r w:rsidRPr="007A3749">
        <w:t xml:space="preserve">a jejich předpoklady jsou aplikovány na základě historických zkušeností a jiných relevantních faktorů. Stanovení odhadů má za cíl poskytnout věrný a poctivý obraz o finanční situaci Společnosti, zejména při určení hodnoty aktiv a pasiv, u kterých tato hodnota nemůže být spolehlivě zjištěna z jiných </w:t>
      </w:r>
      <w:r w:rsidR="006F6E73">
        <w:t>z</w:t>
      </w:r>
      <w:r w:rsidRPr="007A3749">
        <w:t xml:space="preserve">drojů. Skutečné výsledky se mohou od těchto odhadů lišit. </w:t>
      </w:r>
    </w:p>
    <w:p w:rsidR="00236FFC" w:rsidRPr="007A3749" w:rsidRDefault="00236FFC" w:rsidP="007A3749">
      <w:r w:rsidRPr="007A3749">
        <w:t xml:space="preserve">Od vydání předchozích účetních výkazů nedošlo k žádným změnám v povaze nebo výši použitých odhadů. </w:t>
      </w:r>
    </w:p>
    <w:p w:rsidR="00236FFC" w:rsidRPr="007A3749" w:rsidRDefault="00236FFC" w:rsidP="00BC1C24">
      <w:pPr>
        <w:pStyle w:val="Heading4"/>
      </w:pPr>
      <w:r w:rsidRPr="000F5101">
        <w:t>Odkupy a splátky dluhu a majetkových cenných papírů</w:t>
      </w:r>
      <w:r w:rsidRPr="007A3749">
        <w:t xml:space="preserve"> </w:t>
      </w:r>
    </w:p>
    <w:p w:rsidR="000F5101" w:rsidRDefault="000F5101" w:rsidP="000F5101">
      <w:r>
        <w:t xml:space="preserve">Bankovní úvěry čerpané Společností sestávají z kontokorentního úvěru (až do výše 20 milionů EUR). V průběhu prvních šesti měsíců roku 2016 Společnost snížila svůj zůstatek kontokorentního úvěru z 7 111 tisíc EUR na 0 EUR a v současnosti tak tuto úvěrovou linku </w:t>
      </w:r>
      <w:r>
        <w:lastRenderedPageBreak/>
        <w:t>nepoužívá. Společnost neuzavřela v prvním pololetí roku 2016 žádné nové smlouvy na bankovní úvěry.</w:t>
      </w:r>
    </w:p>
    <w:p w:rsidR="000F5101" w:rsidRDefault="000F5101" w:rsidP="000F5101">
      <w:r>
        <w:t>V prvním pololetí roku 2016 nedošlo k žádným odkupům nebo splátkám dluhových cenných papírů.</w:t>
      </w:r>
    </w:p>
    <w:p w:rsidR="00236FFC" w:rsidRPr="007A3749" w:rsidRDefault="000F5101" w:rsidP="000F5101">
      <w:r>
        <w:t>V prvním pololetí roku 2016 odkoupila společnost v rámci programu zpětného odkupu 32 929 vlastních akcií v pořizovací hodnotě 875 tisíc EUR, které představují 0,36 % základního kapitálu Společnosti. Společnost tak k 8. únoru 2016 ukončila program zpětného odkupu akcií a k dnešnímu dni drží 461 470 vlastních akcií, což představuje 5 % jejího základního kapitálu.</w:t>
      </w:r>
    </w:p>
    <w:p w:rsidR="00236FFC" w:rsidRPr="007A3749" w:rsidRDefault="00236FFC" w:rsidP="00BC1C24">
      <w:pPr>
        <w:pStyle w:val="Heading4"/>
      </w:pPr>
      <w:r w:rsidRPr="007A3749">
        <w:t>Dividenda</w:t>
      </w:r>
    </w:p>
    <w:p w:rsidR="006D3AE4" w:rsidRPr="007A3749" w:rsidRDefault="006D3AE4" w:rsidP="007A3749">
      <w:r w:rsidRPr="007A3749">
        <w:t>Řádná valná hromada Společnosti, jež se konala dne 1</w:t>
      </w:r>
      <w:r w:rsidR="00317B41" w:rsidRPr="007A3749">
        <w:t>5</w:t>
      </w:r>
      <w:r w:rsidRPr="007A3749">
        <w:t>. června 201</w:t>
      </w:r>
      <w:r w:rsidR="006B5CD9">
        <w:t>6</w:t>
      </w:r>
      <w:r w:rsidRPr="007A3749">
        <w:t xml:space="preserve"> v Lucemburku, rozhodla o schválení výplaty dividendy ve výši </w:t>
      </w:r>
      <w:r w:rsidR="00C34808" w:rsidRPr="00C34808">
        <w:t xml:space="preserve">11 536 750 </w:t>
      </w:r>
      <w:r w:rsidR="00317B41" w:rsidRPr="007A3749">
        <w:t xml:space="preserve"> </w:t>
      </w:r>
      <w:r w:rsidR="006B5CD9">
        <w:t>EUR, tj. 1,2</w:t>
      </w:r>
      <w:r w:rsidR="00C751D6" w:rsidRPr="007A3749">
        <w:t>5</w:t>
      </w:r>
      <w:r w:rsidRPr="007A3749">
        <w:t xml:space="preserve"> EUR na akcii.</w:t>
      </w:r>
    </w:p>
    <w:p w:rsidR="00236FFC" w:rsidRPr="007A3749" w:rsidRDefault="006D3AE4" w:rsidP="007A3749">
      <w:r w:rsidRPr="007A3749">
        <w:t xml:space="preserve">Zdrojem výplaty dividendy </w:t>
      </w:r>
      <w:r w:rsidR="00843428">
        <w:t>je</w:t>
      </w:r>
      <w:r w:rsidRPr="007A3749">
        <w:t xml:space="preserve"> zisk roku 201</w:t>
      </w:r>
      <w:r w:rsidR="00C34808">
        <w:t>5</w:t>
      </w:r>
      <w:r w:rsidRPr="007A3749">
        <w:t xml:space="preserve"> a nerozdělený zisk minulých let. Rozhodný den pro vznik nároku na dividendu (tj. den, na jehož konci jsou akcie s nárokem na dividendu registrovány na účtech oprávněných osob ve vypořádacích systémech Centrálního depozitáře cenných papírů, a.s., Krajowy Depozyt Papierów Wartościowych Spółka Akcyjna či jiných příslušných vypořádacích systémů) byl stanoven na 1</w:t>
      </w:r>
      <w:r w:rsidR="00C34808">
        <w:t>4</w:t>
      </w:r>
      <w:r w:rsidRPr="007A3749">
        <w:t>. října 201</w:t>
      </w:r>
      <w:r w:rsidR="00C34808">
        <w:t>6</w:t>
      </w:r>
      <w:r w:rsidRPr="007A3749">
        <w:t xml:space="preserve"> a den výplaty dividendy na 2</w:t>
      </w:r>
      <w:r w:rsidR="00C34808">
        <w:t>6</w:t>
      </w:r>
      <w:r w:rsidRPr="007A3749">
        <w:t>. října 201</w:t>
      </w:r>
      <w:r w:rsidR="00C34808">
        <w:t>6</w:t>
      </w:r>
      <w:r w:rsidRPr="007A3749">
        <w:t>.</w:t>
      </w:r>
      <w:r w:rsidR="00236FFC" w:rsidRPr="007A3749">
        <w:t xml:space="preserve"> </w:t>
      </w:r>
    </w:p>
    <w:p w:rsidR="00236FFC" w:rsidRPr="007A3749" w:rsidRDefault="00236FFC" w:rsidP="00BC1C24">
      <w:pPr>
        <w:pStyle w:val="Heading4"/>
      </w:pPr>
      <w:r w:rsidRPr="007A3749">
        <w:t>Vykazování dle segmentů</w:t>
      </w:r>
    </w:p>
    <w:p w:rsidR="00236FFC" w:rsidRPr="007A3749" w:rsidRDefault="00236FFC" w:rsidP="007A3749">
      <w:r w:rsidRPr="007A3749">
        <w:t>Standard IFRS 8 vyžaduje identifikaci provozních segmentů na základě rozdělení interních výkazů, které jsou pravidelně vyhodnocovány subjektem s rozhodovací pravomocí za účelem alokace zdrojů a posouzení jejich výkonu.</w:t>
      </w:r>
      <w:r w:rsidRPr="007A3749" w:rsidDel="00A842D8">
        <w:t xml:space="preserve"> </w:t>
      </w:r>
      <w:r w:rsidRPr="007A3749">
        <w:t xml:space="preserve">V souladu s IFRS 8 Skupina identifikovala jediný provozní segment, a to výrobu netkaných textilií. </w:t>
      </w:r>
    </w:p>
    <w:p w:rsidR="00236FFC" w:rsidRDefault="00236FFC" w:rsidP="00BC1C24">
      <w:pPr>
        <w:pStyle w:val="Heading4"/>
      </w:pPr>
      <w:r w:rsidRPr="009E561C">
        <w:t>Významné události po skončení mezitímního období</w:t>
      </w:r>
    </w:p>
    <w:p w:rsidR="00AA01FF" w:rsidRPr="00AA01FF" w:rsidRDefault="00AA01FF" w:rsidP="009E561C">
      <w:pPr>
        <w:rPr>
          <w:b/>
        </w:rPr>
      </w:pPr>
      <w:r w:rsidRPr="00AA01FF">
        <w:rPr>
          <w:b/>
        </w:rPr>
        <w:t>Založení dceřiné společnosti v Jihoafrické republice</w:t>
      </w:r>
    </w:p>
    <w:p w:rsidR="00AA01FF" w:rsidRDefault="00AA01FF" w:rsidP="00AA01FF">
      <w:r>
        <w:t>PEGAS v souladu s rozhodnutím představenstva zveřejněným dne 16. června 2016 založil v Jihoafrické republice dceřinou společnost pod názvem PEGAS NONWOVENS RSA (PTY) LTD. Dceřiná společnost byla zapsána s platností k 11. červenci 2016 a je ve 100 % vlastnictví skupiny PEGAS.</w:t>
      </w:r>
    </w:p>
    <w:p w:rsidR="009E561C" w:rsidRPr="009E561C" w:rsidRDefault="009E561C" w:rsidP="009E561C">
      <w:r>
        <w:t>Vedení Skupiny si není vědomo jakýchkoli dalších skutečností, které se staly po datu účetní závěrky a které by měly významný vliv na konsolidované účetní výkazy k 30. červnu 2016.</w:t>
      </w:r>
    </w:p>
    <w:p w:rsidR="00AA01FF" w:rsidRDefault="00AA01FF">
      <w:pPr>
        <w:spacing w:before="0" w:beforeAutospacing="0" w:after="0" w:afterAutospacing="0"/>
        <w:jc w:val="left"/>
        <w:rPr>
          <w:b/>
          <w:color w:val="E2001C"/>
        </w:rPr>
      </w:pPr>
      <w:r>
        <w:br w:type="page"/>
      </w:r>
    </w:p>
    <w:p w:rsidR="00236FFC" w:rsidRPr="007A3749" w:rsidRDefault="00236FFC" w:rsidP="00BC1C24">
      <w:pPr>
        <w:pStyle w:val="Heading4"/>
      </w:pPr>
      <w:r w:rsidRPr="007A3749">
        <w:lastRenderedPageBreak/>
        <w:t xml:space="preserve">Změny ve složení entity a konsolidačním celku </w:t>
      </w:r>
    </w:p>
    <w:p w:rsidR="00790A4E" w:rsidRPr="007A3749" w:rsidRDefault="00236FFC" w:rsidP="007A3749">
      <w:pPr>
        <w:rPr>
          <w:i/>
          <w:color w:val="000000"/>
        </w:rPr>
      </w:pPr>
      <w:r w:rsidRPr="007A3749">
        <w:t>V průběhu vykazovaného období nedošlo k žádným změnám v konsolidačním celku s porovnávaným obdobím.</w:t>
      </w:r>
    </w:p>
    <w:p w:rsidR="00236FFC" w:rsidRPr="007A3749" w:rsidRDefault="00236FFC" w:rsidP="00BC1C24">
      <w:pPr>
        <w:pStyle w:val="Heading4"/>
      </w:pPr>
      <w:r w:rsidRPr="007A3749">
        <w:t>Informace o reálné hodnotě finančních instrumentů</w:t>
      </w:r>
    </w:p>
    <w:p w:rsidR="00236FFC" w:rsidRPr="007A3749" w:rsidRDefault="00236FFC" w:rsidP="007A3749">
      <w:r w:rsidRPr="007A3749">
        <w:t xml:space="preserve">Za období prvních </w:t>
      </w:r>
      <w:r w:rsidR="00D9295E" w:rsidRPr="007A3749">
        <w:t>šesti</w:t>
      </w:r>
      <w:r w:rsidRPr="007A3749">
        <w:t xml:space="preserve"> měsíců tohoto roku nedošlo k žádné změně ve způsobu ocenění finančních instrumentů.</w:t>
      </w:r>
    </w:p>
    <w:p w:rsidR="00236FFC" w:rsidRPr="006F6E73" w:rsidRDefault="00236FFC" w:rsidP="007A3749">
      <w:pPr>
        <w:rPr>
          <w:b/>
        </w:rPr>
      </w:pPr>
      <w:r w:rsidRPr="006F6E73">
        <w:rPr>
          <w:b/>
        </w:rPr>
        <w:t xml:space="preserve">Úrokové swapy </w:t>
      </w:r>
    </w:p>
    <w:p w:rsidR="00C07134" w:rsidRDefault="00236FFC" w:rsidP="007A3749">
      <w:r w:rsidRPr="007A3749">
        <w:t xml:space="preserve">Společnost </w:t>
      </w:r>
      <w:r w:rsidR="00AA01FF">
        <w:t>ne</w:t>
      </w:r>
      <w:r w:rsidRPr="007A3749">
        <w:t>měla k</w:t>
      </w:r>
      <w:r w:rsidR="00135DB6" w:rsidRPr="007A3749">
        <w:t> 30</w:t>
      </w:r>
      <w:r w:rsidRPr="007A3749">
        <w:t xml:space="preserve">. </w:t>
      </w:r>
      <w:r w:rsidR="00135DB6" w:rsidRPr="007A3749">
        <w:t>červn</w:t>
      </w:r>
      <w:r w:rsidRPr="007A3749">
        <w:t>u 201</w:t>
      </w:r>
      <w:r w:rsidR="00AA01FF">
        <w:t>6</w:t>
      </w:r>
      <w:r w:rsidRPr="007A3749">
        <w:t xml:space="preserve"> otevřeny </w:t>
      </w:r>
      <w:r w:rsidR="00AA01FF">
        <w:t>žádné úrokové swapy. D</w:t>
      </w:r>
      <w:r w:rsidRPr="007A3749">
        <w:t>va úrokové swapy uzavřené v roce 2011 v celkové nominální hodnotě 98 000 tis. EUR</w:t>
      </w:r>
      <w:r w:rsidR="00AA01FF">
        <w:t xml:space="preserve"> dosáhly splatnosti k 14</w:t>
      </w:r>
      <w:r w:rsidR="00AA01FF" w:rsidRPr="00AA01FF">
        <w:t>.</w:t>
      </w:r>
      <w:r w:rsidR="00AA01FF">
        <w:t> červnu 2016</w:t>
      </w:r>
      <w:r w:rsidRPr="007A3749">
        <w:t xml:space="preserve">. </w:t>
      </w:r>
    </w:p>
    <w:p w:rsidR="00AA01FF" w:rsidRPr="006F6E73" w:rsidRDefault="00AA01FF" w:rsidP="00AA01FF">
      <w:pPr>
        <w:rPr>
          <w:b/>
        </w:rPr>
      </w:pPr>
      <w:r w:rsidRPr="006F6E73">
        <w:rPr>
          <w:b/>
        </w:rPr>
        <w:t>Měnové forwardy</w:t>
      </w:r>
    </w:p>
    <w:p w:rsidR="00AA01FF" w:rsidRDefault="00AA01FF" w:rsidP="00AA01FF">
      <w:r w:rsidRPr="007A3749">
        <w:t>Společnost neměla k 30. červnu 201</w:t>
      </w:r>
      <w:r>
        <w:t>6</w:t>
      </w:r>
      <w:r w:rsidRPr="007A3749">
        <w:t xml:space="preserve"> otevřeny žádné měnové forwardy.</w:t>
      </w:r>
    </w:p>
    <w:p w:rsidR="00C07134" w:rsidRPr="006E2A71" w:rsidRDefault="00C07134" w:rsidP="007A3749">
      <w:pPr>
        <w:rPr>
          <w:b/>
        </w:rPr>
      </w:pPr>
      <w:r w:rsidRPr="006E2A71">
        <w:rPr>
          <w:b/>
        </w:rPr>
        <w:t>Křížov</w:t>
      </w:r>
      <w:r w:rsidR="00656ADD">
        <w:rPr>
          <w:b/>
        </w:rPr>
        <w:t>é</w:t>
      </w:r>
      <w:r w:rsidRPr="006E2A71">
        <w:rPr>
          <w:b/>
        </w:rPr>
        <w:t xml:space="preserve"> měnov</w:t>
      </w:r>
      <w:r w:rsidR="00656ADD">
        <w:rPr>
          <w:b/>
        </w:rPr>
        <w:t>é</w:t>
      </w:r>
      <w:r w:rsidRPr="006E2A71">
        <w:rPr>
          <w:b/>
        </w:rPr>
        <w:t xml:space="preserve"> swap</w:t>
      </w:r>
      <w:r w:rsidR="00656ADD">
        <w:rPr>
          <w:b/>
        </w:rPr>
        <w:t>y</w:t>
      </w:r>
    </w:p>
    <w:p w:rsidR="00AA01FF" w:rsidRPr="00DD4E70" w:rsidRDefault="00AA01FF" w:rsidP="00AA01FF">
      <w:pPr>
        <w:rPr>
          <w:rFonts w:cs="Arial"/>
          <w:color w:val="000000"/>
        </w:rPr>
      </w:pPr>
      <w:r w:rsidRPr="00DD4E70">
        <w:rPr>
          <w:rFonts w:cs="Arial"/>
          <w:color w:val="000000"/>
        </w:rPr>
        <w:t>Společnost měla k 3</w:t>
      </w:r>
      <w:r>
        <w:rPr>
          <w:rFonts w:cs="Arial"/>
          <w:color w:val="000000"/>
        </w:rPr>
        <w:t>0</w:t>
      </w:r>
      <w:r w:rsidRPr="00DD4E70">
        <w:rPr>
          <w:rFonts w:cs="Arial"/>
          <w:color w:val="000000"/>
        </w:rPr>
        <w:t xml:space="preserve">. </w:t>
      </w:r>
      <w:r w:rsidR="0043760E">
        <w:rPr>
          <w:rFonts w:cs="Arial"/>
          <w:color w:val="000000"/>
        </w:rPr>
        <w:t>č</w:t>
      </w:r>
      <w:r>
        <w:rPr>
          <w:rFonts w:cs="Arial"/>
          <w:color w:val="000000"/>
        </w:rPr>
        <w:t xml:space="preserve">ervnu </w:t>
      </w:r>
      <w:r w:rsidRPr="00DD4E70">
        <w:rPr>
          <w:rFonts w:cs="Arial"/>
          <w:color w:val="000000"/>
        </w:rPr>
        <w:t xml:space="preserve">2016 otevřeny tři křížové měnové swapy. </w:t>
      </w:r>
    </w:p>
    <w:p w:rsidR="00AA01FF" w:rsidRPr="00DD4E70" w:rsidRDefault="00AA01FF" w:rsidP="00AA01FF">
      <w:pPr>
        <w:rPr>
          <w:rFonts w:cs="Arial"/>
          <w:color w:val="000000"/>
        </w:rPr>
      </w:pPr>
      <w:r w:rsidRPr="00DD4E70">
        <w:rPr>
          <w:rFonts w:cs="Arial"/>
          <w:color w:val="000000"/>
        </w:rPr>
        <w:t>První swap</w:t>
      </w:r>
      <w:r w:rsidR="00E37C2A">
        <w:rPr>
          <w:rFonts w:cs="Arial"/>
          <w:color w:val="000000"/>
        </w:rPr>
        <w:t xml:space="preserve"> (dále jen „CCIRS 1“)</w:t>
      </w:r>
      <w:r w:rsidRPr="00DD4E70">
        <w:rPr>
          <w:rFonts w:cs="Arial"/>
          <w:color w:val="000000"/>
        </w:rPr>
        <w:t xml:space="preserve"> byl  uzavřen v listopadu 2014 v celkové nominální hodnotě 2 489 575 tis. Kč (příjmová strana) proti 90 201 tis. EUR (platební strana) s cílem zajistit měnové riziko u korunové emise veřejných dluhopisů Pegas 2,85/2018. </w:t>
      </w:r>
    </w:p>
    <w:p w:rsidR="00AA01FF" w:rsidRPr="00DD4E70" w:rsidRDefault="00AA01FF" w:rsidP="00AA01FF">
      <w:pPr>
        <w:rPr>
          <w:rFonts w:cs="Arial"/>
          <w:color w:val="000000"/>
        </w:rPr>
      </w:pPr>
      <w:r w:rsidRPr="00DD4E70">
        <w:rPr>
          <w:rFonts w:cs="Arial"/>
          <w:color w:val="000000"/>
        </w:rPr>
        <w:t xml:space="preserve">Druhý swap </w:t>
      </w:r>
      <w:r w:rsidR="00E37C2A">
        <w:rPr>
          <w:rFonts w:cs="Arial"/>
          <w:color w:val="000000"/>
        </w:rPr>
        <w:t xml:space="preserve">(dále jen „CCIRS 2“) </w:t>
      </w:r>
      <w:r w:rsidRPr="00DD4E70">
        <w:rPr>
          <w:rFonts w:cs="Arial"/>
          <w:color w:val="000000"/>
        </w:rPr>
        <w:t xml:space="preserve">byl  uzavřen v červenci 2015 v celkové nominální hodnotě 678 000 tis. Kč (příjmová strana) proti 25 000 tis. EUR (platební strana) s cílem zajistit </w:t>
      </w:r>
      <w:r>
        <w:rPr>
          <w:rFonts w:cs="Arial"/>
          <w:color w:val="000000"/>
        </w:rPr>
        <w:t xml:space="preserve">úrokové a </w:t>
      </w:r>
      <w:r w:rsidRPr="00DD4E70">
        <w:rPr>
          <w:rFonts w:cs="Arial"/>
          <w:color w:val="000000"/>
        </w:rPr>
        <w:t xml:space="preserve">měnové riziko u korunové emise soukromých dluhopisů splatných 14. července 2025 s variabilním úrokovým výnosem 6M PRIBOR + 2,00 % p.a. </w:t>
      </w:r>
    </w:p>
    <w:p w:rsidR="00AA01FF" w:rsidRPr="00DD4E70" w:rsidRDefault="00AA01FF" w:rsidP="00AA01FF">
      <w:pPr>
        <w:rPr>
          <w:rFonts w:cs="Arial"/>
          <w:color w:val="000000"/>
        </w:rPr>
      </w:pPr>
      <w:r w:rsidRPr="00DD4E70">
        <w:rPr>
          <w:rFonts w:cs="Arial"/>
          <w:color w:val="000000"/>
        </w:rPr>
        <w:t xml:space="preserve">Třetí swap </w:t>
      </w:r>
      <w:r w:rsidR="00E37C2A">
        <w:rPr>
          <w:rFonts w:cs="Arial"/>
          <w:color w:val="000000"/>
        </w:rPr>
        <w:t xml:space="preserve">(dále jen „CCIRS 3“) </w:t>
      </w:r>
      <w:r w:rsidRPr="00DD4E70">
        <w:rPr>
          <w:rFonts w:cs="Arial"/>
          <w:color w:val="000000"/>
        </w:rPr>
        <w:t xml:space="preserve">byl  uzavřen v červenci 2015 v celkové nominální hodnotě 1 080 000 tis. Kč (příjmová strana) proti 39 852 tis. EUR (platební strana) s cílem zajistit měnové riziko u korunové emise soukromých dluhopisů splatných 14. července 2022 s pevným úrokovým výnosem 2,646 % p.a. </w:t>
      </w:r>
    </w:p>
    <w:p w:rsidR="00AA01FF" w:rsidRPr="00DD4E70" w:rsidRDefault="00AA01FF" w:rsidP="00AA01FF">
      <w:pPr>
        <w:rPr>
          <w:rFonts w:cs="Arial"/>
          <w:color w:val="000000"/>
        </w:rPr>
      </w:pPr>
      <w:r w:rsidRPr="00DD4E70">
        <w:rPr>
          <w:rFonts w:cs="Arial"/>
          <w:color w:val="000000"/>
        </w:rPr>
        <w:t>Ke křížovým měnovým swapům Společnost vede zajišťovací účetnictví. Změn</w:t>
      </w:r>
      <w:r>
        <w:rPr>
          <w:rFonts w:cs="Arial"/>
          <w:color w:val="000000"/>
        </w:rPr>
        <w:t>a</w:t>
      </w:r>
      <w:r w:rsidRPr="00DD4E70">
        <w:rPr>
          <w:rFonts w:cs="Arial"/>
          <w:color w:val="000000"/>
        </w:rPr>
        <w:t xml:space="preserve"> v reálné hodnotě těchto swapů, která je považována za efektivní z hlediska zajištění, j</w:t>
      </w:r>
      <w:r>
        <w:rPr>
          <w:rFonts w:cs="Arial"/>
          <w:color w:val="000000"/>
        </w:rPr>
        <w:t>e</w:t>
      </w:r>
      <w:r w:rsidRPr="00DD4E70">
        <w:rPr>
          <w:rFonts w:cs="Arial"/>
          <w:color w:val="000000"/>
        </w:rPr>
        <w:t xml:space="preserve"> vykazován</w:t>
      </w:r>
      <w:r>
        <w:rPr>
          <w:rFonts w:cs="Arial"/>
          <w:color w:val="000000"/>
        </w:rPr>
        <w:t>a</w:t>
      </w:r>
      <w:r w:rsidRPr="00DD4E70">
        <w:rPr>
          <w:rFonts w:cs="Arial"/>
          <w:color w:val="000000"/>
        </w:rPr>
        <w:t xml:space="preserve"> ve vlastním kapitálu. Změn</w:t>
      </w:r>
      <w:r>
        <w:rPr>
          <w:rFonts w:cs="Arial"/>
          <w:color w:val="000000"/>
        </w:rPr>
        <w:t>a</w:t>
      </w:r>
      <w:r w:rsidRPr="00DD4E70">
        <w:rPr>
          <w:rFonts w:cs="Arial"/>
          <w:color w:val="000000"/>
        </w:rPr>
        <w:t xml:space="preserve"> v reálné hodnotě těchto swapů z části, která je považována za neefektivní z hlediska zajištění, j</w:t>
      </w:r>
      <w:r>
        <w:rPr>
          <w:rFonts w:cs="Arial"/>
          <w:color w:val="000000"/>
        </w:rPr>
        <w:t>e</w:t>
      </w:r>
      <w:r w:rsidRPr="00DD4E70">
        <w:rPr>
          <w:rFonts w:cs="Arial"/>
          <w:color w:val="000000"/>
        </w:rPr>
        <w:t xml:space="preserve"> účtován</w:t>
      </w:r>
      <w:r>
        <w:rPr>
          <w:rFonts w:cs="Arial"/>
          <w:color w:val="000000"/>
        </w:rPr>
        <w:t>a</w:t>
      </w:r>
      <w:r w:rsidRPr="00DD4E70">
        <w:rPr>
          <w:rFonts w:cs="Arial"/>
          <w:color w:val="000000"/>
        </w:rPr>
        <w:t xml:space="preserve"> ve výkazu zisků a ztráty. </w:t>
      </w:r>
    </w:p>
    <w:p w:rsidR="00AA01FF" w:rsidRDefault="00AA01FF" w:rsidP="00AA01FF">
      <w:pPr>
        <w:rPr>
          <w:rFonts w:cs="Arial"/>
          <w:color w:val="000000"/>
        </w:rPr>
      </w:pPr>
      <w:r w:rsidRPr="00DD4E70">
        <w:rPr>
          <w:rFonts w:cs="Arial"/>
          <w:color w:val="000000"/>
        </w:rPr>
        <w:t>Reálná hodnota těchto swapů k 3</w:t>
      </w:r>
      <w:r>
        <w:rPr>
          <w:rFonts w:cs="Arial"/>
          <w:color w:val="000000"/>
        </w:rPr>
        <w:t>0</w:t>
      </w:r>
      <w:r w:rsidRPr="00DD4E70">
        <w:rPr>
          <w:rFonts w:cs="Arial"/>
          <w:color w:val="000000"/>
        </w:rPr>
        <w:t xml:space="preserve">. </w:t>
      </w:r>
      <w:r w:rsidR="0043760E">
        <w:rPr>
          <w:rFonts w:cs="Arial"/>
          <w:color w:val="000000"/>
        </w:rPr>
        <w:t>č</w:t>
      </w:r>
      <w:r>
        <w:rPr>
          <w:rFonts w:cs="Arial"/>
          <w:color w:val="000000"/>
        </w:rPr>
        <w:t xml:space="preserve">ervnu </w:t>
      </w:r>
      <w:r w:rsidRPr="00DD4E70">
        <w:rPr>
          <w:rFonts w:cs="Arial"/>
          <w:color w:val="000000"/>
        </w:rPr>
        <w:t>2016</w:t>
      </w:r>
      <w:r>
        <w:rPr>
          <w:rFonts w:cs="Arial"/>
          <w:color w:val="000000"/>
        </w:rPr>
        <w:t xml:space="preserve"> </w:t>
      </w:r>
      <w:r w:rsidRPr="00DD4E70">
        <w:rPr>
          <w:rFonts w:cs="Arial"/>
          <w:color w:val="000000"/>
        </w:rPr>
        <w:t xml:space="preserve">je </w:t>
      </w:r>
      <w:r>
        <w:rPr>
          <w:rFonts w:cs="Arial"/>
          <w:color w:val="000000"/>
        </w:rPr>
        <w:t xml:space="preserve">uvedena </w:t>
      </w:r>
      <w:r w:rsidRPr="00DD4E70">
        <w:rPr>
          <w:rFonts w:cs="Arial"/>
          <w:color w:val="000000"/>
        </w:rPr>
        <w:t>v následující tabulce. Kladná hodnota představuje pohledávku Společnosti, záporná hodnota závazek Společnosti.</w:t>
      </w:r>
    </w:p>
    <w:p w:rsidR="00AA01FF" w:rsidRDefault="00AA01FF" w:rsidP="00AA01FF"/>
    <w:tbl>
      <w:tblPr>
        <w:tblW w:w="9142" w:type="dxa"/>
        <w:tblInd w:w="70" w:type="dxa"/>
        <w:tblCellMar>
          <w:left w:w="70" w:type="dxa"/>
          <w:right w:w="70" w:type="dxa"/>
        </w:tblCellMar>
        <w:tblLook w:val="0000" w:firstRow="0" w:lastRow="0" w:firstColumn="0" w:lastColumn="0" w:noHBand="0" w:noVBand="0"/>
      </w:tblPr>
      <w:tblGrid>
        <w:gridCol w:w="3960"/>
        <w:gridCol w:w="1707"/>
        <w:gridCol w:w="1708"/>
        <w:gridCol w:w="1767"/>
      </w:tblGrid>
      <w:tr w:rsidR="00AA01FF" w:rsidRPr="00EF7BD5" w:rsidTr="006E2A71">
        <w:trPr>
          <w:trHeight w:val="20"/>
        </w:trPr>
        <w:tc>
          <w:tcPr>
            <w:tcW w:w="3960" w:type="dxa"/>
            <w:shd w:val="clear" w:color="auto" w:fill="E2001C"/>
            <w:noWrap/>
            <w:vAlign w:val="center"/>
          </w:tcPr>
          <w:p w:rsidR="00AA01FF" w:rsidRPr="00EF7BD5" w:rsidRDefault="00AA01FF" w:rsidP="006E2A71">
            <w:pPr>
              <w:jc w:val="center"/>
              <w:rPr>
                <w:rFonts w:cs="Arial"/>
                <w:b/>
                <w:color w:val="FFFFFF" w:themeColor="background1"/>
                <w:sz w:val="20"/>
                <w:szCs w:val="20"/>
              </w:rPr>
            </w:pPr>
            <w:r w:rsidRPr="00EF7BD5">
              <w:rPr>
                <w:rFonts w:cs="Arial"/>
                <w:b/>
                <w:color w:val="FFFFFF" w:themeColor="background1"/>
                <w:sz w:val="20"/>
                <w:szCs w:val="20"/>
              </w:rPr>
              <w:t>Protistrana</w:t>
            </w:r>
          </w:p>
        </w:tc>
        <w:tc>
          <w:tcPr>
            <w:tcW w:w="1707" w:type="dxa"/>
            <w:shd w:val="clear" w:color="auto" w:fill="E2001C"/>
            <w:vAlign w:val="center"/>
          </w:tcPr>
          <w:p w:rsidR="00AA01FF" w:rsidRPr="00EF7BD5" w:rsidRDefault="00AA01FF" w:rsidP="00AA01FF">
            <w:pPr>
              <w:jc w:val="center"/>
              <w:rPr>
                <w:rFonts w:cs="Arial"/>
                <w:b/>
                <w:bCs/>
                <w:color w:val="FFFFFF" w:themeColor="background1"/>
                <w:sz w:val="20"/>
                <w:szCs w:val="20"/>
              </w:rPr>
            </w:pPr>
            <w:r w:rsidRPr="00EF7BD5">
              <w:rPr>
                <w:rFonts w:cs="Arial"/>
                <w:b/>
                <w:bCs/>
                <w:color w:val="FFFFFF" w:themeColor="background1"/>
                <w:sz w:val="20"/>
                <w:szCs w:val="20"/>
              </w:rPr>
              <w:t>k 3</w:t>
            </w:r>
            <w:r>
              <w:rPr>
                <w:rFonts w:cs="Arial"/>
                <w:b/>
                <w:bCs/>
                <w:color w:val="FFFFFF" w:themeColor="background1"/>
                <w:sz w:val="20"/>
                <w:szCs w:val="20"/>
              </w:rPr>
              <w:t>0</w:t>
            </w:r>
            <w:r w:rsidRPr="00EF7BD5">
              <w:rPr>
                <w:rFonts w:cs="Arial"/>
                <w:b/>
                <w:bCs/>
                <w:color w:val="FFFFFF" w:themeColor="background1"/>
                <w:sz w:val="20"/>
                <w:szCs w:val="20"/>
              </w:rPr>
              <w:t xml:space="preserve">. </w:t>
            </w:r>
            <w:r>
              <w:rPr>
                <w:rFonts w:cs="Arial"/>
                <w:b/>
                <w:bCs/>
                <w:color w:val="FFFFFF" w:themeColor="background1"/>
                <w:sz w:val="20"/>
                <w:szCs w:val="20"/>
              </w:rPr>
              <w:t xml:space="preserve">červnu </w:t>
            </w:r>
            <w:r w:rsidRPr="00EF7BD5">
              <w:rPr>
                <w:rFonts w:cs="Arial"/>
                <w:b/>
                <w:bCs/>
                <w:color w:val="FFFFFF" w:themeColor="background1"/>
                <w:sz w:val="20"/>
                <w:szCs w:val="20"/>
              </w:rPr>
              <w:t>2015</w:t>
            </w:r>
          </w:p>
        </w:tc>
        <w:tc>
          <w:tcPr>
            <w:tcW w:w="1708" w:type="dxa"/>
            <w:shd w:val="clear" w:color="auto" w:fill="E2001C"/>
            <w:vAlign w:val="center"/>
          </w:tcPr>
          <w:p w:rsidR="00AA01FF" w:rsidRPr="00EF7BD5" w:rsidRDefault="00AA01FF" w:rsidP="00AA01FF">
            <w:pPr>
              <w:jc w:val="center"/>
              <w:rPr>
                <w:rFonts w:cs="Arial"/>
                <w:b/>
                <w:bCs/>
                <w:color w:val="FFFFFF" w:themeColor="background1"/>
                <w:sz w:val="20"/>
                <w:szCs w:val="20"/>
              </w:rPr>
            </w:pPr>
            <w:r w:rsidRPr="00EF7BD5">
              <w:rPr>
                <w:rFonts w:cs="Arial"/>
                <w:b/>
                <w:bCs/>
                <w:color w:val="FFFFFF" w:themeColor="background1"/>
                <w:sz w:val="20"/>
                <w:szCs w:val="20"/>
              </w:rPr>
              <w:t>k 3</w:t>
            </w:r>
            <w:r>
              <w:rPr>
                <w:rFonts w:cs="Arial"/>
                <w:b/>
                <w:bCs/>
                <w:color w:val="FFFFFF" w:themeColor="background1"/>
                <w:sz w:val="20"/>
                <w:szCs w:val="20"/>
              </w:rPr>
              <w:t>0</w:t>
            </w:r>
            <w:r w:rsidRPr="00EF7BD5">
              <w:rPr>
                <w:rFonts w:cs="Arial"/>
                <w:b/>
                <w:bCs/>
                <w:color w:val="FFFFFF" w:themeColor="background1"/>
                <w:sz w:val="20"/>
                <w:szCs w:val="20"/>
              </w:rPr>
              <w:t xml:space="preserve">. </w:t>
            </w:r>
            <w:r>
              <w:rPr>
                <w:rFonts w:cs="Arial"/>
                <w:b/>
                <w:bCs/>
                <w:color w:val="FFFFFF" w:themeColor="background1"/>
                <w:sz w:val="20"/>
                <w:szCs w:val="20"/>
              </w:rPr>
              <w:t xml:space="preserve">červnu </w:t>
            </w:r>
            <w:r w:rsidRPr="00EF7BD5">
              <w:rPr>
                <w:rFonts w:cs="Arial"/>
                <w:b/>
                <w:bCs/>
                <w:color w:val="FFFFFF" w:themeColor="background1"/>
                <w:sz w:val="20"/>
                <w:szCs w:val="20"/>
              </w:rPr>
              <w:t>2016</w:t>
            </w:r>
          </w:p>
        </w:tc>
        <w:tc>
          <w:tcPr>
            <w:tcW w:w="1767" w:type="dxa"/>
            <w:shd w:val="clear" w:color="auto" w:fill="E2001C"/>
            <w:vAlign w:val="center"/>
          </w:tcPr>
          <w:p w:rsidR="00AA01FF" w:rsidRPr="00EF7BD5" w:rsidRDefault="00AA01FF" w:rsidP="006E2A71">
            <w:pPr>
              <w:jc w:val="center"/>
              <w:rPr>
                <w:rFonts w:cs="Arial"/>
                <w:b/>
                <w:bCs/>
                <w:color w:val="FFFFFF" w:themeColor="background1"/>
                <w:sz w:val="20"/>
                <w:szCs w:val="20"/>
              </w:rPr>
            </w:pPr>
            <w:r w:rsidRPr="00EF7BD5">
              <w:rPr>
                <w:rFonts w:cs="Arial"/>
                <w:b/>
                <w:bCs/>
                <w:color w:val="FFFFFF" w:themeColor="background1"/>
                <w:sz w:val="20"/>
                <w:szCs w:val="20"/>
              </w:rPr>
              <w:t>% zajištění podkladového závazku</w:t>
            </w:r>
          </w:p>
        </w:tc>
      </w:tr>
      <w:tr w:rsidR="00AA01FF" w:rsidRPr="00EF7BD5" w:rsidTr="006E2A71">
        <w:trPr>
          <w:trHeight w:val="20"/>
        </w:trPr>
        <w:tc>
          <w:tcPr>
            <w:tcW w:w="3960" w:type="dxa"/>
            <w:tcBorders>
              <w:bottom w:val="single" w:sz="4" w:space="0" w:color="9C9D9F"/>
            </w:tcBorders>
            <w:noWrap/>
            <w:vAlign w:val="bottom"/>
          </w:tcPr>
          <w:p w:rsidR="00AA01FF" w:rsidRPr="00EF7BD5" w:rsidRDefault="00E37C2A" w:rsidP="006E2A71">
            <w:pPr>
              <w:rPr>
                <w:rFonts w:cs="Arial"/>
                <w:bCs/>
                <w:sz w:val="20"/>
                <w:szCs w:val="20"/>
              </w:rPr>
            </w:pPr>
            <w:r>
              <w:rPr>
                <w:rFonts w:cs="Arial"/>
                <w:sz w:val="20"/>
                <w:szCs w:val="20"/>
              </w:rPr>
              <w:t>CCIRS 1</w:t>
            </w:r>
          </w:p>
        </w:tc>
        <w:tc>
          <w:tcPr>
            <w:tcW w:w="1707" w:type="dxa"/>
            <w:tcBorders>
              <w:bottom w:val="single" w:sz="4" w:space="0" w:color="9C9D9F"/>
            </w:tcBorders>
            <w:vAlign w:val="bottom"/>
          </w:tcPr>
          <w:p w:rsidR="00AA01FF" w:rsidRPr="0043760E" w:rsidRDefault="00AA01FF" w:rsidP="0043760E">
            <w:pPr>
              <w:jc w:val="right"/>
              <w:rPr>
                <w:rFonts w:cs="Arial"/>
                <w:sz w:val="20"/>
                <w:szCs w:val="20"/>
              </w:rPr>
            </w:pPr>
            <w:r w:rsidRPr="0043760E">
              <w:rPr>
                <w:rFonts w:cs="Arial"/>
                <w:sz w:val="20"/>
                <w:szCs w:val="20"/>
              </w:rPr>
              <w:t>8</w:t>
            </w:r>
            <w:r w:rsidR="0043760E" w:rsidRPr="0043760E">
              <w:rPr>
                <w:rFonts w:cs="Arial"/>
                <w:sz w:val="20"/>
                <w:szCs w:val="20"/>
              </w:rPr>
              <w:t>90</w:t>
            </w:r>
          </w:p>
        </w:tc>
        <w:tc>
          <w:tcPr>
            <w:tcW w:w="1708" w:type="dxa"/>
            <w:tcBorders>
              <w:bottom w:val="single" w:sz="4" w:space="0" w:color="9C9D9F"/>
            </w:tcBorders>
            <w:shd w:val="clear" w:color="auto" w:fill="FFFFFF"/>
            <w:vAlign w:val="bottom"/>
          </w:tcPr>
          <w:p w:rsidR="00AA01FF" w:rsidRPr="0043760E" w:rsidRDefault="0043760E" w:rsidP="006E2A71">
            <w:pPr>
              <w:jc w:val="right"/>
              <w:rPr>
                <w:rFonts w:cs="Arial"/>
                <w:sz w:val="20"/>
                <w:szCs w:val="20"/>
              </w:rPr>
            </w:pPr>
            <w:r w:rsidRPr="0043760E">
              <w:rPr>
                <w:rFonts w:cs="Arial"/>
                <w:sz w:val="20"/>
                <w:szCs w:val="20"/>
              </w:rPr>
              <w:t>1,497</w:t>
            </w:r>
          </w:p>
        </w:tc>
        <w:tc>
          <w:tcPr>
            <w:tcW w:w="1767" w:type="dxa"/>
            <w:tcBorders>
              <w:bottom w:val="single" w:sz="4" w:space="0" w:color="9C9D9F"/>
            </w:tcBorders>
            <w:shd w:val="clear" w:color="auto" w:fill="FFFFFF"/>
          </w:tcPr>
          <w:p w:rsidR="00AA01FF" w:rsidRPr="0043760E" w:rsidRDefault="00AA01FF" w:rsidP="006E2A71">
            <w:pPr>
              <w:jc w:val="right"/>
              <w:rPr>
                <w:rFonts w:cs="Arial"/>
                <w:sz w:val="20"/>
                <w:szCs w:val="20"/>
              </w:rPr>
            </w:pPr>
            <w:r w:rsidRPr="0043760E">
              <w:rPr>
                <w:rFonts w:cs="Arial"/>
                <w:sz w:val="20"/>
                <w:szCs w:val="20"/>
              </w:rPr>
              <w:t>108%</w:t>
            </w:r>
          </w:p>
        </w:tc>
      </w:tr>
      <w:tr w:rsidR="00AA01FF" w:rsidRPr="00EF7BD5" w:rsidTr="006E2A71">
        <w:trPr>
          <w:trHeight w:val="20"/>
        </w:trPr>
        <w:tc>
          <w:tcPr>
            <w:tcW w:w="3960" w:type="dxa"/>
            <w:tcBorders>
              <w:top w:val="single" w:sz="4" w:space="0" w:color="9C9D9F"/>
              <w:bottom w:val="single" w:sz="4" w:space="0" w:color="9C9D9F"/>
            </w:tcBorders>
            <w:noWrap/>
            <w:vAlign w:val="bottom"/>
          </w:tcPr>
          <w:p w:rsidR="00AA01FF" w:rsidRPr="00EF7BD5" w:rsidRDefault="00E37C2A" w:rsidP="006E2A71">
            <w:pPr>
              <w:rPr>
                <w:rFonts w:cs="Arial"/>
                <w:sz w:val="20"/>
                <w:szCs w:val="20"/>
              </w:rPr>
            </w:pPr>
            <w:r>
              <w:rPr>
                <w:rFonts w:cs="Arial"/>
                <w:sz w:val="20"/>
                <w:szCs w:val="20"/>
              </w:rPr>
              <w:t>CCIRS 2</w:t>
            </w:r>
          </w:p>
        </w:tc>
        <w:tc>
          <w:tcPr>
            <w:tcW w:w="1707" w:type="dxa"/>
            <w:tcBorders>
              <w:top w:val="single" w:sz="4" w:space="0" w:color="9C9D9F"/>
              <w:bottom w:val="single" w:sz="4" w:space="0" w:color="9C9D9F"/>
            </w:tcBorders>
            <w:vAlign w:val="bottom"/>
          </w:tcPr>
          <w:p w:rsidR="00AA01FF" w:rsidRPr="0043760E" w:rsidRDefault="00AA01FF" w:rsidP="006E2A71">
            <w:pPr>
              <w:jc w:val="right"/>
              <w:rPr>
                <w:rFonts w:cs="Arial"/>
                <w:sz w:val="20"/>
                <w:szCs w:val="20"/>
              </w:rPr>
            </w:pPr>
            <w:r w:rsidRPr="0043760E">
              <w:rPr>
                <w:rFonts w:cs="Arial"/>
                <w:sz w:val="20"/>
                <w:szCs w:val="20"/>
              </w:rPr>
              <w:t>--</w:t>
            </w:r>
          </w:p>
        </w:tc>
        <w:tc>
          <w:tcPr>
            <w:tcW w:w="1708" w:type="dxa"/>
            <w:tcBorders>
              <w:top w:val="single" w:sz="4" w:space="0" w:color="9C9D9F"/>
              <w:bottom w:val="single" w:sz="4" w:space="0" w:color="9C9D9F"/>
            </w:tcBorders>
            <w:shd w:val="clear" w:color="auto" w:fill="FFFFFF"/>
            <w:vAlign w:val="bottom"/>
          </w:tcPr>
          <w:p w:rsidR="00AA01FF" w:rsidRPr="0043760E" w:rsidRDefault="0043760E" w:rsidP="006E2A71">
            <w:pPr>
              <w:jc w:val="right"/>
              <w:rPr>
                <w:rFonts w:cs="Arial"/>
                <w:sz w:val="20"/>
                <w:szCs w:val="20"/>
              </w:rPr>
            </w:pPr>
            <w:r w:rsidRPr="0043760E">
              <w:rPr>
                <w:rFonts w:cs="Arial"/>
                <w:sz w:val="20"/>
                <w:szCs w:val="20"/>
              </w:rPr>
              <w:t>-1,748</w:t>
            </w:r>
          </w:p>
        </w:tc>
        <w:tc>
          <w:tcPr>
            <w:tcW w:w="1767" w:type="dxa"/>
            <w:tcBorders>
              <w:top w:val="single" w:sz="4" w:space="0" w:color="9C9D9F"/>
              <w:bottom w:val="single" w:sz="4" w:space="0" w:color="9C9D9F"/>
            </w:tcBorders>
            <w:shd w:val="clear" w:color="auto" w:fill="FFFFFF"/>
          </w:tcPr>
          <w:p w:rsidR="00AA01FF" w:rsidRPr="0043760E" w:rsidRDefault="00AA01FF" w:rsidP="006E2A71">
            <w:pPr>
              <w:jc w:val="right"/>
              <w:rPr>
                <w:rFonts w:cs="Arial"/>
                <w:sz w:val="20"/>
                <w:szCs w:val="20"/>
              </w:rPr>
            </w:pPr>
            <w:r w:rsidRPr="0043760E">
              <w:rPr>
                <w:rFonts w:cs="Arial"/>
                <w:sz w:val="20"/>
                <w:szCs w:val="20"/>
              </w:rPr>
              <w:t>100%</w:t>
            </w:r>
          </w:p>
        </w:tc>
      </w:tr>
      <w:tr w:rsidR="00AA01FF" w:rsidRPr="00EF7BD5" w:rsidTr="006E2A71">
        <w:trPr>
          <w:trHeight w:val="20"/>
        </w:trPr>
        <w:tc>
          <w:tcPr>
            <w:tcW w:w="3960" w:type="dxa"/>
            <w:tcBorders>
              <w:top w:val="single" w:sz="4" w:space="0" w:color="9C9D9F"/>
              <w:bottom w:val="single" w:sz="4" w:space="0" w:color="9C9D9F"/>
            </w:tcBorders>
            <w:noWrap/>
            <w:vAlign w:val="bottom"/>
          </w:tcPr>
          <w:p w:rsidR="00AA01FF" w:rsidRPr="00EF7BD5" w:rsidRDefault="00E37C2A" w:rsidP="006E2A71">
            <w:pPr>
              <w:rPr>
                <w:rFonts w:cs="Arial"/>
                <w:sz w:val="20"/>
                <w:szCs w:val="20"/>
              </w:rPr>
            </w:pPr>
            <w:r>
              <w:rPr>
                <w:rFonts w:cs="Arial"/>
                <w:sz w:val="20"/>
                <w:szCs w:val="20"/>
              </w:rPr>
              <w:t>CCIRS 3</w:t>
            </w:r>
          </w:p>
        </w:tc>
        <w:tc>
          <w:tcPr>
            <w:tcW w:w="1707" w:type="dxa"/>
            <w:tcBorders>
              <w:top w:val="single" w:sz="4" w:space="0" w:color="9C9D9F"/>
              <w:bottom w:val="single" w:sz="4" w:space="0" w:color="9C9D9F"/>
            </w:tcBorders>
            <w:vAlign w:val="bottom"/>
          </w:tcPr>
          <w:p w:rsidR="00AA01FF" w:rsidRPr="0043760E" w:rsidRDefault="00AA01FF" w:rsidP="006E2A71">
            <w:pPr>
              <w:jc w:val="right"/>
              <w:rPr>
                <w:rFonts w:cs="Arial"/>
                <w:sz w:val="20"/>
                <w:szCs w:val="20"/>
              </w:rPr>
            </w:pPr>
            <w:r w:rsidRPr="0043760E">
              <w:rPr>
                <w:rFonts w:cs="Arial"/>
                <w:sz w:val="20"/>
                <w:szCs w:val="20"/>
              </w:rPr>
              <w:t>--</w:t>
            </w:r>
          </w:p>
        </w:tc>
        <w:tc>
          <w:tcPr>
            <w:tcW w:w="1708" w:type="dxa"/>
            <w:tcBorders>
              <w:top w:val="single" w:sz="4" w:space="0" w:color="9C9D9F"/>
              <w:bottom w:val="single" w:sz="4" w:space="0" w:color="9C9D9F"/>
            </w:tcBorders>
            <w:shd w:val="clear" w:color="auto" w:fill="FFFFFF"/>
            <w:vAlign w:val="bottom"/>
          </w:tcPr>
          <w:p w:rsidR="00AA01FF" w:rsidRPr="0043760E" w:rsidRDefault="0043760E" w:rsidP="006E2A71">
            <w:pPr>
              <w:jc w:val="right"/>
              <w:rPr>
                <w:rFonts w:cs="Arial"/>
                <w:sz w:val="20"/>
                <w:szCs w:val="20"/>
              </w:rPr>
            </w:pPr>
            <w:r w:rsidRPr="0043760E">
              <w:rPr>
                <w:rFonts w:cs="Arial"/>
                <w:sz w:val="20"/>
                <w:szCs w:val="20"/>
              </w:rPr>
              <w:t>-812</w:t>
            </w:r>
          </w:p>
        </w:tc>
        <w:tc>
          <w:tcPr>
            <w:tcW w:w="1767" w:type="dxa"/>
            <w:tcBorders>
              <w:top w:val="single" w:sz="4" w:space="0" w:color="9C9D9F"/>
              <w:bottom w:val="single" w:sz="4" w:space="0" w:color="9C9D9F"/>
            </w:tcBorders>
            <w:shd w:val="clear" w:color="auto" w:fill="FFFFFF"/>
          </w:tcPr>
          <w:p w:rsidR="00AA01FF" w:rsidRPr="0043760E" w:rsidRDefault="00AA01FF" w:rsidP="006E2A71">
            <w:pPr>
              <w:jc w:val="right"/>
              <w:rPr>
                <w:rFonts w:cs="Arial"/>
                <w:sz w:val="20"/>
                <w:szCs w:val="20"/>
              </w:rPr>
            </w:pPr>
            <w:r w:rsidRPr="0043760E">
              <w:rPr>
                <w:rFonts w:cs="Arial"/>
                <w:sz w:val="20"/>
                <w:szCs w:val="20"/>
              </w:rPr>
              <w:t>100%</w:t>
            </w:r>
          </w:p>
        </w:tc>
      </w:tr>
      <w:tr w:rsidR="00AA01FF" w:rsidRPr="00EF7BD5" w:rsidTr="006E2A71">
        <w:trPr>
          <w:trHeight w:val="20"/>
        </w:trPr>
        <w:tc>
          <w:tcPr>
            <w:tcW w:w="3960" w:type="dxa"/>
            <w:tcBorders>
              <w:top w:val="single" w:sz="4" w:space="0" w:color="9C9D9F"/>
              <w:bottom w:val="single" w:sz="4" w:space="0" w:color="9C9D9F"/>
            </w:tcBorders>
            <w:noWrap/>
            <w:vAlign w:val="bottom"/>
          </w:tcPr>
          <w:p w:rsidR="00AA01FF" w:rsidRPr="00EF7BD5" w:rsidRDefault="00AA01FF" w:rsidP="006E2A71">
            <w:pPr>
              <w:rPr>
                <w:rFonts w:cs="Arial"/>
                <w:b/>
                <w:bCs/>
                <w:sz w:val="20"/>
                <w:szCs w:val="20"/>
              </w:rPr>
            </w:pPr>
            <w:r w:rsidRPr="00EF7BD5">
              <w:rPr>
                <w:rFonts w:cs="Arial"/>
                <w:b/>
                <w:bCs/>
                <w:sz w:val="20"/>
                <w:szCs w:val="20"/>
              </w:rPr>
              <w:t>Celkem</w:t>
            </w:r>
          </w:p>
        </w:tc>
        <w:tc>
          <w:tcPr>
            <w:tcW w:w="1707" w:type="dxa"/>
            <w:tcBorders>
              <w:top w:val="single" w:sz="4" w:space="0" w:color="9C9D9F"/>
              <w:bottom w:val="single" w:sz="4" w:space="0" w:color="9C9D9F"/>
            </w:tcBorders>
            <w:vAlign w:val="bottom"/>
          </w:tcPr>
          <w:p w:rsidR="00AA01FF" w:rsidRPr="0043760E" w:rsidRDefault="0043760E" w:rsidP="006E2A71">
            <w:pPr>
              <w:jc w:val="right"/>
              <w:rPr>
                <w:rFonts w:cs="Arial"/>
                <w:b/>
                <w:sz w:val="20"/>
                <w:szCs w:val="20"/>
              </w:rPr>
            </w:pPr>
            <w:r w:rsidRPr="0043760E">
              <w:rPr>
                <w:rFonts w:cs="Arial"/>
                <w:b/>
                <w:sz w:val="20"/>
                <w:szCs w:val="20"/>
              </w:rPr>
              <w:t>890</w:t>
            </w:r>
          </w:p>
        </w:tc>
        <w:tc>
          <w:tcPr>
            <w:tcW w:w="1708" w:type="dxa"/>
            <w:tcBorders>
              <w:top w:val="single" w:sz="4" w:space="0" w:color="9C9D9F"/>
              <w:bottom w:val="single" w:sz="4" w:space="0" w:color="9C9D9F"/>
            </w:tcBorders>
            <w:shd w:val="clear" w:color="auto" w:fill="FFFFFF"/>
            <w:vAlign w:val="bottom"/>
          </w:tcPr>
          <w:p w:rsidR="00AA01FF" w:rsidRPr="0043760E" w:rsidRDefault="0043760E" w:rsidP="006E2A71">
            <w:pPr>
              <w:jc w:val="right"/>
              <w:rPr>
                <w:rFonts w:cs="Arial"/>
                <w:b/>
                <w:sz w:val="20"/>
                <w:szCs w:val="20"/>
              </w:rPr>
            </w:pPr>
            <w:r w:rsidRPr="0043760E">
              <w:rPr>
                <w:rFonts w:cs="Arial"/>
                <w:b/>
                <w:sz w:val="20"/>
                <w:szCs w:val="20"/>
              </w:rPr>
              <w:t>-1,063</w:t>
            </w:r>
          </w:p>
        </w:tc>
        <w:tc>
          <w:tcPr>
            <w:tcW w:w="1767" w:type="dxa"/>
            <w:tcBorders>
              <w:top w:val="single" w:sz="4" w:space="0" w:color="9C9D9F"/>
              <w:bottom w:val="single" w:sz="4" w:space="0" w:color="9C9D9F"/>
            </w:tcBorders>
            <w:shd w:val="clear" w:color="auto" w:fill="FFFFFF"/>
          </w:tcPr>
          <w:p w:rsidR="00AA01FF" w:rsidRPr="0043760E" w:rsidRDefault="00AA01FF" w:rsidP="006E2A71">
            <w:pPr>
              <w:jc w:val="right"/>
              <w:rPr>
                <w:rFonts w:cs="Arial"/>
                <w:b/>
                <w:sz w:val="20"/>
                <w:szCs w:val="20"/>
              </w:rPr>
            </w:pPr>
            <w:r w:rsidRPr="0043760E">
              <w:rPr>
                <w:rFonts w:cs="Arial"/>
                <w:b/>
                <w:sz w:val="20"/>
                <w:szCs w:val="20"/>
              </w:rPr>
              <w:t>105%</w:t>
            </w:r>
          </w:p>
        </w:tc>
      </w:tr>
    </w:tbl>
    <w:p w:rsidR="00AA01FF" w:rsidRPr="007113EB" w:rsidRDefault="00AA01FF" w:rsidP="00AA01FF">
      <w:pPr>
        <w:spacing w:before="0" w:beforeAutospacing="0" w:after="0" w:afterAutospacing="0"/>
        <w:rPr>
          <w:rFonts w:cs="Arial"/>
          <w:color w:val="000000"/>
          <w:sz w:val="20"/>
          <w:szCs w:val="20"/>
        </w:rPr>
      </w:pPr>
      <w:r w:rsidRPr="007113EB">
        <w:rPr>
          <w:rFonts w:cs="Arial"/>
          <w:color w:val="000000"/>
          <w:sz w:val="20"/>
          <w:szCs w:val="20"/>
        </w:rPr>
        <w:t>v tis. EUR</w:t>
      </w:r>
    </w:p>
    <w:p w:rsidR="00AA01FF" w:rsidRPr="00DD4E70" w:rsidRDefault="00AA01FF" w:rsidP="00AA01FF">
      <w:pPr>
        <w:rPr>
          <w:rFonts w:cs="Arial"/>
          <w:color w:val="000000"/>
        </w:rPr>
      </w:pPr>
      <w:r w:rsidRPr="0043760E">
        <w:rPr>
          <w:rFonts w:cs="Arial"/>
          <w:color w:val="000000"/>
        </w:rPr>
        <w:t xml:space="preserve">Reálná hodnota těchto swapů k 30. červnu 2016 představuje </w:t>
      </w:r>
      <w:r w:rsidR="0043760E" w:rsidRPr="0043760E">
        <w:rPr>
          <w:rFonts w:cs="Arial"/>
          <w:color w:val="000000"/>
        </w:rPr>
        <w:t>závazek</w:t>
      </w:r>
      <w:r w:rsidRPr="0043760E">
        <w:rPr>
          <w:rFonts w:cs="Arial"/>
          <w:color w:val="000000"/>
        </w:rPr>
        <w:t xml:space="preserve"> Společnosti. Tyto swapy pokrývají k tomuto dni přibližně 105 % ostatních dlouhodobých závazků společnosti, které představují celkovou nominální hodnotu veřejné emise dluhopisů ve výši 2,5 mld. Kč (sníženou o částku zpětně odkoupených dluhopisů ve výši 198 mil. Kč) a dvou privátních emisí dluhopisů ve výši 1 080 mil. Kč, resp. 678 mil. Kč.</w:t>
      </w:r>
    </w:p>
    <w:p w:rsidR="00AA01FF" w:rsidRPr="006E2A71" w:rsidRDefault="00AA01FF" w:rsidP="00AA01FF">
      <w:pPr>
        <w:rPr>
          <w:rFonts w:cs="Arial"/>
          <w:i/>
        </w:rPr>
      </w:pPr>
      <w:r w:rsidRPr="006E2A71">
        <w:rPr>
          <w:rFonts w:cs="Arial"/>
          <w:i/>
        </w:rPr>
        <w:t>Senzitivita reálné hodnoty křížových měnových swapů</w:t>
      </w:r>
    </w:p>
    <w:p w:rsidR="00AA01FF" w:rsidRPr="00905037" w:rsidRDefault="00AA01FF" w:rsidP="00AA01FF">
      <w:pPr>
        <w:rPr>
          <w:rFonts w:cs="Arial"/>
        </w:rPr>
      </w:pPr>
      <w:r w:rsidRPr="006E2A71">
        <w:rPr>
          <w:rFonts w:cs="Arial"/>
        </w:rPr>
        <w:t>Posílení kurzu Kč vůči EUR o 1 % by zvýšilo reálnou hodnotu křížových měnových swapů k 3</w:t>
      </w:r>
      <w:r w:rsidR="006E2A71" w:rsidRPr="006E2A71">
        <w:rPr>
          <w:rFonts w:cs="Arial"/>
        </w:rPr>
        <w:t>0</w:t>
      </w:r>
      <w:r w:rsidRPr="006E2A71">
        <w:rPr>
          <w:rFonts w:cs="Arial"/>
        </w:rPr>
        <w:t>. </w:t>
      </w:r>
      <w:r w:rsidR="006E2A71" w:rsidRPr="006E2A71">
        <w:rPr>
          <w:rFonts w:cs="Arial"/>
        </w:rPr>
        <w:t xml:space="preserve">červnu </w:t>
      </w:r>
      <w:r w:rsidRPr="00905037">
        <w:rPr>
          <w:rFonts w:cs="Arial"/>
        </w:rPr>
        <w:t>2016 o zhruba 1,5 mil. EUR.</w:t>
      </w:r>
    </w:p>
    <w:p w:rsidR="00AA01FF" w:rsidRPr="00DD4E70" w:rsidRDefault="00AA01FF" w:rsidP="00AA01FF">
      <w:pPr>
        <w:rPr>
          <w:rFonts w:cs="Arial"/>
        </w:rPr>
      </w:pPr>
      <w:r w:rsidRPr="00905037">
        <w:rPr>
          <w:rFonts w:cs="Arial"/>
        </w:rPr>
        <w:t>Oslabení kurzu Kč vůči EUR o 1 % by snížilo reálnou hodnotu křížových měnových swapů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2016 o zhruba 1,5 mil. EUR.</w:t>
      </w:r>
    </w:p>
    <w:p w:rsidR="00AA01FF" w:rsidRPr="00C85716" w:rsidRDefault="00AA01FF" w:rsidP="00AA01FF">
      <w:pPr>
        <w:rPr>
          <w:rFonts w:cs="Arial"/>
          <w:b/>
        </w:rPr>
      </w:pPr>
      <w:r w:rsidRPr="00C85716">
        <w:rPr>
          <w:rFonts w:cs="Arial"/>
          <w:b/>
        </w:rPr>
        <w:t>Cizoměnové opce</w:t>
      </w:r>
    </w:p>
    <w:p w:rsidR="00AA01FF" w:rsidRPr="00DD4E70" w:rsidRDefault="00AA01FF" w:rsidP="00AA01FF">
      <w:pPr>
        <w:rPr>
          <w:rFonts w:cs="Arial"/>
        </w:rPr>
      </w:pPr>
      <w:r w:rsidRPr="00DD4E70">
        <w:rPr>
          <w:rFonts w:cs="Arial"/>
        </w:rPr>
        <w:t>Společnost měla k 3</w:t>
      </w:r>
      <w:r>
        <w:rPr>
          <w:rFonts w:cs="Arial"/>
        </w:rPr>
        <w:t>0</w:t>
      </w:r>
      <w:r w:rsidRPr="00DD4E70">
        <w:rPr>
          <w:rFonts w:cs="Arial"/>
        </w:rPr>
        <w:t xml:space="preserve">. </w:t>
      </w:r>
      <w:r>
        <w:rPr>
          <w:rFonts w:cs="Arial"/>
        </w:rPr>
        <w:t xml:space="preserve">červnu </w:t>
      </w:r>
      <w:r w:rsidRPr="00DD4E70">
        <w:rPr>
          <w:rFonts w:cs="Arial"/>
        </w:rPr>
        <w:t>2016 otevřenou pozici v cizoměnové opční struktuře, kterou Společnost uzavřela v březnu 2016. Cílem této cizoměnové opční struktury je zajištění měnového rizika spojeného s tržbami v EUR a jejich konverzí do Kč v přibližném objemu, který Společnost měsíčně vynakládá na výplatu mezd. Na základě této struktury má Společnost v období od července 2016 do července 2019 právo prodat 1</w:t>
      </w:r>
      <w:r>
        <w:rPr>
          <w:rFonts w:cs="Arial"/>
        </w:rPr>
        <w:t>,</w:t>
      </w:r>
      <w:r w:rsidRPr="00DD4E70">
        <w:rPr>
          <w:rFonts w:cs="Arial"/>
        </w:rPr>
        <w:t>1 mil. EUR a nakoupit 29,348 mil. Kč, pokud kurz EUR/CZK k datu měsíční expirace bude nižší než 26,68. Zároveň má Společnost ve stejném období povinnost prodat 1</w:t>
      </w:r>
      <w:r>
        <w:rPr>
          <w:rFonts w:cs="Arial"/>
        </w:rPr>
        <w:t>,</w:t>
      </w:r>
      <w:r w:rsidRPr="00DD4E70">
        <w:rPr>
          <w:rFonts w:cs="Arial"/>
        </w:rPr>
        <w:t>375 mil. EUR a nakoupit 36,685 mil. Kč, pokud kurz EUR/CZK k datu měsíční expirace bude vyšší než 27,52.</w:t>
      </w:r>
    </w:p>
    <w:p w:rsidR="00AA01FF" w:rsidRPr="00DD4E70" w:rsidRDefault="00AA01FF" w:rsidP="00AA01FF">
      <w:pPr>
        <w:rPr>
          <w:rFonts w:cs="Arial"/>
        </w:rPr>
      </w:pPr>
      <w:r w:rsidRPr="00DD4E70">
        <w:rPr>
          <w:rFonts w:cs="Arial"/>
        </w:rPr>
        <w:t>Reálná hodnota této cizoměnové opční struktury k 3</w:t>
      </w:r>
      <w:r w:rsidR="006D58FF">
        <w:rPr>
          <w:rFonts w:cs="Arial"/>
        </w:rPr>
        <w:t>0</w:t>
      </w:r>
      <w:r w:rsidRPr="00DD4E70">
        <w:rPr>
          <w:rFonts w:cs="Arial"/>
        </w:rPr>
        <w:t xml:space="preserve">. </w:t>
      </w:r>
      <w:r w:rsidR="006D58FF">
        <w:rPr>
          <w:rFonts w:cs="Arial"/>
        </w:rPr>
        <w:t xml:space="preserve">červnu </w:t>
      </w:r>
      <w:r w:rsidRPr="00DD4E70">
        <w:rPr>
          <w:rFonts w:cs="Arial"/>
        </w:rPr>
        <w:t>2016</w:t>
      </w:r>
      <w:r>
        <w:rPr>
          <w:rFonts w:cs="Arial"/>
        </w:rPr>
        <w:t xml:space="preserve"> </w:t>
      </w:r>
      <w:r w:rsidRPr="00DD4E70">
        <w:rPr>
          <w:rFonts w:cs="Arial"/>
        </w:rPr>
        <w:t>je uvedena v následující tabulce. Kladná hodnota představuje pohledávku Společnosti, záporná hodnota závazek Společnosti.</w:t>
      </w:r>
    </w:p>
    <w:tbl>
      <w:tblPr>
        <w:tblW w:w="7375" w:type="dxa"/>
        <w:tblInd w:w="70" w:type="dxa"/>
        <w:tblCellMar>
          <w:left w:w="70" w:type="dxa"/>
          <w:right w:w="70" w:type="dxa"/>
        </w:tblCellMar>
        <w:tblLook w:val="0000" w:firstRow="0" w:lastRow="0" w:firstColumn="0" w:lastColumn="0" w:noHBand="0" w:noVBand="0"/>
      </w:tblPr>
      <w:tblGrid>
        <w:gridCol w:w="3960"/>
        <w:gridCol w:w="1707"/>
        <w:gridCol w:w="1708"/>
      </w:tblGrid>
      <w:tr w:rsidR="00AA01FF" w:rsidRPr="00EF7BD5" w:rsidTr="006E2A71">
        <w:trPr>
          <w:trHeight w:val="20"/>
        </w:trPr>
        <w:tc>
          <w:tcPr>
            <w:tcW w:w="3960" w:type="dxa"/>
            <w:shd w:val="clear" w:color="auto" w:fill="E2001C"/>
            <w:noWrap/>
            <w:vAlign w:val="center"/>
          </w:tcPr>
          <w:p w:rsidR="00AA01FF" w:rsidRPr="00EF7BD5" w:rsidRDefault="00AA01FF" w:rsidP="006E2A71">
            <w:pPr>
              <w:jc w:val="center"/>
              <w:rPr>
                <w:rFonts w:cs="Arial"/>
                <w:b/>
                <w:color w:val="FFFFFF" w:themeColor="background1"/>
                <w:sz w:val="20"/>
                <w:szCs w:val="20"/>
              </w:rPr>
            </w:pPr>
            <w:r w:rsidRPr="00EF7BD5">
              <w:rPr>
                <w:rFonts w:cs="Arial"/>
                <w:b/>
                <w:color w:val="FFFFFF" w:themeColor="background1"/>
                <w:sz w:val="20"/>
                <w:szCs w:val="20"/>
              </w:rPr>
              <w:t>Protistrana</w:t>
            </w:r>
          </w:p>
        </w:tc>
        <w:tc>
          <w:tcPr>
            <w:tcW w:w="1707" w:type="dxa"/>
            <w:shd w:val="clear" w:color="auto" w:fill="E2001C"/>
            <w:vAlign w:val="center"/>
          </w:tcPr>
          <w:p w:rsidR="00AA01FF" w:rsidRPr="00EF7BD5" w:rsidRDefault="00AA01FF" w:rsidP="006D58FF">
            <w:pPr>
              <w:jc w:val="center"/>
              <w:rPr>
                <w:rFonts w:cs="Arial"/>
                <w:b/>
                <w:bCs/>
                <w:color w:val="FFFFFF" w:themeColor="background1"/>
                <w:sz w:val="20"/>
                <w:szCs w:val="20"/>
              </w:rPr>
            </w:pPr>
            <w:r w:rsidRPr="00EF7BD5">
              <w:rPr>
                <w:rFonts w:cs="Arial"/>
                <w:b/>
                <w:bCs/>
                <w:color w:val="FFFFFF" w:themeColor="background1"/>
                <w:sz w:val="20"/>
                <w:szCs w:val="20"/>
              </w:rPr>
              <w:t>k 3</w:t>
            </w:r>
            <w:r w:rsidR="006D58FF">
              <w:rPr>
                <w:rFonts w:cs="Arial"/>
                <w:b/>
                <w:bCs/>
                <w:color w:val="FFFFFF" w:themeColor="background1"/>
                <w:sz w:val="20"/>
                <w:szCs w:val="20"/>
              </w:rPr>
              <w:t>0</w:t>
            </w:r>
            <w:r w:rsidRPr="00EF7BD5">
              <w:rPr>
                <w:rFonts w:cs="Arial"/>
                <w:b/>
                <w:bCs/>
                <w:color w:val="FFFFFF" w:themeColor="background1"/>
                <w:sz w:val="20"/>
                <w:szCs w:val="20"/>
              </w:rPr>
              <w:t xml:space="preserve">. </w:t>
            </w:r>
            <w:r w:rsidR="006D58FF">
              <w:rPr>
                <w:rFonts w:cs="Arial"/>
                <w:b/>
                <w:bCs/>
                <w:color w:val="FFFFFF" w:themeColor="background1"/>
                <w:sz w:val="20"/>
                <w:szCs w:val="20"/>
              </w:rPr>
              <w:t xml:space="preserve">červnu </w:t>
            </w:r>
            <w:r w:rsidRPr="00EF7BD5">
              <w:rPr>
                <w:rFonts w:cs="Arial"/>
                <w:b/>
                <w:bCs/>
                <w:color w:val="FFFFFF" w:themeColor="background1"/>
                <w:sz w:val="20"/>
                <w:szCs w:val="20"/>
              </w:rPr>
              <w:t>2015</w:t>
            </w:r>
          </w:p>
        </w:tc>
        <w:tc>
          <w:tcPr>
            <w:tcW w:w="1708" w:type="dxa"/>
            <w:shd w:val="clear" w:color="auto" w:fill="E2001C"/>
            <w:vAlign w:val="center"/>
          </w:tcPr>
          <w:p w:rsidR="00AA01FF" w:rsidRPr="00EF7BD5" w:rsidRDefault="00AA01FF" w:rsidP="006D58FF">
            <w:pPr>
              <w:jc w:val="center"/>
              <w:rPr>
                <w:rFonts w:cs="Arial"/>
                <w:b/>
                <w:bCs/>
                <w:color w:val="FFFFFF" w:themeColor="background1"/>
                <w:sz w:val="20"/>
                <w:szCs w:val="20"/>
              </w:rPr>
            </w:pPr>
            <w:r w:rsidRPr="00EF7BD5">
              <w:rPr>
                <w:rFonts w:cs="Arial"/>
                <w:b/>
                <w:bCs/>
                <w:color w:val="FFFFFF" w:themeColor="background1"/>
                <w:sz w:val="20"/>
                <w:szCs w:val="20"/>
              </w:rPr>
              <w:t>k 3</w:t>
            </w:r>
            <w:r w:rsidR="006D58FF">
              <w:rPr>
                <w:rFonts w:cs="Arial"/>
                <w:b/>
                <w:bCs/>
                <w:color w:val="FFFFFF" w:themeColor="background1"/>
                <w:sz w:val="20"/>
                <w:szCs w:val="20"/>
              </w:rPr>
              <w:t>0</w:t>
            </w:r>
            <w:r w:rsidRPr="00EF7BD5">
              <w:rPr>
                <w:rFonts w:cs="Arial"/>
                <w:b/>
                <w:bCs/>
                <w:color w:val="FFFFFF" w:themeColor="background1"/>
                <w:sz w:val="20"/>
                <w:szCs w:val="20"/>
              </w:rPr>
              <w:t xml:space="preserve">. </w:t>
            </w:r>
            <w:r w:rsidR="006D58FF">
              <w:rPr>
                <w:rFonts w:cs="Arial"/>
                <w:b/>
                <w:bCs/>
                <w:color w:val="FFFFFF" w:themeColor="background1"/>
                <w:sz w:val="20"/>
                <w:szCs w:val="20"/>
              </w:rPr>
              <w:t xml:space="preserve">červnu </w:t>
            </w:r>
            <w:r w:rsidRPr="00EF7BD5">
              <w:rPr>
                <w:rFonts w:cs="Arial"/>
                <w:b/>
                <w:bCs/>
                <w:color w:val="FFFFFF" w:themeColor="background1"/>
                <w:sz w:val="20"/>
                <w:szCs w:val="20"/>
              </w:rPr>
              <w:t>2016</w:t>
            </w:r>
          </w:p>
        </w:tc>
      </w:tr>
      <w:tr w:rsidR="00AA01FF" w:rsidRPr="00EF7BD5" w:rsidTr="006E2A71">
        <w:trPr>
          <w:trHeight w:val="20"/>
        </w:trPr>
        <w:tc>
          <w:tcPr>
            <w:tcW w:w="3960" w:type="dxa"/>
            <w:tcBorders>
              <w:bottom w:val="single" w:sz="4" w:space="0" w:color="9C9D9F"/>
            </w:tcBorders>
            <w:noWrap/>
            <w:vAlign w:val="bottom"/>
          </w:tcPr>
          <w:p w:rsidR="00AA01FF" w:rsidRPr="00EF7BD5" w:rsidRDefault="00E37C2A" w:rsidP="006E2A71">
            <w:pPr>
              <w:rPr>
                <w:rFonts w:cs="Arial"/>
                <w:sz w:val="20"/>
                <w:szCs w:val="20"/>
              </w:rPr>
            </w:pPr>
            <w:r>
              <w:rPr>
                <w:rFonts w:cs="Arial"/>
                <w:sz w:val="20"/>
                <w:szCs w:val="20"/>
              </w:rPr>
              <w:t>C</w:t>
            </w:r>
            <w:r w:rsidR="00AA01FF" w:rsidRPr="00EF7BD5">
              <w:rPr>
                <w:rFonts w:cs="Arial"/>
                <w:sz w:val="20"/>
                <w:szCs w:val="20"/>
              </w:rPr>
              <w:t>izoměnová opční struktura</w:t>
            </w:r>
          </w:p>
        </w:tc>
        <w:tc>
          <w:tcPr>
            <w:tcW w:w="1707" w:type="dxa"/>
            <w:tcBorders>
              <w:bottom w:val="single" w:sz="4" w:space="0" w:color="9C9D9F"/>
            </w:tcBorders>
            <w:vAlign w:val="bottom"/>
          </w:tcPr>
          <w:p w:rsidR="00AA01FF" w:rsidRPr="00EF7BD5" w:rsidRDefault="00AA01FF" w:rsidP="006E2A71">
            <w:pPr>
              <w:jc w:val="right"/>
              <w:rPr>
                <w:rFonts w:cs="Arial"/>
                <w:sz w:val="20"/>
                <w:szCs w:val="20"/>
              </w:rPr>
            </w:pPr>
            <w:r w:rsidRPr="00EF7BD5">
              <w:rPr>
                <w:rFonts w:cs="Arial"/>
                <w:sz w:val="20"/>
                <w:szCs w:val="20"/>
              </w:rPr>
              <w:t>--</w:t>
            </w:r>
          </w:p>
        </w:tc>
        <w:tc>
          <w:tcPr>
            <w:tcW w:w="1708" w:type="dxa"/>
            <w:tcBorders>
              <w:bottom w:val="single" w:sz="4" w:space="0" w:color="9C9D9F"/>
            </w:tcBorders>
            <w:shd w:val="clear" w:color="auto" w:fill="FFFFFF"/>
            <w:vAlign w:val="bottom"/>
          </w:tcPr>
          <w:p w:rsidR="00AA01FF" w:rsidRPr="00EF7BD5" w:rsidRDefault="00AA01FF" w:rsidP="006E2A71">
            <w:pPr>
              <w:jc w:val="right"/>
              <w:rPr>
                <w:rFonts w:cs="Arial"/>
                <w:sz w:val="20"/>
                <w:szCs w:val="20"/>
              </w:rPr>
            </w:pPr>
            <w:r w:rsidRPr="00EF7BD5">
              <w:rPr>
                <w:rFonts w:cs="Arial"/>
                <w:sz w:val="20"/>
                <w:szCs w:val="20"/>
              </w:rPr>
              <w:t>-</w:t>
            </w:r>
            <w:r w:rsidR="006E2A71">
              <w:rPr>
                <w:rFonts w:cs="Arial"/>
                <w:sz w:val="20"/>
                <w:szCs w:val="20"/>
              </w:rPr>
              <w:t>428</w:t>
            </w:r>
          </w:p>
        </w:tc>
      </w:tr>
      <w:tr w:rsidR="00AA01FF" w:rsidRPr="00EF7BD5" w:rsidTr="006E2A71">
        <w:trPr>
          <w:trHeight w:val="20"/>
        </w:trPr>
        <w:tc>
          <w:tcPr>
            <w:tcW w:w="3960" w:type="dxa"/>
            <w:tcBorders>
              <w:top w:val="single" w:sz="4" w:space="0" w:color="9C9D9F"/>
              <w:bottom w:val="single" w:sz="4" w:space="0" w:color="9C9D9F"/>
            </w:tcBorders>
            <w:noWrap/>
            <w:vAlign w:val="bottom"/>
          </w:tcPr>
          <w:p w:rsidR="00AA01FF" w:rsidRPr="00EF7BD5" w:rsidRDefault="00AA01FF" w:rsidP="006E2A71">
            <w:pPr>
              <w:rPr>
                <w:rFonts w:cs="Arial"/>
                <w:b/>
                <w:bCs/>
                <w:sz w:val="20"/>
                <w:szCs w:val="20"/>
              </w:rPr>
            </w:pPr>
            <w:r w:rsidRPr="00EF7BD5">
              <w:rPr>
                <w:rFonts w:cs="Arial"/>
                <w:b/>
                <w:bCs/>
                <w:sz w:val="20"/>
                <w:szCs w:val="20"/>
              </w:rPr>
              <w:t>Celkem</w:t>
            </w:r>
          </w:p>
        </w:tc>
        <w:tc>
          <w:tcPr>
            <w:tcW w:w="1707" w:type="dxa"/>
            <w:tcBorders>
              <w:top w:val="single" w:sz="4" w:space="0" w:color="9C9D9F"/>
              <w:bottom w:val="single" w:sz="4" w:space="0" w:color="9C9D9F"/>
            </w:tcBorders>
            <w:vAlign w:val="bottom"/>
          </w:tcPr>
          <w:p w:rsidR="00AA01FF" w:rsidRPr="00EF7BD5" w:rsidRDefault="00AA01FF" w:rsidP="006E2A71">
            <w:pPr>
              <w:jc w:val="right"/>
              <w:rPr>
                <w:rFonts w:cs="Arial"/>
                <w:b/>
                <w:sz w:val="20"/>
                <w:szCs w:val="20"/>
              </w:rPr>
            </w:pPr>
            <w:r w:rsidRPr="00EF7BD5">
              <w:rPr>
                <w:rFonts w:cs="Arial"/>
                <w:b/>
                <w:sz w:val="20"/>
                <w:szCs w:val="20"/>
              </w:rPr>
              <w:t>--</w:t>
            </w:r>
          </w:p>
        </w:tc>
        <w:tc>
          <w:tcPr>
            <w:tcW w:w="1708" w:type="dxa"/>
            <w:tcBorders>
              <w:top w:val="single" w:sz="4" w:space="0" w:color="9C9D9F"/>
              <w:bottom w:val="single" w:sz="4" w:space="0" w:color="9C9D9F"/>
            </w:tcBorders>
            <w:shd w:val="clear" w:color="auto" w:fill="FFFFFF"/>
            <w:vAlign w:val="bottom"/>
          </w:tcPr>
          <w:p w:rsidR="00AA01FF" w:rsidRPr="00EF7BD5" w:rsidRDefault="00AA01FF" w:rsidP="006E2A71">
            <w:pPr>
              <w:jc w:val="right"/>
              <w:rPr>
                <w:rFonts w:cs="Arial"/>
                <w:b/>
                <w:sz w:val="20"/>
                <w:szCs w:val="20"/>
              </w:rPr>
            </w:pPr>
            <w:r w:rsidRPr="00EF7BD5">
              <w:rPr>
                <w:rFonts w:cs="Arial"/>
                <w:b/>
                <w:sz w:val="20"/>
                <w:szCs w:val="20"/>
              </w:rPr>
              <w:t>-</w:t>
            </w:r>
            <w:r w:rsidR="006E2A71">
              <w:rPr>
                <w:rFonts w:cs="Arial"/>
                <w:b/>
                <w:sz w:val="20"/>
                <w:szCs w:val="20"/>
              </w:rPr>
              <w:t>428</w:t>
            </w:r>
          </w:p>
        </w:tc>
      </w:tr>
    </w:tbl>
    <w:p w:rsidR="00AA01FF" w:rsidRPr="007113EB" w:rsidRDefault="00AA01FF" w:rsidP="0043760E">
      <w:pPr>
        <w:spacing w:before="0" w:beforeAutospacing="0" w:after="0" w:afterAutospacing="0"/>
        <w:rPr>
          <w:rFonts w:cs="Arial"/>
          <w:color w:val="000000"/>
          <w:sz w:val="20"/>
          <w:szCs w:val="20"/>
        </w:rPr>
      </w:pPr>
      <w:r w:rsidRPr="007113EB">
        <w:rPr>
          <w:rFonts w:cs="Arial"/>
          <w:color w:val="000000"/>
          <w:sz w:val="20"/>
          <w:szCs w:val="20"/>
        </w:rPr>
        <w:t>v tis. EUR</w:t>
      </w:r>
    </w:p>
    <w:p w:rsidR="0043760E" w:rsidRDefault="0043760E">
      <w:pPr>
        <w:spacing w:before="0" w:beforeAutospacing="0" w:after="0" w:afterAutospacing="0"/>
        <w:jc w:val="left"/>
        <w:rPr>
          <w:rFonts w:cs="Arial"/>
          <w:i/>
          <w:highlight w:val="yellow"/>
        </w:rPr>
      </w:pPr>
      <w:r>
        <w:rPr>
          <w:rFonts w:cs="Arial"/>
          <w:i/>
          <w:highlight w:val="yellow"/>
        </w:rPr>
        <w:br w:type="page"/>
      </w:r>
    </w:p>
    <w:p w:rsidR="00AA01FF" w:rsidRPr="006E2A71" w:rsidRDefault="00AA01FF" w:rsidP="00AA01FF">
      <w:pPr>
        <w:rPr>
          <w:rFonts w:cs="Arial"/>
          <w:i/>
        </w:rPr>
      </w:pPr>
      <w:r w:rsidRPr="006E2A71">
        <w:rPr>
          <w:rFonts w:cs="Arial"/>
          <w:i/>
        </w:rPr>
        <w:lastRenderedPageBreak/>
        <w:t>Senzitivita reálné hodnoty cizoměnové opční struktury</w:t>
      </w:r>
    </w:p>
    <w:p w:rsidR="00AA01FF" w:rsidRPr="00905037" w:rsidRDefault="00AA01FF" w:rsidP="00AA01FF">
      <w:pPr>
        <w:rPr>
          <w:rFonts w:cs="Arial"/>
        </w:rPr>
      </w:pPr>
      <w:r w:rsidRPr="006E2A71">
        <w:rPr>
          <w:rFonts w:cs="Arial"/>
        </w:rPr>
        <w:t xml:space="preserve">Posílení </w:t>
      </w:r>
      <w:r w:rsidRPr="00905037">
        <w:rPr>
          <w:rFonts w:cs="Arial"/>
        </w:rPr>
        <w:t>kurzu Kč vůči EUR o 5 % by zvýšilo reálnou hodnotu cizoměnové opční struktury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2016 o zhruba 2,1 mil. EUR.</w:t>
      </w:r>
    </w:p>
    <w:p w:rsidR="00AA01FF" w:rsidRPr="00DD4E70" w:rsidRDefault="00AA01FF" w:rsidP="00AA01FF">
      <w:pPr>
        <w:rPr>
          <w:rFonts w:cs="Arial"/>
        </w:rPr>
      </w:pPr>
      <w:r w:rsidRPr="00905037">
        <w:rPr>
          <w:rFonts w:cs="Arial"/>
        </w:rPr>
        <w:t>Oslabení kurzu Kč vůči EUR o 5 % by snížilo reálnou hodnotu cizoměnové opční struktury k 3</w:t>
      </w:r>
      <w:r w:rsidR="006E2A71" w:rsidRPr="00905037">
        <w:rPr>
          <w:rFonts w:cs="Arial"/>
        </w:rPr>
        <w:t>0</w:t>
      </w:r>
      <w:r w:rsidRPr="00905037">
        <w:rPr>
          <w:rFonts w:cs="Arial"/>
        </w:rPr>
        <w:t xml:space="preserve">. </w:t>
      </w:r>
      <w:r w:rsidR="006E2A71" w:rsidRPr="00905037">
        <w:rPr>
          <w:rFonts w:cs="Arial"/>
        </w:rPr>
        <w:t xml:space="preserve">červnu </w:t>
      </w:r>
      <w:r w:rsidRPr="00905037">
        <w:rPr>
          <w:rFonts w:cs="Arial"/>
        </w:rPr>
        <w:t>2016 o zhruba 1,9 mil. EUR.</w:t>
      </w:r>
    </w:p>
    <w:p w:rsidR="00236FFC" w:rsidRPr="007A3749" w:rsidRDefault="00236FFC" w:rsidP="00BC1C24">
      <w:pPr>
        <w:pStyle w:val="Heading4"/>
      </w:pPr>
      <w:r w:rsidRPr="007A3749">
        <w:t>Zisk na akcii</w:t>
      </w:r>
    </w:p>
    <w:p w:rsidR="006E2A71" w:rsidRDefault="006E2A71" w:rsidP="006E2A71">
      <w:r>
        <w:t xml:space="preserve">Základní zisk na akcii je vypočítán jako čistý zisk v daném období přiřaditelný akcionářům Společnosti dělený váženým průměrem počtu kmenových akcií existujících každý den v daném období, který zohledňuje (snížením) zpětně odkoupené akcie. </w:t>
      </w:r>
    </w:p>
    <w:p w:rsidR="006E2A71" w:rsidRDefault="006E2A71" w:rsidP="006E2A71">
      <w:r>
        <w:t xml:space="preserve">Plně zředěný zisk na akcii se vypočítá na základě váženého průměru počtu akcií v oběhu (stanoveného obdobně jako v případě základního zisku na akcii) upraveného o vliv předpokládané emise všech potenciálních ředících cenných papírů, tj. warrantů v případě Společnosti. </w:t>
      </w:r>
    </w:p>
    <w:p w:rsidR="006E2A71" w:rsidRDefault="006E2A71" w:rsidP="006E2A71">
      <w:r>
        <w:t xml:space="preserve">V prvních šesti měsících roku 2016 ani v prvních šesti měsících roku 2015 nedošlo k změně v počtu akcií vydaných Společností. </w:t>
      </w:r>
    </w:p>
    <w:p w:rsidR="006E2A71" w:rsidRDefault="006E2A71" w:rsidP="006E2A71">
      <w:r>
        <w:t>Vážený průměr počtu kmenových akcií použitých pro výpočet základního zisku na akcii k 30. červnu 2016 reflektuje zpětně odkoupené akcie na základě programu, který byl ukončen v únoru 2016.</w:t>
      </w:r>
    </w:p>
    <w:p w:rsidR="006E2A71" w:rsidRPr="006F6E73" w:rsidRDefault="006E2A71" w:rsidP="006E2A71">
      <w:pPr>
        <w:rPr>
          <w:b/>
        </w:rPr>
      </w:pPr>
      <w:r w:rsidRPr="006F6E73">
        <w:rPr>
          <w:b/>
        </w:rPr>
        <w:t>Základní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6E2A71" w:rsidRPr="006E2A71" w:rsidTr="006E2A71">
        <w:trPr>
          <w:trHeight w:val="288"/>
        </w:trPr>
        <w:tc>
          <w:tcPr>
            <w:tcW w:w="340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6 měsíců končících</w:t>
            </w:r>
          </w:p>
        </w:tc>
      </w:tr>
      <w:tr w:rsidR="006E2A71" w:rsidRPr="006E2A71" w:rsidTr="006E2A71">
        <w:trPr>
          <w:trHeight w:val="552"/>
        </w:trPr>
        <w:tc>
          <w:tcPr>
            <w:tcW w:w="340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2015</w:t>
            </w:r>
          </w:p>
        </w:tc>
        <w:tc>
          <w:tcPr>
            <w:tcW w:w="1280" w:type="dxa"/>
            <w:tcBorders>
              <w:top w:val="nil"/>
              <w:left w:val="nil"/>
              <w:bottom w:val="nil"/>
              <w:right w:val="nil"/>
            </w:tcBorders>
            <w:shd w:val="clear" w:color="000000" w:fill="E2001C"/>
            <w:vAlign w:val="center"/>
            <w:hideMark/>
          </w:tcPr>
          <w:p w:rsidR="006E2A71" w:rsidRPr="006E2A71" w:rsidRDefault="006E2A71" w:rsidP="00D7322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D73222">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2015</w:t>
            </w:r>
          </w:p>
        </w:tc>
        <w:tc>
          <w:tcPr>
            <w:tcW w:w="1280" w:type="dxa"/>
            <w:tcBorders>
              <w:top w:val="nil"/>
              <w:left w:val="nil"/>
              <w:bottom w:val="nil"/>
              <w:right w:val="nil"/>
            </w:tcBorders>
            <w:shd w:val="clear" w:color="000000" w:fill="E2001C"/>
            <w:vAlign w:val="center"/>
            <w:hideMark/>
          </w:tcPr>
          <w:p w:rsidR="006E2A71" w:rsidRPr="006E2A71" w:rsidRDefault="006E2A71" w:rsidP="00D73222">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sidR="00D73222">
              <w:rPr>
                <w:rFonts w:ascii="Calibri" w:hAnsi="Calibri" w:cs="Arial"/>
                <w:b/>
                <w:bCs/>
                <w:color w:val="FFFFFF" w:themeColor="background1"/>
                <w:sz w:val="20"/>
                <w:szCs w:val="20"/>
                <w:lang w:eastAsia="en-US"/>
              </w:rPr>
              <w:t>6</w:t>
            </w:r>
          </w:p>
        </w:tc>
      </w:tr>
      <w:tr w:rsidR="006E2A71"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6E2A71" w:rsidRPr="006E2A71" w:rsidRDefault="006E2A71" w:rsidP="006E2A71">
            <w:pPr>
              <w:spacing w:before="0" w:beforeAutospacing="0" w:after="0" w:afterAutospacing="0"/>
              <w:rPr>
                <w:rFonts w:ascii="Calibri" w:hAnsi="Calibri"/>
                <w:color w:val="000000"/>
                <w:sz w:val="20"/>
                <w:szCs w:val="20"/>
                <w:lang w:val="en-US" w:eastAsia="en-US"/>
              </w:rPr>
            </w:pPr>
            <w:bookmarkStart w:id="106" w:name="RANGE!B4"/>
            <w:bookmarkStart w:id="107" w:name="_Hlk277092009" w:colFirst="1" w:colLast="5"/>
            <w:r w:rsidRPr="006E2A71">
              <w:rPr>
                <w:rFonts w:ascii="Calibri" w:hAnsi="Calibri" w:cs="Arial"/>
                <w:color w:val="000000"/>
                <w:sz w:val="20"/>
                <w:szCs w:val="20"/>
                <w:lang w:eastAsia="en-US"/>
              </w:rPr>
              <w:t>Čistý zisk přiřaditelný akcionářům</w:t>
            </w:r>
            <w:bookmarkEnd w:id="106"/>
          </w:p>
        </w:tc>
        <w:tc>
          <w:tcPr>
            <w:tcW w:w="960" w:type="dxa"/>
            <w:tcBorders>
              <w:top w:val="nil"/>
              <w:left w:val="nil"/>
              <w:bottom w:val="single" w:sz="8" w:space="0" w:color="9C9D9F"/>
              <w:right w:val="nil"/>
            </w:tcBorders>
            <w:shd w:val="clear" w:color="auto" w:fill="auto"/>
            <w:vAlign w:val="center"/>
            <w:hideMark/>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 xml:space="preserve">tis. EUR </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1 969</w:t>
            </w:r>
          </w:p>
        </w:tc>
        <w:tc>
          <w:tcPr>
            <w:tcW w:w="1280" w:type="dxa"/>
            <w:tcBorders>
              <w:top w:val="nil"/>
              <w:left w:val="nil"/>
              <w:bottom w:val="single" w:sz="8" w:space="0" w:color="9C9D9F"/>
              <w:right w:val="nil"/>
            </w:tcBorders>
            <w:shd w:val="clear" w:color="auto" w:fill="auto"/>
            <w:vAlign w:val="center"/>
          </w:tcPr>
          <w:p w:rsidR="006E2A71" w:rsidRPr="006E2A71" w:rsidRDefault="00583500"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7 078</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16 327</w:t>
            </w:r>
          </w:p>
        </w:tc>
        <w:tc>
          <w:tcPr>
            <w:tcW w:w="1280" w:type="dxa"/>
            <w:tcBorders>
              <w:top w:val="nil"/>
              <w:left w:val="nil"/>
              <w:bottom w:val="single" w:sz="8" w:space="0" w:color="9C9D9F"/>
              <w:right w:val="nil"/>
            </w:tcBorders>
            <w:shd w:val="clear" w:color="auto" w:fill="auto"/>
            <w:vAlign w:val="center"/>
          </w:tcPr>
          <w:p w:rsidR="006E2A71" w:rsidRPr="006E2A71" w:rsidRDefault="006E2A71" w:rsidP="00583500">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 xml:space="preserve">7 </w:t>
            </w:r>
            <w:r w:rsidR="00583500">
              <w:rPr>
                <w:rFonts w:ascii="Calibri" w:hAnsi="Calibri"/>
                <w:color w:val="000000"/>
                <w:sz w:val="20"/>
                <w:szCs w:val="20"/>
                <w:lang w:val="en-US" w:eastAsia="en-US"/>
              </w:rPr>
              <w:t>548</w:t>
            </w:r>
          </w:p>
        </w:tc>
      </w:tr>
      <w:bookmarkEnd w:id="107"/>
      <w:tr w:rsidR="006E2A71"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6E2A71" w:rsidRPr="007D00E7" w:rsidRDefault="006E2A71" w:rsidP="006E2A71">
            <w:pPr>
              <w:spacing w:before="0" w:beforeAutospacing="0" w:after="0" w:afterAutospacing="0"/>
              <w:rPr>
                <w:rFonts w:ascii="Calibri" w:hAnsi="Calibri"/>
                <w:color w:val="000000"/>
                <w:sz w:val="20"/>
                <w:szCs w:val="20"/>
                <w:lang w:eastAsia="en-US"/>
              </w:rPr>
            </w:pPr>
            <w:r w:rsidRPr="006E2A71">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9 229 400</w:t>
            </w:r>
          </w:p>
        </w:tc>
        <w:tc>
          <w:tcPr>
            <w:tcW w:w="1280" w:type="dxa"/>
            <w:tcBorders>
              <w:top w:val="nil"/>
              <w:left w:val="nil"/>
              <w:bottom w:val="single" w:sz="8" w:space="0" w:color="9C9D9F"/>
              <w:right w:val="nil"/>
            </w:tcBorders>
            <w:shd w:val="clear" w:color="auto" w:fill="auto"/>
            <w:vAlign w:val="center"/>
          </w:tcPr>
          <w:p w:rsidR="006E2A71" w:rsidRPr="006E2A71" w:rsidRDefault="00D73222"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8 767 930</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9 229 400</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8 769 01</w:t>
            </w:r>
            <w:r w:rsidR="00D73222">
              <w:rPr>
                <w:rFonts w:ascii="Calibri" w:hAnsi="Calibri"/>
                <w:color w:val="000000"/>
                <w:sz w:val="20"/>
                <w:szCs w:val="20"/>
                <w:lang w:val="en-US" w:eastAsia="en-US"/>
              </w:rPr>
              <w:t>1</w:t>
            </w:r>
          </w:p>
        </w:tc>
      </w:tr>
      <w:tr w:rsidR="006E2A71"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6E2A71" w:rsidRPr="007D00E7" w:rsidRDefault="006E2A71" w:rsidP="006E2A71">
            <w:pPr>
              <w:spacing w:before="0" w:beforeAutospacing="0" w:after="0" w:afterAutospacing="0"/>
              <w:rPr>
                <w:rFonts w:ascii="Calibri" w:hAnsi="Calibri"/>
                <w:b/>
                <w:bCs/>
                <w:color w:val="000000"/>
                <w:sz w:val="20"/>
                <w:szCs w:val="20"/>
                <w:lang w:val="pl-PL" w:eastAsia="en-US"/>
              </w:rPr>
            </w:pPr>
            <w:r w:rsidRPr="006E2A71">
              <w:rPr>
                <w:rFonts w:ascii="Calibri" w:hAnsi="Calibri"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rsidR="006E2A71" w:rsidRPr="006E2A71" w:rsidRDefault="006E2A71" w:rsidP="006E2A71">
            <w:pPr>
              <w:spacing w:before="0" w:beforeAutospacing="0" w:after="0" w:afterAutospacing="0"/>
              <w:jc w:val="right"/>
              <w:rPr>
                <w:rFonts w:ascii="Calibri" w:hAnsi="Calibri"/>
                <w:b/>
                <w:bCs/>
                <w:color w:val="000000"/>
                <w:sz w:val="20"/>
                <w:szCs w:val="20"/>
                <w:lang w:val="en-US" w:eastAsia="en-US"/>
              </w:rPr>
            </w:pPr>
            <w:r w:rsidRPr="006E2A71">
              <w:rPr>
                <w:rFonts w:ascii="Calibri" w:hAnsi="Calibri" w:cs="Arial"/>
                <w:b/>
                <w:bCs/>
                <w:color w:val="000000"/>
                <w:sz w:val="20"/>
                <w:szCs w:val="20"/>
                <w:lang w:eastAsia="en-US"/>
              </w:rPr>
              <w:t>EUR</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0,21</w:t>
            </w:r>
          </w:p>
        </w:tc>
        <w:tc>
          <w:tcPr>
            <w:tcW w:w="1280" w:type="dxa"/>
            <w:tcBorders>
              <w:top w:val="nil"/>
              <w:left w:val="nil"/>
              <w:bottom w:val="single" w:sz="8" w:space="0" w:color="9C9D9F"/>
              <w:right w:val="nil"/>
            </w:tcBorders>
            <w:shd w:val="clear" w:color="auto" w:fill="auto"/>
            <w:vAlign w:val="center"/>
          </w:tcPr>
          <w:p w:rsidR="006E2A71" w:rsidRPr="006E2A71" w:rsidRDefault="00D73222" w:rsidP="00583500">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583500">
              <w:rPr>
                <w:rFonts w:ascii="Calibri" w:hAnsi="Calibri"/>
                <w:b/>
                <w:bCs/>
                <w:color w:val="000000"/>
                <w:sz w:val="20"/>
                <w:szCs w:val="20"/>
                <w:lang w:val="en-US" w:eastAsia="en-US"/>
              </w:rPr>
              <w:t>81</w:t>
            </w:r>
          </w:p>
        </w:tc>
        <w:tc>
          <w:tcPr>
            <w:tcW w:w="1280" w:type="dxa"/>
            <w:tcBorders>
              <w:top w:val="nil"/>
              <w:left w:val="nil"/>
              <w:bottom w:val="single" w:sz="8" w:space="0" w:color="9C9D9F"/>
              <w:right w:val="nil"/>
            </w:tcBorders>
            <w:shd w:val="clear" w:color="auto" w:fill="auto"/>
            <w:vAlign w:val="center"/>
          </w:tcPr>
          <w:p w:rsidR="006E2A71" w:rsidRPr="006E2A71" w:rsidRDefault="006E2A71" w:rsidP="006E2A71">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1,77</w:t>
            </w:r>
          </w:p>
        </w:tc>
        <w:tc>
          <w:tcPr>
            <w:tcW w:w="1280" w:type="dxa"/>
            <w:tcBorders>
              <w:top w:val="nil"/>
              <w:left w:val="nil"/>
              <w:bottom w:val="single" w:sz="8" w:space="0" w:color="9C9D9F"/>
              <w:right w:val="nil"/>
            </w:tcBorders>
            <w:shd w:val="clear" w:color="auto" w:fill="auto"/>
            <w:vAlign w:val="center"/>
          </w:tcPr>
          <w:p w:rsidR="006E2A71" w:rsidRPr="006E2A71" w:rsidRDefault="00D73222" w:rsidP="00583500">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583500">
              <w:rPr>
                <w:rFonts w:ascii="Calibri" w:hAnsi="Calibri"/>
                <w:b/>
                <w:bCs/>
                <w:color w:val="000000"/>
                <w:sz w:val="20"/>
                <w:szCs w:val="20"/>
                <w:lang w:val="en-US" w:eastAsia="en-US"/>
              </w:rPr>
              <w:t>86</w:t>
            </w:r>
          </w:p>
        </w:tc>
      </w:tr>
    </w:tbl>
    <w:p w:rsidR="001F390A" w:rsidRPr="006F6E73" w:rsidRDefault="001F390A" w:rsidP="007A3749">
      <w:pPr>
        <w:rPr>
          <w:b/>
        </w:rPr>
      </w:pPr>
      <w:r w:rsidRPr="006F6E73">
        <w:rPr>
          <w:b/>
        </w:rPr>
        <w:t>Zředěný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6E2A71" w:rsidRPr="006E2A71" w:rsidTr="006E2A71">
        <w:trPr>
          <w:trHeight w:val="288"/>
        </w:trPr>
        <w:tc>
          <w:tcPr>
            <w:tcW w:w="340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000000" w:fill="E2001C"/>
            <w:vAlign w:val="center"/>
            <w:hideMark/>
          </w:tcPr>
          <w:p w:rsidR="006E2A71" w:rsidRPr="006E2A71" w:rsidRDefault="006E2A71" w:rsidP="006E2A71">
            <w:pPr>
              <w:spacing w:before="0" w:beforeAutospacing="0" w:after="0" w:afterAutospacing="0"/>
              <w:jc w:val="center"/>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 xml:space="preserve">     Za 6 měsíců končících</w:t>
            </w:r>
          </w:p>
        </w:tc>
      </w:tr>
      <w:tr w:rsidR="00D73222" w:rsidRPr="006E2A71" w:rsidTr="006E2A71">
        <w:trPr>
          <w:trHeight w:val="552"/>
        </w:trPr>
        <w:tc>
          <w:tcPr>
            <w:tcW w:w="3400" w:type="dxa"/>
            <w:tcBorders>
              <w:top w:val="nil"/>
              <w:left w:val="nil"/>
              <w:bottom w:val="nil"/>
              <w:right w:val="nil"/>
            </w:tcBorders>
            <w:shd w:val="clear" w:color="000000" w:fill="E2001C"/>
            <w:vAlign w:val="center"/>
            <w:hideMark/>
          </w:tcPr>
          <w:p w:rsidR="00D73222" w:rsidRPr="006E2A71" w:rsidRDefault="00D73222"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000000" w:fill="E2001C"/>
            <w:vAlign w:val="center"/>
            <w:hideMark/>
          </w:tcPr>
          <w:p w:rsidR="00D73222" w:rsidRPr="006E2A71" w:rsidRDefault="00D73222" w:rsidP="006E2A71">
            <w:pPr>
              <w:spacing w:before="0" w:beforeAutospacing="0" w:after="0" w:afterAutospacing="0"/>
              <w:jc w:val="right"/>
              <w:rPr>
                <w:rFonts w:ascii="Calibri" w:hAnsi="Calibri"/>
                <w:color w:val="FFFFFF"/>
                <w:sz w:val="20"/>
                <w:szCs w:val="20"/>
                <w:lang w:val="en-US" w:eastAsia="en-US"/>
              </w:rPr>
            </w:pPr>
            <w:r w:rsidRPr="006E2A71">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2015</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Pr>
                <w:rFonts w:ascii="Calibri" w:hAnsi="Calibri" w:cs="Arial"/>
                <w:b/>
                <w:bCs/>
                <w:color w:val="FFFFFF" w:themeColor="background1"/>
                <w:sz w:val="20"/>
                <w:szCs w:val="20"/>
                <w:lang w:eastAsia="en-US"/>
              </w:rPr>
              <w:t>6</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2015</w:t>
            </w:r>
          </w:p>
        </w:tc>
        <w:tc>
          <w:tcPr>
            <w:tcW w:w="1280" w:type="dxa"/>
            <w:tcBorders>
              <w:top w:val="nil"/>
              <w:left w:val="nil"/>
              <w:bottom w:val="nil"/>
              <w:right w:val="nil"/>
            </w:tcBorders>
            <w:shd w:val="clear" w:color="000000" w:fill="E2001C"/>
            <w:vAlign w:val="center"/>
            <w:hideMark/>
          </w:tcPr>
          <w:p w:rsidR="00D73222" w:rsidRPr="006E2A71" w:rsidRDefault="00D73222" w:rsidP="00037DF3">
            <w:pPr>
              <w:spacing w:before="0" w:beforeAutospacing="0" w:after="0" w:afterAutospacing="0"/>
              <w:jc w:val="right"/>
              <w:rPr>
                <w:rFonts w:ascii="Calibri" w:hAnsi="Calibri"/>
                <w:b/>
                <w:bCs/>
                <w:color w:val="FFFFFF"/>
                <w:sz w:val="20"/>
                <w:szCs w:val="20"/>
                <w:lang w:val="en-US" w:eastAsia="en-US"/>
              </w:rPr>
            </w:pPr>
            <w:r w:rsidRPr="006E2A71">
              <w:rPr>
                <w:rFonts w:ascii="Calibri" w:hAnsi="Calibri" w:cs="Arial"/>
                <w:b/>
                <w:bCs/>
                <w:color w:val="FFFFFF" w:themeColor="background1"/>
                <w:sz w:val="20"/>
                <w:szCs w:val="20"/>
                <w:lang w:eastAsia="en-US"/>
              </w:rPr>
              <w:t>30. června 201</w:t>
            </w:r>
            <w:r>
              <w:rPr>
                <w:rFonts w:ascii="Calibri" w:hAnsi="Calibri" w:cs="Arial"/>
                <w:b/>
                <w:bCs/>
                <w:color w:val="FFFFFF" w:themeColor="background1"/>
                <w:sz w:val="20"/>
                <w:szCs w:val="20"/>
                <w:lang w:eastAsia="en-US"/>
              </w:rPr>
              <w:t>6</w:t>
            </w:r>
          </w:p>
        </w:tc>
      </w:tr>
      <w:tr w:rsidR="00D7322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D73222" w:rsidRPr="006E2A71" w:rsidRDefault="00D73222" w:rsidP="006E2A71">
            <w:pPr>
              <w:spacing w:before="0" w:beforeAutospacing="0" w:after="0" w:afterAutospacing="0"/>
              <w:rPr>
                <w:rFonts w:ascii="Calibri" w:hAnsi="Calibri"/>
                <w:color w:val="000000"/>
                <w:sz w:val="20"/>
                <w:szCs w:val="20"/>
                <w:lang w:val="en-US" w:eastAsia="en-US"/>
              </w:rPr>
            </w:pPr>
            <w:r w:rsidRPr="006E2A71">
              <w:rPr>
                <w:rFonts w:ascii="Calibri" w:hAnsi="Calibri" w:cs="Arial"/>
                <w:color w:val="000000"/>
                <w:sz w:val="20"/>
                <w:szCs w:val="20"/>
                <w:lang w:eastAsia="en-US"/>
              </w:rPr>
              <w:t>Čistý zisk přiřaditelný akcionářům</w:t>
            </w:r>
          </w:p>
        </w:tc>
        <w:tc>
          <w:tcPr>
            <w:tcW w:w="960" w:type="dxa"/>
            <w:tcBorders>
              <w:top w:val="nil"/>
              <w:left w:val="nil"/>
              <w:bottom w:val="single" w:sz="8" w:space="0" w:color="9C9D9F"/>
              <w:right w:val="nil"/>
            </w:tcBorders>
            <w:shd w:val="clear" w:color="auto" w:fill="auto"/>
            <w:vAlign w:val="center"/>
            <w:hideMark/>
          </w:tcPr>
          <w:p w:rsidR="00D73222" w:rsidRPr="006E2A71" w:rsidRDefault="00D73222"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 xml:space="preserve">tis. EUR </w:t>
            </w:r>
          </w:p>
        </w:tc>
        <w:tc>
          <w:tcPr>
            <w:tcW w:w="1280" w:type="dxa"/>
            <w:tcBorders>
              <w:top w:val="nil"/>
              <w:left w:val="nil"/>
              <w:bottom w:val="single" w:sz="8" w:space="0" w:color="9C9D9F"/>
              <w:right w:val="nil"/>
            </w:tcBorders>
            <w:shd w:val="clear" w:color="auto" w:fill="auto"/>
            <w:vAlign w:val="center"/>
          </w:tcPr>
          <w:p w:rsidR="00D73222" w:rsidRPr="006E2A71" w:rsidRDefault="00D73222" w:rsidP="00037DF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1 969</w:t>
            </w:r>
          </w:p>
        </w:tc>
        <w:tc>
          <w:tcPr>
            <w:tcW w:w="1280" w:type="dxa"/>
            <w:tcBorders>
              <w:top w:val="nil"/>
              <w:left w:val="nil"/>
              <w:bottom w:val="single" w:sz="8" w:space="0" w:color="9C9D9F"/>
              <w:right w:val="nil"/>
            </w:tcBorders>
            <w:shd w:val="clear" w:color="auto" w:fill="auto"/>
            <w:vAlign w:val="center"/>
          </w:tcPr>
          <w:p w:rsidR="00D73222" w:rsidRPr="006E2A71" w:rsidRDefault="00583500" w:rsidP="00037DF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7 078</w:t>
            </w:r>
          </w:p>
        </w:tc>
        <w:tc>
          <w:tcPr>
            <w:tcW w:w="1280" w:type="dxa"/>
            <w:tcBorders>
              <w:top w:val="nil"/>
              <w:left w:val="nil"/>
              <w:bottom w:val="single" w:sz="8" w:space="0" w:color="9C9D9F"/>
              <w:right w:val="nil"/>
            </w:tcBorders>
            <w:shd w:val="clear" w:color="auto" w:fill="auto"/>
            <w:vAlign w:val="center"/>
          </w:tcPr>
          <w:p w:rsidR="00D73222" w:rsidRPr="006E2A71" w:rsidRDefault="00D73222" w:rsidP="00037DF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16 327</w:t>
            </w:r>
          </w:p>
        </w:tc>
        <w:tc>
          <w:tcPr>
            <w:tcW w:w="1280" w:type="dxa"/>
            <w:tcBorders>
              <w:top w:val="nil"/>
              <w:left w:val="nil"/>
              <w:bottom w:val="single" w:sz="8" w:space="0" w:color="9C9D9F"/>
              <w:right w:val="nil"/>
            </w:tcBorders>
            <w:shd w:val="clear" w:color="auto" w:fill="auto"/>
            <w:vAlign w:val="center"/>
          </w:tcPr>
          <w:p w:rsidR="00D73222" w:rsidRPr="006E2A71" w:rsidRDefault="00D73222" w:rsidP="00583500">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 xml:space="preserve">7 </w:t>
            </w:r>
            <w:r w:rsidR="00583500">
              <w:rPr>
                <w:rFonts w:ascii="Calibri" w:hAnsi="Calibri"/>
                <w:color w:val="000000"/>
                <w:sz w:val="20"/>
                <w:szCs w:val="20"/>
                <w:lang w:val="en-US" w:eastAsia="en-US"/>
              </w:rPr>
              <w:t>548</w:t>
            </w:r>
          </w:p>
        </w:tc>
      </w:tr>
      <w:tr w:rsidR="00D7322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D73222" w:rsidRPr="007D00E7" w:rsidRDefault="00D73222" w:rsidP="006E2A71">
            <w:pPr>
              <w:spacing w:before="0" w:beforeAutospacing="0" w:after="0" w:afterAutospacing="0"/>
              <w:rPr>
                <w:rFonts w:ascii="Calibri" w:hAnsi="Calibri"/>
                <w:color w:val="000000"/>
                <w:sz w:val="20"/>
                <w:szCs w:val="20"/>
                <w:lang w:eastAsia="en-US"/>
              </w:rPr>
            </w:pPr>
            <w:r w:rsidRPr="006E2A71">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rsidR="00D73222" w:rsidRPr="006E2A71" w:rsidRDefault="00D73222" w:rsidP="006E2A71">
            <w:pPr>
              <w:spacing w:before="0" w:beforeAutospacing="0" w:after="0" w:afterAutospacing="0"/>
              <w:jc w:val="right"/>
              <w:rPr>
                <w:rFonts w:ascii="Calibri" w:hAnsi="Calibri"/>
                <w:color w:val="000000"/>
                <w:sz w:val="20"/>
                <w:szCs w:val="20"/>
                <w:lang w:val="en-US" w:eastAsia="en-US"/>
              </w:rPr>
            </w:pPr>
            <w:r w:rsidRPr="006E2A71">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rsidR="00D73222" w:rsidRPr="006E2A71" w:rsidRDefault="0056259B" w:rsidP="00037DF3">
            <w:pPr>
              <w:spacing w:before="0" w:beforeAutospacing="0" w:after="0" w:afterAutospacing="0"/>
              <w:jc w:val="right"/>
              <w:rPr>
                <w:rFonts w:ascii="Calibri" w:hAnsi="Calibri"/>
                <w:color w:val="000000"/>
                <w:sz w:val="20"/>
                <w:szCs w:val="20"/>
                <w:lang w:val="en-US" w:eastAsia="en-US"/>
              </w:rPr>
            </w:pPr>
            <w:r>
              <w:rPr>
                <w:rFonts w:ascii="Calibri" w:hAnsi="Calibri"/>
                <w:color w:val="000000"/>
                <w:sz w:val="20"/>
                <w:szCs w:val="20"/>
                <w:lang w:val="en-US" w:eastAsia="en-US"/>
              </w:rPr>
              <w:t xml:space="preserve">9 371 </w:t>
            </w:r>
            <w:r w:rsidRPr="0056259B">
              <w:rPr>
                <w:rFonts w:ascii="Calibri" w:hAnsi="Calibri"/>
                <w:color w:val="000000"/>
                <w:sz w:val="20"/>
                <w:szCs w:val="20"/>
                <w:lang w:val="en-US" w:eastAsia="en-US"/>
              </w:rPr>
              <w:t>672</w:t>
            </w:r>
          </w:p>
        </w:tc>
        <w:tc>
          <w:tcPr>
            <w:tcW w:w="1280" w:type="dxa"/>
            <w:tcBorders>
              <w:top w:val="nil"/>
              <w:left w:val="nil"/>
              <w:bottom w:val="single" w:sz="8" w:space="0" w:color="9C9D9F"/>
              <w:right w:val="nil"/>
            </w:tcBorders>
            <w:shd w:val="clear" w:color="auto" w:fill="auto"/>
            <w:vAlign w:val="center"/>
          </w:tcPr>
          <w:p w:rsidR="00D73222" w:rsidRPr="006E2A71" w:rsidRDefault="00D73222" w:rsidP="00D73222">
            <w:pPr>
              <w:spacing w:before="0" w:beforeAutospacing="0" w:after="0" w:afterAutospacing="0"/>
              <w:jc w:val="right"/>
              <w:rPr>
                <w:rFonts w:ascii="Calibri" w:hAnsi="Calibri"/>
                <w:color w:val="000000"/>
                <w:sz w:val="20"/>
                <w:szCs w:val="20"/>
                <w:lang w:val="en-US" w:eastAsia="en-US"/>
              </w:rPr>
            </w:pPr>
            <w:r w:rsidRPr="00D73222">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835</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14</w:t>
            </w:r>
            <w:r>
              <w:rPr>
                <w:rFonts w:ascii="Calibri" w:hAnsi="Calibri"/>
                <w:color w:val="000000"/>
                <w:sz w:val="20"/>
                <w:szCs w:val="20"/>
                <w:lang w:val="en-US" w:eastAsia="en-US"/>
              </w:rPr>
              <w:t>2</w:t>
            </w:r>
          </w:p>
        </w:tc>
        <w:tc>
          <w:tcPr>
            <w:tcW w:w="1280" w:type="dxa"/>
            <w:tcBorders>
              <w:top w:val="nil"/>
              <w:left w:val="nil"/>
              <w:bottom w:val="single" w:sz="8" w:space="0" w:color="9C9D9F"/>
              <w:right w:val="nil"/>
            </w:tcBorders>
            <w:shd w:val="clear" w:color="auto" w:fill="auto"/>
            <w:vAlign w:val="center"/>
          </w:tcPr>
          <w:p w:rsidR="00D73222" w:rsidRPr="006E2A71" w:rsidRDefault="0056259B" w:rsidP="0056259B">
            <w:pPr>
              <w:spacing w:before="0" w:beforeAutospacing="0" w:after="0" w:afterAutospacing="0"/>
              <w:jc w:val="right"/>
              <w:rPr>
                <w:rFonts w:ascii="Calibri" w:hAnsi="Calibri"/>
                <w:color w:val="000000"/>
                <w:sz w:val="20"/>
                <w:szCs w:val="20"/>
                <w:lang w:val="en-US" w:eastAsia="en-US"/>
              </w:rPr>
            </w:pPr>
            <w:r w:rsidRPr="0056259B">
              <w:rPr>
                <w:rFonts w:ascii="Calibri" w:hAnsi="Calibri"/>
                <w:color w:val="000000"/>
                <w:sz w:val="20"/>
                <w:szCs w:val="20"/>
                <w:lang w:val="en-US" w:eastAsia="en-US"/>
              </w:rPr>
              <w:t>9</w:t>
            </w:r>
            <w:r>
              <w:rPr>
                <w:rFonts w:ascii="Calibri" w:hAnsi="Calibri"/>
                <w:color w:val="000000"/>
                <w:sz w:val="20"/>
                <w:szCs w:val="20"/>
                <w:lang w:val="en-US" w:eastAsia="en-US"/>
              </w:rPr>
              <w:t xml:space="preserve"> </w:t>
            </w:r>
            <w:r w:rsidRPr="0056259B">
              <w:rPr>
                <w:rFonts w:ascii="Calibri" w:hAnsi="Calibri"/>
                <w:color w:val="000000"/>
                <w:sz w:val="20"/>
                <w:szCs w:val="20"/>
                <w:lang w:val="en-US" w:eastAsia="en-US"/>
              </w:rPr>
              <w:t>352</w:t>
            </w:r>
            <w:r>
              <w:rPr>
                <w:rFonts w:ascii="Calibri" w:hAnsi="Calibri"/>
                <w:color w:val="000000"/>
                <w:sz w:val="20"/>
                <w:szCs w:val="20"/>
                <w:lang w:val="en-US" w:eastAsia="en-US"/>
              </w:rPr>
              <w:t xml:space="preserve"> </w:t>
            </w:r>
            <w:r w:rsidRPr="0056259B">
              <w:rPr>
                <w:rFonts w:ascii="Calibri" w:hAnsi="Calibri"/>
                <w:color w:val="000000"/>
                <w:sz w:val="20"/>
                <w:szCs w:val="20"/>
                <w:lang w:val="en-US" w:eastAsia="en-US"/>
              </w:rPr>
              <w:t>637</w:t>
            </w:r>
          </w:p>
        </w:tc>
        <w:tc>
          <w:tcPr>
            <w:tcW w:w="1280" w:type="dxa"/>
            <w:tcBorders>
              <w:top w:val="nil"/>
              <w:left w:val="nil"/>
              <w:bottom w:val="single" w:sz="8" w:space="0" w:color="9C9D9F"/>
              <w:right w:val="nil"/>
            </w:tcBorders>
            <w:shd w:val="clear" w:color="auto" w:fill="auto"/>
            <w:vAlign w:val="center"/>
          </w:tcPr>
          <w:p w:rsidR="00D73222" w:rsidRPr="006E2A71" w:rsidRDefault="00D73222" w:rsidP="00037DF3">
            <w:pPr>
              <w:spacing w:before="0" w:beforeAutospacing="0" w:after="0" w:afterAutospacing="0"/>
              <w:jc w:val="right"/>
              <w:rPr>
                <w:rFonts w:ascii="Calibri" w:hAnsi="Calibri"/>
                <w:color w:val="000000"/>
                <w:sz w:val="20"/>
                <w:szCs w:val="20"/>
                <w:lang w:val="en-US" w:eastAsia="en-US"/>
              </w:rPr>
            </w:pPr>
            <w:r w:rsidRPr="00D73222">
              <w:rPr>
                <w:rFonts w:ascii="Calibri" w:hAnsi="Calibri"/>
                <w:color w:val="000000"/>
                <w:sz w:val="20"/>
                <w:szCs w:val="20"/>
                <w:lang w:val="en-US" w:eastAsia="en-US"/>
              </w:rPr>
              <w:t>8</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826</w:t>
            </w:r>
            <w:r>
              <w:rPr>
                <w:rFonts w:ascii="Calibri" w:hAnsi="Calibri"/>
                <w:color w:val="000000"/>
                <w:sz w:val="20"/>
                <w:szCs w:val="20"/>
                <w:lang w:val="en-US" w:eastAsia="en-US"/>
              </w:rPr>
              <w:t xml:space="preserve"> </w:t>
            </w:r>
            <w:r w:rsidRPr="00D73222">
              <w:rPr>
                <w:rFonts w:ascii="Calibri" w:hAnsi="Calibri"/>
                <w:color w:val="000000"/>
                <w:sz w:val="20"/>
                <w:szCs w:val="20"/>
                <w:lang w:val="en-US" w:eastAsia="en-US"/>
              </w:rPr>
              <w:t>946</w:t>
            </w:r>
          </w:p>
        </w:tc>
      </w:tr>
      <w:tr w:rsidR="00D73222" w:rsidRPr="006E2A71" w:rsidTr="006E2A71">
        <w:trPr>
          <w:trHeight w:val="300"/>
        </w:trPr>
        <w:tc>
          <w:tcPr>
            <w:tcW w:w="3400" w:type="dxa"/>
            <w:tcBorders>
              <w:top w:val="nil"/>
              <w:left w:val="nil"/>
              <w:bottom w:val="single" w:sz="8" w:space="0" w:color="9C9D9F"/>
              <w:right w:val="nil"/>
            </w:tcBorders>
            <w:shd w:val="clear" w:color="auto" w:fill="auto"/>
            <w:vAlign w:val="center"/>
            <w:hideMark/>
          </w:tcPr>
          <w:p w:rsidR="00D73222" w:rsidRPr="007D00E7" w:rsidRDefault="00D73222" w:rsidP="006E2A71">
            <w:pPr>
              <w:spacing w:before="0" w:beforeAutospacing="0" w:after="0" w:afterAutospacing="0"/>
              <w:rPr>
                <w:rFonts w:ascii="Calibri" w:hAnsi="Calibri"/>
                <w:b/>
                <w:bCs/>
                <w:color w:val="000000"/>
                <w:sz w:val="20"/>
                <w:szCs w:val="20"/>
                <w:lang w:val="pl-PL" w:eastAsia="en-US"/>
              </w:rPr>
            </w:pPr>
            <w:r w:rsidRPr="006E2A71">
              <w:rPr>
                <w:rFonts w:ascii="Calibri" w:hAnsi="Calibri"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rsidR="00D73222" w:rsidRPr="006E2A71" w:rsidRDefault="00D73222" w:rsidP="006E2A71">
            <w:pPr>
              <w:spacing w:before="0" w:beforeAutospacing="0" w:after="0" w:afterAutospacing="0"/>
              <w:jc w:val="right"/>
              <w:rPr>
                <w:rFonts w:ascii="Calibri" w:hAnsi="Calibri"/>
                <w:b/>
                <w:bCs/>
                <w:color w:val="000000"/>
                <w:sz w:val="20"/>
                <w:szCs w:val="20"/>
                <w:lang w:val="en-US" w:eastAsia="en-US"/>
              </w:rPr>
            </w:pPr>
            <w:r w:rsidRPr="006E2A71">
              <w:rPr>
                <w:rFonts w:ascii="Calibri" w:hAnsi="Calibri" w:cs="Arial"/>
                <w:b/>
                <w:bCs/>
                <w:color w:val="000000"/>
                <w:sz w:val="20"/>
                <w:szCs w:val="20"/>
                <w:lang w:eastAsia="en-US"/>
              </w:rPr>
              <w:t>EUR</w:t>
            </w:r>
          </w:p>
        </w:tc>
        <w:tc>
          <w:tcPr>
            <w:tcW w:w="1280" w:type="dxa"/>
            <w:tcBorders>
              <w:top w:val="nil"/>
              <w:left w:val="nil"/>
              <w:bottom w:val="single" w:sz="8" w:space="0" w:color="9C9D9F"/>
              <w:right w:val="nil"/>
            </w:tcBorders>
            <w:shd w:val="clear" w:color="auto" w:fill="auto"/>
            <w:vAlign w:val="center"/>
          </w:tcPr>
          <w:p w:rsidR="00D73222" w:rsidRPr="006E2A71" w:rsidRDefault="00D73222" w:rsidP="00037DF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0,21</w:t>
            </w:r>
          </w:p>
        </w:tc>
        <w:tc>
          <w:tcPr>
            <w:tcW w:w="1280" w:type="dxa"/>
            <w:tcBorders>
              <w:top w:val="nil"/>
              <w:left w:val="nil"/>
              <w:bottom w:val="single" w:sz="8" w:space="0" w:color="9C9D9F"/>
              <w:right w:val="nil"/>
            </w:tcBorders>
            <w:shd w:val="clear" w:color="auto" w:fill="auto"/>
            <w:vAlign w:val="center"/>
          </w:tcPr>
          <w:p w:rsidR="00D73222" w:rsidRPr="006E2A71" w:rsidRDefault="00D73222" w:rsidP="00037DF3">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w:t>
            </w:r>
            <w:r w:rsidR="00583500">
              <w:rPr>
                <w:rFonts w:ascii="Calibri" w:hAnsi="Calibri"/>
                <w:b/>
                <w:bCs/>
                <w:color w:val="000000"/>
                <w:sz w:val="20"/>
                <w:szCs w:val="20"/>
                <w:lang w:val="en-US" w:eastAsia="en-US"/>
              </w:rPr>
              <w:t>80</w:t>
            </w:r>
          </w:p>
        </w:tc>
        <w:tc>
          <w:tcPr>
            <w:tcW w:w="1280" w:type="dxa"/>
            <w:tcBorders>
              <w:top w:val="nil"/>
              <w:left w:val="nil"/>
              <w:bottom w:val="single" w:sz="8" w:space="0" w:color="9C9D9F"/>
              <w:right w:val="nil"/>
            </w:tcBorders>
            <w:shd w:val="clear" w:color="auto" w:fill="auto"/>
            <w:vAlign w:val="center"/>
          </w:tcPr>
          <w:p w:rsidR="00D73222" w:rsidRPr="006E2A71" w:rsidRDefault="00D73222" w:rsidP="0056259B">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1,7</w:t>
            </w:r>
            <w:r w:rsidR="0056259B">
              <w:rPr>
                <w:rFonts w:ascii="Calibri" w:hAnsi="Calibri"/>
                <w:b/>
                <w:bCs/>
                <w:color w:val="000000"/>
                <w:sz w:val="20"/>
                <w:szCs w:val="20"/>
                <w:lang w:val="en-US" w:eastAsia="en-US"/>
              </w:rPr>
              <w:t>5</w:t>
            </w:r>
          </w:p>
        </w:tc>
        <w:tc>
          <w:tcPr>
            <w:tcW w:w="1280" w:type="dxa"/>
            <w:tcBorders>
              <w:top w:val="nil"/>
              <w:left w:val="nil"/>
              <w:bottom w:val="single" w:sz="8" w:space="0" w:color="9C9D9F"/>
              <w:right w:val="nil"/>
            </w:tcBorders>
            <w:shd w:val="clear" w:color="auto" w:fill="auto"/>
            <w:vAlign w:val="center"/>
          </w:tcPr>
          <w:p w:rsidR="00D73222" w:rsidRPr="006E2A71" w:rsidRDefault="00D73222" w:rsidP="00583500">
            <w:pPr>
              <w:spacing w:before="0" w:beforeAutospacing="0" w:after="0" w:afterAutospacing="0"/>
              <w:jc w:val="right"/>
              <w:rPr>
                <w:rFonts w:ascii="Calibri" w:hAnsi="Calibri"/>
                <w:b/>
                <w:bCs/>
                <w:color w:val="000000"/>
                <w:sz w:val="20"/>
                <w:szCs w:val="20"/>
                <w:lang w:val="en-US" w:eastAsia="en-US"/>
              </w:rPr>
            </w:pPr>
            <w:r>
              <w:rPr>
                <w:rFonts w:ascii="Calibri" w:hAnsi="Calibri"/>
                <w:b/>
                <w:bCs/>
                <w:color w:val="000000"/>
                <w:sz w:val="20"/>
                <w:szCs w:val="20"/>
                <w:lang w:val="en-US" w:eastAsia="en-US"/>
              </w:rPr>
              <w:t>0,8</w:t>
            </w:r>
            <w:r w:rsidR="00583500">
              <w:rPr>
                <w:rFonts w:ascii="Calibri" w:hAnsi="Calibri"/>
                <w:b/>
                <w:bCs/>
                <w:color w:val="000000"/>
                <w:sz w:val="20"/>
                <w:szCs w:val="20"/>
                <w:lang w:val="en-US" w:eastAsia="en-US"/>
              </w:rPr>
              <w:t>6</w:t>
            </w:r>
          </w:p>
        </w:tc>
      </w:tr>
    </w:tbl>
    <w:p w:rsidR="000B3C83" w:rsidRDefault="000B3C83" w:rsidP="00BC1C24">
      <w:pPr>
        <w:pStyle w:val="Heading4"/>
      </w:pPr>
    </w:p>
    <w:p w:rsidR="00236FFC" w:rsidRPr="007A3749" w:rsidRDefault="00236FFC" w:rsidP="00BC1C24">
      <w:pPr>
        <w:pStyle w:val="Heading4"/>
      </w:pPr>
      <w:r w:rsidRPr="007A3749">
        <w:lastRenderedPageBreak/>
        <w:t>Zpráva o vztazích</w:t>
      </w:r>
    </w:p>
    <w:p w:rsidR="00236FFC" w:rsidRPr="007A3749" w:rsidRDefault="00236FFC" w:rsidP="007A3749">
      <w:r w:rsidRPr="007A3749">
        <w:t>Kromě výše uvedených informací neexistovaly žádné další nové transakce mezi Skupinou a exekutivním managementem či neexekutivními ř</w:t>
      </w:r>
      <w:r w:rsidR="001F390A" w:rsidRPr="007A3749">
        <w:t>editeli uzavřené v prvních šesti</w:t>
      </w:r>
      <w:r w:rsidRPr="007A3749">
        <w:t xml:space="preserve"> měsících roku 201</w:t>
      </w:r>
      <w:r w:rsidR="00D73222">
        <w:t>6</w:t>
      </w:r>
      <w:r w:rsidRPr="007A3749">
        <w:t>.</w:t>
      </w:r>
    </w:p>
    <w:p w:rsidR="00236FFC" w:rsidRPr="007A3749" w:rsidRDefault="00236FFC" w:rsidP="00BC1C24">
      <w:pPr>
        <w:pStyle w:val="Heading4"/>
      </w:pPr>
      <w:r w:rsidRPr="007A3749">
        <w:t>Schválení mezitímních účetních výkazů</w:t>
      </w:r>
    </w:p>
    <w:p w:rsidR="00236FFC" w:rsidRPr="007A3749" w:rsidRDefault="00236FFC" w:rsidP="007A3749">
      <w:r w:rsidRPr="007A3749">
        <w:t>Mezitímní účetní výkazy byly schváleny představenstvem Společnosti dne 2</w:t>
      </w:r>
      <w:r w:rsidR="00D73222">
        <w:t>4</w:t>
      </w:r>
      <w:r w:rsidRPr="007A3749">
        <w:t xml:space="preserve">. </w:t>
      </w:r>
      <w:r w:rsidR="00C0551F" w:rsidRPr="007A3749">
        <w:t xml:space="preserve">srpna </w:t>
      </w:r>
      <w:r w:rsidRPr="007A3749">
        <w:t>201</w:t>
      </w:r>
      <w:r w:rsidR="00D73222">
        <w:t>6</w:t>
      </w:r>
      <w:r w:rsidRPr="007A3749">
        <w:t>.</w:t>
      </w:r>
    </w:p>
    <w:p w:rsidR="00236FFC" w:rsidRPr="007A3749" w:rsidRDefault="00236FFC" w:rsidP="007A3749"/>
    <w:p w:rsidR="00236FFC" w:rsidRPr="007A3749" w:rsidRDefault="00236FFC" w:rsidP="007A3749"/>
    <w:p w:rsidR="00236FFC" w:rsidRPr="007A3749" w:rsidRDefault="00236FFC" w:rsidP="007A3749"/>
    <w:p w:rsidR="00236FFC" w:rsidRPr="007A3749" w:rsidRDefault="00236FFC" w:rsidP="007A3749"/>
    <w:p w:rsidR="00236FFC" w:rsidRPr="007A3749" w:rsidRDefault="00236FFC" w:rsidP="007A3749"/>
    <w:p w:rsidR="00236FFC" w:rsidRDefault="00236FFC" w:rsidP="007A3749"/>
    <w:p w:rsidR="00D73222" w:rsidRDefault="00D73222" w:rsidP="007A3749"/>
    <w:p w:rsidR="00D73222" w:rsidRDefault="00D73222" w:rsidP="007A3749"/>
    <w:p w:rsidR="00D73222" w:rsidRDefault="00D73222" w:rsidP="007A3749"/>
    <w:p w:rsidR="00D73222" w:rsidRDefault="00D73222" w:rsidP="007A3749"/>
    <w:p w:rsidR="00D73222" w:rsidRDefault="00CF23B2" w:rsidP="007A3749">
      <w:r>
        <w:rPr>
          <w:noProof/>
          <w:lang w:val="en-US" w:eastAsia="en-US"/>
        </w:rPr>
        <w:drawing>
          <wp:anchor distT="0" distB="0" distL="114300" distR="114300" simplePos="0" relativeHeight="251660288" behindDoc="1" locked="0" layoutInCell="1" allowOverlap="1" wp14:anchorId="6B8E8F37" wp14:editId="571933E1">
            <wp:simplePos x="0" y="0"/>
            <wp:positionH relativeFrom="column">
              <wp:posOffset>3418840</wp:posOffset>
            </wp:positionH>
            <wp:positionV relativeFrom="paragraph">
              <wp:posOffset>344805</wp:posOffset>
            </wp:positionV>
            <wp:extent cx="2016125" cy="1558925"/>
            <wp:effectExtent l="0" t="0" r="317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12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22" w:rsidRDefault="00CF23B2" w:rsidP="007A3749">
      <w:r>
        <w:rPr>
          <w:noProof/>
          <w:lang w:val="en-US" w:eastAsia="en-US"/>
        </w:rPr>
        <w:drawing>
          <wp:anchor distT="0" distB="0" distL="114300" distR="114300" simplePos="0" relativeHeight="251663360" behindDoc="1" locked="0" layoutInCell="1" allowOverlap="1" wp14:anchorId="624C4D2B" wp14:editId="24395219">
            <wp:simplePos x="0" y="0"/>
            <wp:positionH relativeFrom="column">
              <wp:posOffset>35560</wp:posOffset>
            </wp:positionH>
            <wp:positionV relativeFrom="paragraph">
              <wp:posOffset>137795</wp:posOffset>
            </wp:positionV>
            <wp:extent cx="2764790" cy="981710"/>
            <wp:effectExtent l="0" t="0" r="0" b="8890"/>
            <wp:wrapNone/>
            <wp:docPr id="5" name="Picture 5" descr="Modeck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cki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79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3222" w:rsidRPr="007A3749" w:rsidRDefault="00D73222" w:rsidP="007A3749"/>
    <w:p w:rsidR="00236FFC" w:rsidRPr="007A3749" w:rsidRDefault="00236FFC" w:rsidP="007A3749"/>
    <w:tbl>
      <w:tblPr>
        <w:tblW w:w="0" w:type="auto"/>
        <w:jc w:val="center"/>
        <w:tblLook w:val="01E0" w:firstRow="1" w:lastRow="1" w:firstColumn="1" w:lastColumn="1" w:noHBand="0" w:noVBand="0"/>
      </w:tblPr>
      <w:tblGrid>
        <w:gridCol w:w="4606"/>
        <w:gridCol w:w="4606"/>
      </w:tblGrid>
      <w:tr w:rsidR="00236FFC" w:rsidRPr="007A3749" w:rsidTr="006D3AE4">
        <w:trPr>
          <w:jc w:val="center"/>
        </w:trPr>
        <w:tc>
          <w:tcPr>
            <w:tcW w:w="4606" w:type="dxa"/>
          </w:tcPr>
          <w:p w:rsidR="00236FFC" w:rsidRPr="007A3749" w:rsidRDefault="00236FFC" w:rsidP="006F6E73">
            <w:pPr>
              <w:jc w:val="center"/>
            </w:pPr>
            <w:r w:rsidRPr="007A3749">
              <w:t>Marek Modecki</w:t>
            </w:r>
            <w:r w:rsidRPr="007A3749">
              <w:br/>
              <w:t xml:space="preserve">předseda představenstva </w:t>
            </w:r>
            <w:r w:rsidRPr="007A3749">
              <w:br/>
              <w:t>PEGAS NONWOVENS SA</w:t>
            </w:r>
          </w:p>
          <w:p w:rsidR="00236FFC" w:rsidRPr="007A3749" w:rsidRDefault="00236FFC" w:rsidP="007A3749"/>
        </w:tc>
        <w:tc>
          <w:tcPr>
            <w:tcW w:w="4606" w:type="dxa"/>
          </w:tcPr>
          <w:p w:rsidR="00236FFC" w:rsidRPr="007A3749" w:rsidRDefault="00236FFC" w:rsidP="006F6E73">
            <w:pPr>
              <w:jc w:val="center"/>
            </w:pPr>
            <w:r w:rsidRPr="007A3749">
              <w:t>František Řezáč</w:t>
            </w:r>
            <w:r w:rsidRPr="007A3749">
              <w:br/>
              <w:t xml:space="preserve">člen představenstva </w:t>
            </w:r>
            <w:r w:rsidRPr="007A3749">
              <w:br/>
              <w:t>PEGAS NONWOVENS SA</w:t>
            </w:r>
          </w:p>
        </w:tc>
      </w:tr>
    </w:tbl>
    <w:p w:rsidR="00236FFC" w:rsidRPr="007A3749" w:rsidRDefault="00236FFC" w:rsidP="007A3749"/>
    <w:p w:rsidR="000B06C8" w:rsidRPr="007A3749" w:rsidRDefault="00337DFB" w:rsidP="00396F0C">
      <w:pPr>
        <w:pStyle w:val="Heading1"/>
      </w:pPr>
      <w:r w:rsidRPr="007A3749">
        <w:br w:type="page"/>
      </w:r>
      <w:bookmarkStart w:id="108" w:name="_Toc269907504"/>
      <w:bookmarkStart w:id="109" w:name="_Toc458586532"/>
      <w:r w:rsidR="00156755" w:rsidRPr="007A3749">
        <w:lastRenderedPageBreak/>
        <w:t>Prohlášení</w:t>
      </w:r>
      <w:bookmarkEnd w:id="108"/>
      <w:bookmarkEnd w:id="109"/>
    </w:p>
    <w:p w:rsidR="008F42BE" w:rsidRPr="007A3749" w:rsidRDefault="008F42BE" w:rsidP="007A3749"/>
    <w:p w:rsidR="00336F2D" w:rsidRPr="007A3749" w:rsidRDefault="004C285E" w:rsidP="007A3749">
      <w:r w:rsidRPr="007A3749">
        <w:t>Marek Modecki</w:t>
      </w:r>
      <w:r w:rsidR="00336F2D" w:rsidRPr="007A3749">
        <w:t xml:space="preserve">, </w:t>
      </w:r>
      <w:r w:rsidR="00DB5BE3" w:rsidRPr="007A3749">
        <w:t>předseda</w:t>
      </w:r>
      <w:r w:rsidR="00156755" w:rsidRPr="007A3749">
        <w:t xml:space="preserve"> představenstva </w:t>
      </w:r>
      <w:r w:rsidR="00DB5BE3" w:rsidRPr="007A3749">
        <w:t>PEGAS NONWOVENS SA a</w:t>
      </w:r>
    </w:p>
    <w:p w:rsidR="00DB5BE3" w:rsidRPr="007A3749" w:rsidRDefault="00DB5BE3" w:rsidP="007A3749">
      <w:r w:rsidRPr="007A3749">
        <w:t>František Řezáč, člen představenstva PEGAS NONWOVENS SA,</w:t>
      </w:r>
    </w:p>
    <w:p w:rsidR="00336F2D" w:rsidRPr="007A3749" w:rsidRDefault="00BF256B" w:rsidP="007A3749">
      <w:r w:rsidRPr="007A3749">
        <w:t>prohlašují, že dle jejich nejlepšího vědomí podávají finanční výkazy připravené v</w:t>
      </w:r>
      <w:r w:rsidR="007C2508" w:rsidRPr="007A3749">
        <w:t> </w:t>
      </w:r>
      <w:r w:rsidRPr="007A3749">
        <w:t>souladu</w:t>
      </w:r>
      <w:r w:rsidR="007C2508" w:rsidRPr="007A3749">
        <w:t xml:space="preserve"> </w:t>
      </w:r>
      <w:r w:rsidRPr="007A3749">
        <w:t>s účetními standardy pravdivý obraz o aktivech, závazcích, finanční pozici a zisku a ztrátě</w:t>
      </w:r>
      <w:r w:rsidR="007C2508" w:rsidRPr="007A3749">
        <w:t xml:space="preserve"> </w:t>
      </w:r>
      <w:r w:rsidRPr="007A3749">
        <w:t>Společnosti a o údajích zahrnutých v konsolidaci jako celku</w:t>
      </w:r>
      <w:r w:rsidR="00004F0D" w:rsidRPr="007A3749">
        <w:t xml:space="preserve"> </w:t>
      </w:r>
      <w:r w:rsidRPr="007A3749">
        <w:t xml:space="preserve">a že </w:t>
      </w:r>
      <w:r w:rsidR="005F25E4" w:rsidRPr="007A3749">
        <w:t xml:space="preserve">mezitímní </w:t>
      </w:r>
      <w:r w:rsidRPr="007A3749">
        <w:t>zpráva představenstva o obchodní činnosti uvádí pravdivé informace o rozvoji, obchodní výkonnosti, pozici Společnosti a o údajích zahrnutých v konsolidaci jako celku a také popisuje hlavní rizikové faktory a nejistoty, kterým je Společnost vystavena.</w:t>
      </w:r>
      <w:r w:rsidRPr="007A3749" w:rsidDel="00BF256B">
        <w:t xml:space="preserve"> </w:t>
      </w:r>
    </w:p>
    <w:p w:rsidR="00336F2D" w:rsidRPr="007A3749" w:rsidRDefault="00336F2D" w:rsidP="007A3749"/>
    <w:p w:rsidR="00336F2D" w:rsidRPr="007A3749" w:rsidRDefault="00336F2D" w:rsidP="007A3749"/>
    <w:p w:rsidR="00E43EBA" w:rsidRPr="007A3749" w:rsidRDefault="00C7777E" w:rsidP="007A3749">
      <w:r w:rsidRPr="007A3749">
        <w:t>2</w:t>
      </w:r>
      <w:r w:rsidR="00D73222">
        <w:t>4. srpna 2016</w:t>
      </w:r>
    </w:p>
    <w:p w:rsidR="00D04E18" w:rsidRPr="007A3749" w:rsidRDefault="00D04E18" w:rsidP="007A3749"/>
    <w:p w:rsidR="00E67E65" w:rsidRPr="007A3749" w:rsidRDefault="00E67E65" w:rsidP="007A3749"/>
    <w:p w:rsidR="00D04E18" w:rsidRPr="007A3749" w:rsidRDefault="00D04E18" w:rsidP="007A3749"/>
    <w:p w:rsidR="00E43EBA" w:rsidRPr="007A3749" w:rsidRDefault="00E43EBA" w:rsidP="007A3749"/>
    <w:p w:rsidR="00E43EBA" w:rsidRPr="007A3749" w:rsidRDefault="00CF23B2" w:rsidP="007A3749">
      <w:r>
        <w:rPr>
          <w:noProof/>
          <w:lang w:val="en-US" w:eastAsia="en-US"/>
        </w:rPr>
        <w:drawing>
          <wp:anchor distT="0" distB="0" distL="114300" distR="114300" simplePos="0" relativeHeight="251661312" behindDoc="1" locked="0" layoutInCell="1" allowOverlap="1" wp14:anchorId="1E9E04A7" wp14:editId="2F254380">
            <wp:simplePos x="0" y="0"/>
            <wp:positionH relativeFrom="column">
              <wp:posOffset>134530</wp:posOffset>
            </wp:positionH>
            <wp:positionV relativeFrom="paragraph">
              <wp:posOffset>138339</wp:posOffset>
            </wp:positionV>
            <wp:extent cx="2764971" cy="982146"/>
            <wp:effectExtent l="0" t="0" r="0" b="8890"/>
            <wp:wrapNone/>
            <wp:docPr id="4" name="Picture 4" descr="Modeck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cki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971" cy="9821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657F1581" wp14:editId="5768EB33">
            <wp:simplePos x="0" y="0"/>
            <wp:positionH relativeFrom="column">
              <wp:posOffset>3566160</wp:posOffset>
            </wp:positionH>
            <wp:positionV relativeFrom="paragraph">
              <wp:posOffset>143510</wp:posOffset>
            </wp:positionV>
            <wp:extent cx="2016125" cy="15589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6125"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56B" w:rsidRPr="007A3749" w:rsidRDefault="00BF256B" w:rsidP="007A3749"/>
    <w:p w:rsidR="00336F2D" w:rsidRPr="007A3749" w:rsidRDefault="00336F2D" w:rsidP="007A3749"/>
    <w:tbl>
      <w:tblPr>
        <w:tblW w:w="0" w:type="auto"/>
        <w:jc w:val="center"/>
        <w:tblLook w:val="01E0" w:firstRow="1" w:lastRow="1" w:firstColumn="1" w:lastColumn="1" w:noHBand="0" w:noVBand="0"/>
      </w:tblPr>
      <w:tblGrid>
        <w:gridCol w:w="4606"/>
        <w:gridCol w:w="4606"/>
      </w:tblGrid>
      <w:tr w:rsidR="00336F2D" w:rsidRPr="007A3749" w:rsidTr="00F86F85">
        <w:trPr>
          <w:jc w:val="center"/>
        </w:trPr>
        <w:tc>
          <w:tcPr>
            <w:tcW w:w="4606" w:type="dxa"/>
          </w:tcPr>
          <w:p w:rsidR="00336F2D" w:rsidRPr="007A3749" w:rsidRDefault="004C285E" w:rsidP="006F6E73">
            <w:pPr>
              <w:jc w:val="center"/>
            </w:pPr>
            <w:r w:rsidRPr="007A3749">
              <w:t>Marek Modecki</w:t>
            </w:r>
            <w:r w:rsidR="00336F2D" w:rsidRPr="007A3749">
              <w:br/>
            </w:r>
            <w:r w:rsidR="00DB5BE3" w:rsidRPr="007A3749">
              <w:t>Předseda</w:t>
            </w:r>
            <w:r w:rsidR="00552703" w:rsidRPr="007A3749">
              <w:t xml:space="preserve"> představenstva</w:t>
            </w:r>
            <w:r w:rsidR="00336F2D" w:rsidRPr="007A3749">
              <w:t xml:space="preserve"> </w:t>
            </w:r>
            <w:r w:rsidR="001E48CA" w:rsidRPr="007A3749">
              <w:br/>
            </w:r>
            <w:r w:rsidR="00336F2D" w:rsidRPr="007A3749">
              <w:t>PEGAS NONWOVENS SA</w:t>
            </w:r>
          </w:p>
          <w:p w:rsidR="00336F2D" w:rsidRPr="007A3749" w:rsidRDefault="00336F2D" w:rsidP="007A3749"/>
        </w:tc>
        <w:tc>
          <w:tcPr>
            <w:tcW w:w="4606" w:type="dxa"/>
          </w:tcPr>
          <w:p w:rsidR="00DB5BE3" w:rsidRPr="007A3749" w:rsidRDefault="00DB5BE3" w:rsidP="006F6E73">
            <w:pPr>
              <w:jc w:val="center"/>
            </w:pPr>
            <w:r w:rsidRPr="007A3749">
              <w:t>František Řezáč</w:t>
            </w:r>
            <w:r w:rsidRPr="007A3749">
              <w:br/>
              <w:t xml:space="preserve">Člen představenstva </w:t>
            </w:r>
            <w:r w:rsidR="001E48CA" w:rsidRPr="007A3749">
              <w:br/>
            </w:r>
            <w:r w:rsidRPr="007A3749">
              <w:t>PEGAS NONWOVENS SA</w:t>
            </w:r>
          </w:p>
          <w:p w:rsidR="00336F2D" w:rsidRPr="007A3749" w:rsidRDefault="00336F2D" w:rsidP="007A3749"/>
        </w:tc>
      </w:tr>
    </w:tbl>
    <w:p w:rsidR="008F42BE" w:rsidRPr="007A3749" w:rsidRDefault="008F42BE" w:rsidP="007A3749"/>
    <w:p w:rsidR="00136A1A" w:rsidRPr="007A3749" w:rsidRDefault="00136A1A" w:rsidP="00396F0C">
      <w:pPr>
        <w:pStyle w:val="Heading1"/>
        <w:sectPr w:rsidR="00136A1A" w:rsidRPr="007A3749" w:rsidSect="00F43D1F">
          <w:type w:val="continuous"/>
          <w:pgSz w:w="11906" w:h="16838"/>
          <w:pgMar w:top="1417" w:right="1417" w:bottom="1417" w:left="1417" w:header="708" w:footer="708" w:gutter="0"/>
          <w:cols w:space="708"/>
          <w:docGrid w:linePitch="360"/>
        </w:sectPr>
      </w:pPr>
    </w:p>
    <w:p w:rsidR="007C6DCC" w:rsidRPr="007A3749" w:rsidRDefault="00552703" w:rsidP="00396F0C">
      <w:pPr>
        <w:pStyle w:val="Heading1"/>
      </w:pPr>
      <w:bookmarkStart w:id="110" w:name="_Toc269907505"/>
      <w:bookmarkStart w:id="111" w:name="_Toc458586533"/>
      <w:r w:rsidRPr="007A3749">
        <w:lastRenderedPageBreak/>
        <w:t>Kontakty</w:t>
      </w:r>
      <w:bookmarkEnd w:id="110"/>
      <w:bookmarkEnd w:id="111"/>
    </w:p>
    <w:p w:rsidR="004A6A89" w:rsidRPr="007A3749" w:rsidRDefault="004A6A89" w:rsidP="007A3749"/>
    <w:p w:rsidR="00786807" w:rsidRDefault="00786807" w:rsidP="00786807">
      <w:pPr>
        <w:pStyle w:val="Heading4"/>
      </w:pPr>
      <w:r>
        <w:t>PR/IR Officer</w:t>
      </w:r>
    </w:p>
    <w:p w:rsidR="00786807" w:rsidRDefault="00786807" w:rsidP="00786807">
      <w:pPr>
        <w:spacing w:before="0" w:beforeAutospacing="0" w:after="0" w:afterAutospacing="0"/>
      </w:pPr>
      <w:r>
        <w:t>Pegas Nonwovens</w:t>
      </w:r>
    </w:p>
    <w:p w:rsidR="00786807" w:rsidRDefault="00786807" w:rsidP="00786807">
      <w:pPr>
        <w:spacing w:before="0" w:beforeAutospacing="0" w:after="0" w:afterAutospacing="0"/>
      </w:pPr>
      <w:r>
        <w:t>Tel.: +420 515 262 408</w:t>
      </w:r>
    </w:p>
    <w:p w:rsidR="00786807" w:rsidRDefault="00786807" w:rsidP="00786807">
      <w:pPr>
        <w:spacing w:before="0" w:beforeAutospacing="0" w:after="0" w:afterAutospacing="0"/>
      </w:pPr>
      <w:r>
        <w:t>GSM: +420 727 964 218</w:t>
      </w:r>
    </w:p>
    <w:p w:rsidR="004A6A89" w:rsidRPr="007A3749" w:rsidRDefault="00786807" w:rsidP="00786807">
      <w:pPr>
        <w:spacing w:before="0" w:beforeAutospacing="0" w:after="0" w:afterAutospacing="0"/>
      </w:pPr>
      <w:r>
        <w:t>iro@pegas.cz</w:t>
      </w:r>
    </w:p>
    <w:p w:rsidR="0039712B" w:rsidRPr="007A3749" w:rsidRDefault="0039712B" w:rsidP="007A3749">
      <w:pPr>
        <w:sectPr w:rsidR="0039712B" w:rsidRPr="007A3749" w:rsidSect="00136A1A">
          <w:pgSz w:w="11906" w:h="16838"/>
          <w:pgMar w:top="1417" w:right="1417" w:bottom="1417" w:left="1417" w:header="708" w:footer="708" w:gutter="0"/>
          <w:cols w:space="708"/>
          <w:docGrid w:linePitch="360"/>
        </w:sectPr>
      </w:pPr>
    </w:p>
    <w:p w:rsidR="00153CF7" w:rsidRPr="007A3749" w:rsidRDefault="00AF4A0B" w:rsidP="00396F0C">
      <w:pPr>
        <w:pStyle w:val="Heading1"/>
      </w:pPr>
      <w:bookmarkStart w:id="112" w:name="_Toc269907506"/>
      <w:bookmarkStart w:id="113" w:name="_Toc458586534"/>
      <w:r w:rsidRPr="007A3749">
        <w:lastRenderedPageBreak/>
        <w:t>Výklad</w:t>
      </w:r>
      <w:r w:rsidR="00552703" w:rsidRPr="007A3749">
        <w:t xml:space="preserve"> pojmů a zkratek</w:t>
      </w:r>
      <w:bookmarkEnd w:id="112"/>
      <w:bookmarkEnd w:id="113"/>
    </w:p>
    <w:p w:rsidR="0051790A" w:rsidRPr="007A3749" w:rsidRDefault="0051790A" w:rsidP="007A3749"/>
    <w:p w:rsidR="00A46311" w:rsidRPr="007A3749" w:rsidRDefault="00A46311" w:rsidP="007A3749">
      <w:r w:rsidRPr="007A3749">
        <w:rPr>
          <w:b/>
        </w:rPr>
        <w:t xml:space="preserve">6th October City </w:t>
      </w:r>
      <w:r w:rsidRPr="007A3749">
        <w:t>– je satelitní město u Káhiry v Egyptě. Město má zhruba půl milionu obyvatel a je regionálním sídlem mnoha firem.</w:t>
      </w:r>
    </w:p>
    <w:p w:rsidR="00A46311" w:rsidRPr="007A3749" w:rsidRDefault="00A46311" w:rsidP="007A3749">
      <w:r w:rsidRPr="007A3749">
        <w:rPr>
          <w:b/>
        </w:rPr>
        <w:t>BCPP (PSE)</w:t>
      </w:r>
      <w:r w:rsidRPr="007A3749">
        <w:t xml:space="preserve"> – Burza cenných papírů v Praze, regulovaný trh pro obchody s cennými papíry v České Republice.</w:t>
      </w:r>
    </w:p>
    <w:p w:rsidR="00A46311" w:rsidRPr="007A3749" w:rsidRDefault="00A46311" w:rsidP="007A3749">
      <w:r w:rsidRPr="007A3749">
        <w:rPr>
          <w:b/>
        </w:rPr>
        <w:t>Bikomponentní vlákno (Bi-co)</w:t>
      </w:r>
      <w:r w:rsidRPr="007A3749">
        <w:t xml:space="preserve"> – textilní vlákno obsahující dvě nebo více základní komponenty (polymery). Typické průřezy vláken jsou například „strana/strana“, „jádro/plášť“, „ostrůvky v matrici“.</w:t>
      </w:r>
    </w:p>
    <w:p w:rsidR="00A46311" w:rsidRPr="007A3749" w:rsidRDefault="00A46311" w:rsidP="007A3749">
      <w:pPr>
        <w:rPr>
          <w:b/>
        </w:rPr>
      </w:pPr>
      <w:r w:rsidRPr="007A3749">
        <w:rPr>
          <w:b/>
        </w:rPr>
        <w:t xml:space="preserve">Bučovice – </w:t>
      </w:r>
      <w:r w:rsidRPr="007A3749">
        <w:t xml:space="preserve">město na Moravě v okrese Vyškov s přibližně 6 500 obyvateli. PEGAS zde provozuje tři výrobní linky. </w:t>
      </w:r>
    </w:p>
    <w:p w:rsidR="00A46311" w:rsidRPr="007A3749" w:rsidRDefault="00A46311" w:rsidP="007A3749">
      <w:r w:rsidRPr="007A3749">
        <w:rPr>
          <w:b/>
          <w:bCs/>
        </w:rPr>
        <w:t>Clearstream Bank</w:t>
      </w:r>
      <w:r w:rsidRPr="007A3749">
        <w:t xml:space="preserve"> - Clearstream je předním poskytovatelem služeb následujících po obchodování s cennými papíry v Evropě. Je dceřinou společností Deutsche Börse. Clearstream International vznikl v lednu 2000 spojením Cedel International a Deutsche Börse Clearing.</w:t>
      </w:r>
    </w:p>
    <w:p w:rsidR="00A46311" w:rsidRPr="007A3749" w:rsidRDefault="00A46311" w:rsidP="007A3749">
      <w:r w:rsidRPr="007A3749">
        <w:rPr>
          <w:b/>
          <w:bCs/>
        </w:rPr>
        <w:t>EBIT</w:t>
      </w:r>
      <w:r w:rsidRPr="007A3749">
        <w:rPr>
          <w:bCs/>
        </w:rPr>
        <w:t xml:space="preserve"> – zisk </w:t>
      </w:r>
      <w:r w:rsidRPr="007A3749">
        <w:t>zahrnující tržby za prodané výrobky, spotřebu materiálu a ostatní spotřebu, osobní náklady, ostatní provozní výnosy/náklady</w:t>
      </w:r>
      <w:r w:rsidR="00BF256B" w:rsidRPr="007A3749">
        <w:t xml:space="preserve"> a</w:t>
      </w:r>
      <w:r w:rsidRPr="007A3749">
        <w:t xml:space="preserve"> odpisy (před odečtením úroků a daní).</w:t>
      </w:r>
    </w:p>
    <w:p w:rsidR="00A46311" w:rsidRPr="007A3749" w:rsidRDefault="00A46311" w:rsidP="007A3749">
      <w:pPr>
        <w:rPr>
          <w:bCs/>
        </w:rPr>
      </w:pPr>
      <w:r w:rsidRPr="007A3749">
        <w:rPr>
          <w:b/>
          <w:bCs/>
        </w:rPr>
        <w:t>EBITDA</w:t>
      </w:r>
      <w:r w:rsidRPr="007A3749">
        <w:t xml:space="preserve"> </w:t>
      </w:r>
      <w:r w:rsidRPr="007A3749">
        <w:rPr>
          <w:bCs/>
        </w:rPr>
        <w:t xml:space="preserve">- zisk </w:t>
      </w:r>
      <w:r w:rsidRPr="007A3749">
        <w:t>zahrnující tržby za prodané výrobky, spotřebu materiálu a ostatní spotřebu, osobní náklady a ostatní provozní výnosy/náklady (</w:t>
      </w:r>
      <w:r w:rsidRPr="007A3749">
        <w:rPr>
          <w:bCs/>
        </w:rPr>
        <w:t>před odečtením úroků, daní</w:t>
      </w:r>
      <w:r w:rsidR="00BF256B" w:rsidRPr="007A3749">
        <w:rPr>
          <w:bCs/>
        </w:rPr>
        <w:t xml:space="preserve"> a</w:t>
      </w:r>
      <w:r w:rsidRPr="007A3749">
        <w:rPr>
          <w:bCs/>
        </w:rPr>
        <w:t xml:space="preserve"> odpisů).</w:t>
      </w:r>
    </w:p>
    <w:p w:rsidR="00A46311" w:rsidRPr="007A3749" w:rsidRDefault="00A46311" w:rsidP="007A3749">
      <w:pPr>
        <w:rPr>
          <w:bCs/>
        </w:rPr>
      </w:pPr>
      <w:r w:rsidRPr="007A3749">
        <w:rPr>
          <w:b/>
        </w:rPr>
        <w:t>EDANA</w:t>
      </w:r>
      <w:r w:rsidRPr="007A3749">
        <w:t xml:space="preserve"> – European Disposables and Nonwovens Association je evropská obchodní asociace výrobců netkaných textilií a výrobců hygienických výrobků, jejímiž členy je přibližně </w:t>
      </w:r>
      <w:r w:rsidRPr="007A3749">
        <w:rPr>
          <w:bCs/>
        </w:rPr>
        <w:t xml:space="preserve">200 společností z 28 zemí. </w:t>
      </w:r>
    </w:p>
    <w:p w:rsidR="00F85969" w:rsidRPr="007A3749" w:rsidRDefault="00F85969" w:rsidP="007A3749">
      <w:r w:rsidRPr="007A3749">
        <w:rPr>
          <w:b/>
        </w:rPr>
        <w:t xml:space="preserve">EGAP – </w:t>
      </w:r>
      <w:r w:rsidRPr="007A3749">
        <w:t>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rsidR="00A46311" w:rsidRPr="007A3749" w:rsidRDefault="00A46311" w:rsidP="007A3749">
      <w:r w:rsidRPr="007A3749">
        <w:rPr>
          <w:b/>
          <w:bCs/>
        </w:rPr>
        <w:t>IFRS</w:t>
      </w:r>
      <w:r w:rsidRPr="007A3749">
        <w:rPr>
          <w:bCs/>
        </w:rPr>
        <w:t xml:space="preserve"> </w:t>
      </w:r>
      <w:r w:rsidRPr="007A3749">
        <w:t>– Mezinárodní standardy účetního výkaznictví.</w:t>
      </w:r>
    </w:p>
    <w:p w:rsidR="00A46311" w:rsidRPr="007A3749" w:rsidRDefault="00A46311" w:rsidP="007A3749">
      <w:r w:rsidRPr="007A3749">
        <w:rPr>
          <w:b/>
          <w:bCs/>
        </w:rPr>
        <w:t>IPO</w:t>
      </w:r>
      <w:r w:rsidRPr="007A3749">
        <w:t xml:space="preserve"> – primární emise akcií.</w:t>
      </w:r>
    </w:p>
    <w:p w:rsidR="00A46311" w:rsidRPr="007A3749" w:rsidRDefault="00A46311" w:rsidP="007A3749">
      <w:r w:rsidRPr="007A3749">
        <w:rPr>
          <w:b/>
          <w:bCs/>
        </w:rPr>
        <w:t>IRS</w:t>
      </w:r>
      <w:r w:rsidRPr="007A3749">
        <w:t xml:space="preserve"> – úrokový swap, finanční instrument sloužící k zajištění úrokového rizika.</w:t>
      </w:r>
    </w:p>
    <w:p w:rsidR="00A46311" w:rsidRPr="007A3749" w:rsidRDefault="00A46311" w:rsidP="007A3749">
      <w:pPr>
        <w:rPr>
          <w:color w:val="000000"/>
        </w:rPr>
      </w:pPr>
      <w:r w:rsidRPr="007A3749">
        <w:rPr>
          <w:b/>
          <w:bCs/>
          <w:color w:val="000000"/>
        </w:rPr>
        <w:lastRenderedPageBreak/>
        <w:t>John R. Starr</w:t>
      </w:r>
      <w:r w:rsidRPr="007A3749">
        <w:t xml:space="preserve"> – poradenská firma specializující se na oblast hygienických absorpčních produktů, netkané textilie a základní suroviny. </w:t>
      </w:r>
    </w:p>
    <w:p w:rsidR="00A46311" w:rsidRPr="007A3749" w:rsidRDefault="00A46311" w:rsidP="007A3749">
      <w:r w:rsidRPr="007A3749">
        <w:rPr>
          <w:b/>
          <w:bCs/>
        </w:rPr>
        <w:t>Marže EBIT</w:t>
      </w:r>
      <w:r w:rsidRPr="007A3749">
        <w:rPr>
          <w:bCs/>
        </w:rPr>
        <w:t xml:space="preserve"> </w:t>
      </w:r>
      <w:r w:rsidRPr="007A3749">
        <w:t>– procentní marže počítána jako EBIT/celkové tržby.</w:t>
      </w:r>
    </w:p>
    <w:p w:rsidR="00A46311" w:rsidRPr="007A3749" w:rsidRDefault="00A46311" w:rsidP="007A3749">
      <w:r w:rsidRPr="007A3749">
        <w:rPr>
          <w:b/>
          <w:bCs/>
        </w:rPr>
        <w:t>Marže EBITDA</w:t>
      </w:r>
      <w:r w:rsidRPr="007A3749">
        <w:t xml:space="preserve"> – procentní marže počítána jako EBITDA/celkové tržby.</w:t>
      </w:r>
    </w:p>
    <w:p w:rsidR="00A46311" w:rsidRPr="007A3749" w:rsidRDefault="00A46311" w:rsidP="007A3749">
      <w:r w:rsidRPr="007A3749">
        <w:rPr>
          <w:b/>
        </w:rPr>
        <w:t>Marže čistého zisku</w:t>
      </w:r>
      <w:r w:rsidRPr="007A3749">
        <w:t xml:space="preserve"> – procentní marže počítána jako čistý zisk po zdanění a před rozdělením akcionářů/celkové tržby. </w:t>
      </w:r>
    </w:p>
    <w:p w:rsidR="00A46311" w:rsidRPr="007A3749" w:rsidRDefault="00A46311" w:rsidP="007A3749">
      <w:r w:rsidRPr="007A3749">
        <w:rPr>
          <w:b/>
        </w:rPr>
        <w:t>Meltblownová textilie</w:t>
      </w:r>
      <w:r w:rsidRPr="007A3749">
        <w:t xml:space="preserve"> – textilie vyrobená technologií Meltblown.</w:t>
      </w:r>
    </w:p>
    <w:p w:rsidR="00A46311" w:rsidRPr="007A3749" w:rsidRDefault="00A46311" w:rsidP="007A3749">
      <w:r w:rsidRPr="007A3749">
        <w:rPr>
          <w:b/>
        </w:rPr>
        <w:t>Netkaná textilie</w:t>
      </w:r>
      <w:r w:rsidRPr="007A3749">
        <w:t xml:space="preserve"> – plošný textilní útvar vyrobený z přírodních či syntetických vláken pojený mechanicky, chemicky nebo tepelně (nejedná se při tom o výrobu papíru).</w:t>
      </w:r>
    </w:p>
    <w:p w:rsidR="00A46311" w:rsidRPr="007A3749" w:rsidRDefault="00A46311" w:rsidP="007A3749">
      <w:r w:rsidRPr="007A3749">
        <w:rPr>
          <w:b/>
        </w:rPr>
        <w:t xml:space="preserve">Plánovaná EBITDA </w:t>
      </w:r>
      <w:r w:rsidRPr="007A3749">
        <w:t>–</w:t>
      </w:r>
      <w:r w:rsidRPr="007A3749">
        <w:rPr>
          <w:b/>
        </w:rPr>
        <w:t xml:space="preserve"> </w:t>
      </w:r>
      <w:r w:rsidRPr="007A3749">
        <w:t>finanční ukazatel definovaný jako výnosy minus náklady na prodané zboží a ostatní prodejní a administrativní náklady použitá v obchodním plánu Společnosti jako benchmarková hodnota pro ohodnocení výkonnosti v manažerském bonusovém plánu.</w:t>
      </w:r>
      <w:r w:rsidRPr="007A3749">
        <w:rPr>
          <w:b/>
        </w:rPr>
        <w:t xml:space="preserve"> </w:t>
      </w:r>
    </w:p>
    <w:p w:rsidR="00A46311" w:rsidRPr="007A3749" w:rsidRDefault="00A46311" w:rsidP="007A3749">
      <w:r w:rsidRPr="007A3749">
        <w:rPr>
          <w:b/>
        </w:rPr>
        <w:t xml:space="preserve">Polymer </w:t>
      </w:r>
      <w:r w:rsidRPr="007A3749">
        <w:t>– látka složená z molekul (monomerů) pojených kovalentní vazbou do velice dlouhých řetězců.</w:t>
      </w:r>
    </w:p>
    <w:p w:rsidR="00A46311" w:rsidRPr="007A3749" w:rsidRDefault="00A46311" w:rsidP="007A3749">
      <w:r w:rsidRPr="007A3749">
        <w:rPr>
          <w:b/>
        </w:rPr>
        <w:t>Polypropylen/polyetylen</w:t>
      </w:r>
      <w:r w:rsidRPr="007A3749">
        <w:t xml:space="preserve"> – termoplastický polymer skládající se z dlouhých řetězců monomerů (propylen, etylen). Přirozenou vlastností je vodoodpudivost, odolnost vůči chemickým rozpouštědlům, alkáliím a kyselinám.</w:t>
      </w:r>
    </w:p>
    <w:p w:rsidR="00A46311" w:rsidRPr="007A3749" w:rsidRDefault="00A46311" w:rsidP="007A3749">
      <w:r w:rsidRPr="007A3749">
        <w:rPr>
          <w:b/>
          <w:bCs/>
        </w:rPr>
        <w:t>Přímětice</w:t>
      </w:r>
      <w:r w:rsidRPr="007A3749">
        <w:t xml:space="preserve"> – </w:t>
      </w:r>
      <w:r w:rsidR="004F0AE6" w:rsidRPr="007A3749">
        <w:t>d</w:t>
      </w:r>
      <w:r w:rsidRPr="007A3749">
        <w:t>říve samosprávn</w:t>
      </w:r>
      <w:r w:rsidR="00502DC2" w:rsidRPr="007A3749">
        <w:t>á</w:t>
      </w:r>
      <w:r w:rsidRPr="007A3749">
        <w:t xml:space="preserve"> jednotka, nyní součást předměstí Znojma. PEGAS zde provozuje </w:t>
      </w:r>
      <w:r w:rsidR="007E0668" w:rsidRPr="007A3749">
        <w:t xml:space="preserve">šest </w:t>
      </w:r>
      <w:r w:rsidRPr="007A3749">
        <w:t>výrobních linek.</w:t>
      </w:r>
    </w:p>
    <w:p w:rsidR="00A46311" w:rsidRPr="007A3749" w:rsidRDefault="00A46311" w:rsidP="007A3749">
      <w:r w:rsidRPr="007A3749">
        <w:rPr>
          <w:b/>
          <w:bCs/>
        </w:rPr>
        <w:t>PX</w:t>
      </w:r>
      <w:r w:rsidRPr="007A3749">
        <w:rPr>
          <w:bCs/>
        </w:rPr>
        <w:t xml:space="preserve"> – </w:t>
      </w:r>
      <w:r w:rsidRPr="007A3749">
        <w:t>oficiální index významných emisí (blue chips) kótovaných na Burze cenných papírů v Praze.</w:t>
      </w:r>
    </w:p>
    <w:p w:rsidR="00A46311" w:rsidRPr="007A3749" w:rsidRDefault="00A46311" w:rsidP="007A3749">
      <w:r w:rsidRPr="007A3749">
        <w:rPr>
          <w:b/>
        </w:rPr>
        <w:t>Reicofil</w:t>
      </w:r>
      <w:r w:rsidRPr="007A3749">
        <w:t xml:space="preserve"> – přední výrobce zařízení na výrobu netkaných textilií.</w:t>
      </w:r>
    </w:p>
    <w:p w:rsidR="00A46311" w:rsidRPr="007A3749" w:rsidRDefault="00A46311" w:rsidP="007A3749">
      <w:r w:rsidRPr="007A3749">
        <w:rPr>
          <w:b/>
        </w:rPr>
        <w:t>Regranulace</w:t>
      </w:r>
      <w:r w:rsidRPr="007A3749">
        <w:t xml:space="preserve"> – metoda recyklace zbytkových textilií do formy granulí, které mohou být vráceny do výrobního procesu.</w:t>
      </w:r>
    </w:p>
    <w:p w:rsidR="00A46311" w:rsidRPr="007A3749" w:rsidRDefault="00A46311" w:rsidP="007A3749">
      <w:r w:rsidRPr="007A3749">
        <w:rPr>
          <w:b/>
          <w:bCs/>
        </w:rPr>
        <w:t>SAP</w:t>
      </w:r>
      <w:r w:rsidRPr="007A3749">
        <w:t xml:space="preserve"> – informační systém sloužící pro řízení podniku.</w:t>
      </w:r>
    </w:p>
    <w:p w:rsidR="00A46311" w:rsidRPr="007A3749" w:rsidRDefault="00A46311" w:rsidP="007A3749">
      <w:r w:rsidRPr="007A3749">
        <w:rPr>
          <w:b/>
        </w:rPr>
        <w:t>Spunbondová textilie</w:t>
      </w:r>
      <w:r w:rsidRPr="007A3749">
        <w:t xml:space="preserve"> – textilie vyrobená technologií Spunbond/Spunmelt.</w:t>
      </w:r>
    </w:p>
    <w:p w:rsidR="00A46311" w:rsidRPr="007A3749" w:rsidRDefault="00A46311" w:rsidP="007A3749">
      <w:r w:rsidRPr="007A3749">
        <w:rPr>
          <w:b/>
        </w:rPr>
        <w:t>Spunmelt/technologie Spunmelt</w:t>
      </w:r>
      <w:r w:rsidRPr="007A3749">
        <w:t xml:space="preserve"> – technologie výroby netkané textilie. Tavenina polymeru je vytlačována do dloužícího kanálu, dloužena chladným vzduchem do požadovaného průměru vláken a ukládána na pás.</w:t>
      </w:r>
    </w:p>
    <w:p w:rsidR="00A46311" w:rsidRPr="007A3749" w:rsidRDefault="00A46311" w:rsidP="007A3749">
      <w:r w:rsidRPr="007A3749">
        <w:rPr>
          <w:b/>
        </w:rPr>
        <w:lastRenderedPageBreak/>
        <w:t>Technologie Meltblown</w:t>
      </w:r>
      <w:r w:rsidRPr="007A3749">
        <w:t xml:space="preserve"> – technologie výroby netkané textilie, kdy polymer je vytlačován z kapilár, dloužen horkým vzduchem na velmi jemná vlákna (1-10 mikrometrů) a ukládán na pás.</w:t>
      </w:r>
    </w:p>
    <w:p w:rsidR="0023384D" w:rsidRPr="007A3749" w:rsidRDefault="0023384D" w:rsidP="007A3749">
      <w:r w:rsidRPr="007A3749">
        <w:rPr>
          <w:b/>
        </w:rPr>
        <w:t xml:space="preserve">Warranty – </w:t>
      </w:r>
      <w:r w:rsidRPr="007A3749">
        <w:t>cenné papíry, které představují právo koupit nebo prodat předem dohodnuté množství podkladového aktiva za dopředu určenou realizační cenu v pevně stanoveném termínu.</w:t>
      </w:r>
    </w:p>
    <w:p w:rsidR="0051790A" w:rsidRPr="007A3749" w:rsidRDefault="00A46311" w:rsidP="007A3749">
      <w:pPr>
        <w:sectPr w:rsidR="0051790A" w:rsidRPr="007A3749">
          <w:pgSz w:w="11906" w:h="16838"/>
          <w:pgMar w:top="1417" w:right="1417" w:bottom="1417" w:left="1417" w:header="720" w:footer="720" w:gutter="0"/>
          <w:cols w:space="720"/>
          <w:docGrid w:linePitch="360"/>
        </w:sectPr>
      </w:pPr>
      <w:r w:rsidRPr="007A3749">
        <w:rPr>
          <w:b/>
          <w:bCs/>
        </w:rPr>
        <w:t>WSE</w:t>
      </w:r>
      <w:r w:rsidRPr="007A3749">
        <w:t xml:space="preserve"> – Burza cenných papírů ve Varšavě, regulovaný trh pro obchody s cennými papíry v Polsku.</w:t>
      </w:r>
    </w:p>
    <w:p w:rsidR="009B0EE0" w:rsidRDefault="009B0EE0" w:rsidP="00396F0C">
      <w:pPr>
        <w:pStyle w:val="Heading1"/>
      </w:pPr>
      <w:bookmarkStart w:id="114" w:name="_Toc269907507"/>
      <w:bookmarkStart w:id="115" w:name="_Toc458586535"/>
      <w:bookmarkStart w:id="116" w:name="_Toc165188467"/>
      <w:r w:rsidRPr="007A3749">
        <w:lastRenderedPageBreak/>
        <w:t>O</w:t>
      </w:r>
      <w:r w:rsidR="00AA27DA" w:rsidRPr="007A3749">
        <w:t>statní informace</w:t>
      </w:r>
      <w:bookmarkEnd w:id="114"/>
      <w:bookmarkEnd w:id="115"/>
    </w:p>
    <w:p w:rsidR="00786807" w:rsidRPr="00786807" w:rsidRDefault="00786807" w:rsidP="00786807"/>
    <w:p w:rsidR="00786807" w:rsidRDefault="00786807" w:rsidP="006F6E73">
      <w:pPr>
        <w:pStyle w:val="Heading4"/>
        <w:sectPr w:rsidR="00786807" w:rsidSect="00E4318F">
          <w:pgSz w:w="11906" w:h="16838"/>
          <w:pgMar w:top="1417" w:right="1417" w:bottom="1417" w:left="1417" w:header="708" w:footer="708" w:gutter="0"/>
          <w:cols w:space="708"/>
          <w:docGrid w:linePitch="360"/>
        </w:sectPr>
      </w:pPr>
    </w:p>
    <w:p w:rsidR="00184203" w:rsidRDefault="00AA27DA" w:rsidP="006F6E73">
      <w:pPr>
        <w:pStyle w:val="Heading4"/>
      </w:pPr>
      <w:r w:rsidRPr="007A3749">
        <w:lastRenderedPageBreak/>
        <w:t>Základní údaje o společnosti</w:t>
      </w:r>
      <w:bookmarkEnd w:id="116"/>
    </w:p>
    <w:p w:rsidR="00214FF1" w:rsidRPr="00214FF1" w:rsidRDefault="00214FF1" w:rsidP="00214FF1">
      <w:pPr>
        <w:spacing w:before="0" w:beforeAutospacing="0" w:after="0" w:afterAutospacing="0"/>
        <w:rPr>
          <w:b/>
        </w:rPr>
      </w:pPr>
      <w:r>
        <w:rPr>
          <w:b/>
        </w:rPr>
        <w:t>Obchodní firma</w:t>
      </w:r>
    </w:p>
    <w:p w:rsidR="00214FF1" w:rsidRDefault="00214FF1" w:rsidP="00214FF1">
      <w:pPr>
        <w:spacing w:before="0" w:beforeAutospacing="0" w:after="0" w:afterAutospacing="0"/>
      </w:pPr>
      <w:r>
        <w:t>PEGAS NONWOVENS SA</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Sídlo</w:t>
      </w:r>
    </w:p>
    <w:p w:rsidR="00214FF1" w:rsidRDefault="00214FF1" w:rsidP="00214FF1">
      <w:pPr>
        <w:spacing w:before="0" w:beforeAutospacing="0" w:after="0" w:afterAutospacing="0"/>
      </w:pPr>
      <w:r>
        <w:t>68−70, boulevard de la Pétrusse</w:t>
      </w:r>
    </w:p>
    <w:p w:rsidR="00214FF1" w:rsidRDefault="00214FF1" w:rsidP="00214FF1">
      <w:pPr>
        <w:spacing w:before="0" w:beforeAutospacing="0" w:after="0" w:afterAutospacing="0"/>
      </w:pPr>
      <w:r>
        <w:t>L-2320 Luxemburg</w:t>
      </w:r>
    </w:p>
    <w:p w:rsidR="00214FF1" w:rsidRDefault="00214FF1" w:rsidP="00214FF1">
      <w:pPr>
        <w:spacing w:before="0" w:beforeAutospacing="0" w:after="0" w:afterAutospacing="0"/>
      </w:pPr>
      <w:r>
        <w:t>Lucembursko</w:t>
      </w:r>
    </w:p>
    <w:p w:rsidR="00214FF1" w:rsidRDefault="00214FF1" w:rsidP="00214FF1">
      <w:pPr>
        <w:spacing w:before="0" w:beforeAutospacing="0" w:after="0" w:afterAutospacing="0"/>
      </w:pPr>
      <w:r>
        <w:t>Tel: (+352) 26 49 65 27</w:t>
      </w:r>
    </w:p>
    <w:p w:rsidR="00214FF1" w:rsidRDefault="00214FF1" w:rsidP="00214FF1">
      <w:pPr>
        <w:spacing w:before="0" w:beforeAutospacing="0" w:after="0" w:afterAutospacing="0"/>
      </w:pPr>
      <w:r>
        <w:t>Fax: (+352) 26 49 65 64</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sidRPr="00214FF1">
        <w:rPr>
          <w:b/>
        </w:rPr>
        <w:t>Rejstřík a r</w:t>
      </w:r>
      <w:r>
        <w:rPr>
          <w:b/>
        </w:rPr>
        <w:t>egistrační číslo</w:t>
      </w:r>
    </w:p>
    <w:p w:rsidR="00214FF1" w:rsidRDefault="00214FF1" w:rsidP="00214FF1">
      <w:pPr>
        <w:spacing w:before="0" w:beforeAutospacing="0" w:after="0" w:afterAutospacing="0"/>
      </w:pPr>
      <w:r>
        <w:t>Společnost je zapsána v rejstříku obchodu a společností v Lucembursku pod číslem B 112.044</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Vznik</w:t>
      </w:r>
    </w:p>
    <w:p w:rsidR="00214FF1" w:rsidRDefault="00214FF1" w:rsidP="00214FF1">
      <w:pPr>
        <w:spacing w:before="0" w:beforeAutospacing="0" w:after="0" w:afterAutospacing="0"/>
      </w:pPr>
      <w:r>
        <w:t>18. listopadu 2005, pod původním jménem Pamplona PE Holdco 2 S.A.</w:t>
      </w:r>
    </w:p>
    <w:p w:rsidR="00214FF1" w:rsidRDefault="00214FF1" w:rsidP="00214FF1">
      <w:pPr>
        <w:spacing w:before="0" w:beforeAutospacing="0" w:after="0" w:afterAutospacing="0"/>
      </w:pPr>
    </w:p>
    <w:p w:rsidR="00214FF1" w:rsidRPr="00214FF1" w:rsidRDefault="00214FF1" w:rsidP="00214FF1">
      <w:pPr>
        <w:spacing w:before="0" w:beforeAutospacing="0" w:after="0" w:afterAutospacing="0"/>
        <w:rPr>
          <w:b/>
        </w:rPr>
      </w:pPr>
      <w:r>
        <w:rPr>
          <w:b/>
        </w:rPr>
        <w:t>Jurisdikce</w:t>
      </w:r>
    </w:p>
    <w:p w:rsidR="00214FF1" w:rsidRPr="00214FF1" w:rsidRDefault="00214FF1" w:rsidP="00214FF1">
      <w:pPr>
        <w:spacing w:before="0" w:beforeAutospacing="0" w:after="0" w:afterAutospacing="0"/>
      </w:pPr>
      <w:r>
        <w:t>Lucembursko</w:t>
      </w:r>
    </w:p>
    <w:p w:rsidR="001B2469" w:rsidRPr="007A3749" w:rsidRDefault="001A4DE1" w:rsidP="007A3749">
      <w:pPr>
        <w:pStyle w:val="NormalWeb"/>
      </w:pPr>
      <w:r w:rsidRPr="007A3749">
        <w:t>Holdingová společnost Skupiny PEGAS</w:t>
      </w:r>
      <w:r w:rsidR="00B81CE7" w:rsidRPr="007A3749">
        <w:t xml:space="preserve"> </w:t>
      </w:r>
      <w:r w:rsidRPr="007A3749">
        <w:t xml:space="preserve">NONWOVENS SA byla založena v Lucembursku jako </w:t>
      </w:r>
      <w:r w:rsidR="0023384D" w:rsidRPr="007A3749">
        <w:t xml:space="preserve">akciová </w:t>
      </w:r>
      <w:r w:rsidRPr="007A3749">
        <w:t xml:space="preserve">společnost </w:t>
      </w:r>
      <w:r w:rsidR="001B2469" w:rsidRPr="007A3749">
        <w:t xml:space="preserve">(société anonyme) </w:t>
      </w:r>
      <w:r w:rsidRPr="007A3749">
        <w:t xml:space="preserve">na dobu neurčitou 18. listopadu 2005 jako </w:t>
      </w:r>
      <w:r w:rsidR="00B81CE7" w:rsidRPr="007A3749">
        <w:t xml:space="preserve">Pamplona PE Holdco </w:t>
      </w:r>
      <w:r w:rsidR="001B2469" w:rsidRPr="007A3749">
        <w:t xml:space="preserve">2 S.A. </w:t>
      </w:r>
      <w:r w:rsidRPr="007A3749">
        <w:t xml:space="preserve">a je zapsána v rejstříku obchodu a společností v Lucembursku pod číslem </w:t>
      </w:r>
      <w:r w:rsidR="001B2469" w:rsidRPr="007A3749">
        <w:t xml:space="preserve">B 112.044. </w:t>
      </w:r>
      <w:r w:rsidRPr="007A3749">
        <w:t xml:space="preserve">Stanovy Společnosti byly uveřejněny v </w:t>
      </w:r>
      <w:r w:rsidR="001B2469" w:rsidRPr="007A3749">
        <w:t xml:space="preserve">Mémorial, Recueil des Sociétés et Associations </w:t>
      </w:r>
      <w:r w:rsidRPr="007A3749">
        <w:t>pod číslem</w:t>
      </w:r>
      <w:r w:rsidR="001B2469" w:rsidRPr="007A3749">
        <w:t xml:space="preserve"> C 440 </w:t>
      </w:r>
      <w:r w:rsidRPr="007A3749">
        <w:t xml:space="preserve">1. března 2006. Sídlo Společnosti je 68-70, </w:t>
      </w:r>
      <w:r w:rsidR="001B2469" w:rsidRPr="007A3749">
        <w:t>boulevard de la Pétrusse</w:t>
      </w:r>
      <w:r w:rsidRPr="007A3749">
        <w:t xml:space="preserve">, L-2320 </w:t>
      </w:r>
      <w:r w:rsidR="00EE3094" w:rsidRPr="007A3749">
        <w:t>Luc</w:t>
      </w:r>
      <w:r w:rsidR="00A60081" w:rsidRPr="007A3749">
        <w:t>emburk</w:t>
      </w:r>
      <w:r w:rsidRPr="007A3749">
        <w:t>, Luc</w:t>
      </w:r>
      <w:r w:rsidR="001B2469" w:rsidRPr="007A3749">
        <w:t>embur</w:t>
      </w:r>
      <w:r w:rsidRPr="007A3749">
        <w:t>sko</w:t>
      </w:r>
      <w:r w:rsidR="001B2469" w:rsidRPr="007A3749">
        <w:t>.</w:t>
      </w:r>
      <w:r w:rsidRPr="007A3749">
        <w:t xml:space="preserve"> Sídlo a místo podnikání hlavní provozní entity </w:t>
      </w:r>
      <w:r w:rsidR="00353029" w:rsidRPr="007A3749">
        <w:t>PEGAS NON</w:t>
      </w:r>
      <w:r w:rsidRPr="007A3749">
        <w:t>WOVEN</w:t>
      </w:r>
      <w:r w:rsidR="001B2469" w:rsidRPr="007A3749">
        <w:t xml:space="preserve">S s.r.o. </w:t>
      </w:r>
      <w:r w:rsidRPr="007A3749">
        <w:t>je</w:t>
      </w:r>
      <w:r w:rsidR="001B2469" w:rsidRPr="007A3749">
        <w:t xml:space="preserve"> Přímětická</w:t>
      </w:r>
      <w:r w:rsidR="00531A02" w:rsidRPr="007A3749">
        <w:t xml:space="preserve"> </w:t>
      </w:r>
      <w:r w:rsidRPr="007A3749">
        <w:t>3623/</w:t>
      </w:r>
      <w:r w:rsidR="00531A02" w:rsidRPr="007A3749">
        <w:t xml:space="preserve">86, </w:t>
      </w:r>
      <w:r w:rsidR="001B2469" w:rsidRPr="007A3749">
        <w:t xml:space="preserve">669 04 Znojmo, </w:t>
      </w:r>
      <w:r w:rsidRPr="007A3749">
        <w:t>Česká republika</w:t>
      </w:r>
      <w:r w:rsidR="001B2469" w:rsidRPr="007A3749">
        <w:t>.</w:t>
      </w:r>
    </w:p>
    <w:p w:rsidR="001B2469" w:rsidRPr="007A3749" w:rsidRDefault="00786807" w:rsidP="006F6E73">
      <w:pPr>
        <w:pStyle w:val="Heading4"/>
      </w:pPr>
      <w:r>
        <w:br w:type="column"/>
      </w:r>
      <w:r w:rsidR="001A4DE1" w:rsidRPr="007A3749">
        <w:lastRenderedPageBreak/>
        <w:t>Předmět podnikání (článek 3 Stanov)</w:t>
      </w:r>
      <w:r w:rsidR="001B2469" w:rsidRPr="007A3749">
        <w:t>:</w:t>
      </w:r>
    </w:p>
    <w:p w:rsidR="00386745" w:rsidRPr="00786807" w:rsidRDefault="00386745" w:rsidP="007A3749">
      <w:pPr>
        <w:rPr>
          <w:b/>
        </w:rPr>
      </w:pPr>
      <w:r w:rsidRPr="00786807">
        <w:rPr>
          <w:b/>
        </w:rPr>
        <w:t>Předmětem Společnosti je:</w:t>
      </w:r>
    </w:p>
    <w:p w:rsidR="00386745" w:rsidRPr="007A3749" w:rsidRDefault="00386745" w:rsidP="00786807">
      <w:pPr>
        <w:spacing w:before="0" w:beforeAutospacing="0" w:after="120" w:afterAutospacing="0"/>
      </w:pPr>
      <w:r w:rsidRPr="007A3749">
        <w:t>a) nabývání podílů a majetkových účastí v jakékoliv formě v obchodních, průmyslových,</w:t>
      </w:r>
      <w:r w:rsidR="000C1BD0" w:rsidRPr="007A3749">
        <w:t xml:space="preserve"> </w:t>
      </w:r>
      <w:r w:rsidRPr="007A3749">
        <w:t>finančních a jiných entitách se sídlem v Lucembursku nebo v zahraničí;</w:t>
      </w:r>
    </w:p>
    <w:p w:rsidR="00386745" w:rsidRPr="007A3749" w:rsidRDefault="00386745" w:rsidP="00786807">
      <w:pPr>
        <w:spacing w:before="0" w:beforeAutospacing="0" w:after="120" w:afterAutospacing="0"/>
      </w:pPr>
      <w:r w:rsidRPr="007A3749">
        <w:t>b) nabývání cenných papírů a práv prostřednictvím podílů a účastí, upisování nákupu</w:t>
      </w:r>
      <w:r w:rsidR="000C1BD0" w:rsidRPr="007A3749">
        <w:t xml:space="preserve"> </w:t>
      </w:r>
      <w:r w:rsidRPr="007A3749">
        <w:t>opcí, vyjednávání a zejména získávání patentů, licencí a ostatních majetků, práv a</w:t>
      </w:r>
      <w:r w:rsidR="000C1BD0" w:rsidRPr="007A3749">
        <w:t xml:space="preserve"> </w:t>
      </w:r>
      <w:r w:rsidRPr="007A3749">
        <w:t>majetku dle vlastní úvahy, vlastnictví, řízení, rozvoj, prodej či dispozice výše uvedeného</w:t>
      </w:r>
      <w:r w:rsidR="000C1BD0" w:rsidRPr="007A3749">
        <w:t xml:space="preserve"> </w:t>
      </w:r>
      <w:r w:rsidRPr="007A3749">
        <w:t>v celku či po částech za úplatu dle úvahy Společnosti, zejména za cenné papíry nebo</w:t>
      </w:r>
      <w:r w:rsidR="00F06832" w:rsidRPr="007A3749">
        <w:t xml:space="preserve"> podíly;</w:t>
      </w:r>
    </w:p>
    <w:p w:rsidR="00386745" w:rsidRPr="007A3749" w:rsidRDefault="00386745" w:rsidP="00786807">
      <w:pPr>
        <w:spacing w:before="0" w:beforeAutospacing="0" w:after="120" w:afterAutospacing="0"/>
      </w:pPr>
      <w:r w:rsidRPr="007A3749">
        <w:t>c) uzavření, podpora nebo účast na finančních, obchodních a jiných transakcích a podpora</w:t>
      </w:r>
      <w:r w:rsidR="000C1BD0" w:rsidRPr="007A3749">
        <w:t xml:space="preserve"> </w:t>
      </w:r>
      <w:r w:rsidRPr="007A3749">
        <w:t>holdingové společnosti, dceřiné společnosti, spřízněné osob</w:t>
      </w:r>
      <w:r w:rsidR="00832D93" w:rsidRPr="007A3749">
        <w:t>y</w:t>
      </w:r>
      <w:r w:rsidRPr="007A3749">
        <w:t xml:space="preserve"> nebo jakékoliv jiné</w:t>
      </w:r>
      <w:r w:rsidR="000C1BD0" w:rsidRPr="007A3749">
        <w:t xml:space="preserve"> </w:t>
      </w:r>
      <w:r w:rsidRPr="007A3749">
        <w:t>spojené se Společností nebo se zmíněnou holdingovou společností, dceřinou společností</w:t>
      </w:r>
      <w:r w:rsidR="000C1BD0" w:rsidRPr="007A3749">
        <w:t xml:space="preserve"> </w:t>
      </w:r>
      <w:r w:rsidRPr="007A3749">
        <w:t>nebo spřízněnou osobou, ve které má Společnost přímý nebo nepřímý finanční podíl,</w:t>
      </w:r>
      <w:r w:rsidR="000C1BD0" w:rsidRPr="007A3749">
        <w:t xml:space="preserve"> </w:t>
      </w:r>
      <w:r w:rsidR="00F06832" w:rsidRPr="007A3749">
        <w:t xml:space="preserve">při </w:t>
      </w:r>
      <w:r w:rsidRPr="007A3749">
        <w:t>zřizování zástav, půjček a záruk;</w:t>
      </w:r>
    </w:p>
    <w:p w:rsidR="00386745" w:rsidRPr="007A3749" w:rsidRDefault="00386745" w:rsidP="00786807">
      <w:pPr>
        <w:spacing w:before="0" w:beforeAutospacing="0" w:after="120" w:afterAutospacing="0"/>
      </w:pPr>
      <w:r w:rsidRPr="007A3749">
        <w:t>d) půjčování či získávání peněžních prostředků jakýmkoliv způsobem a zajištění splácení</w:t>
      </w:r>
      <w:r w:rsidR="000C1BD0" w:rsidRPr="007A3749">
        <w:t xml:space="preserve"> </w:t>
      </w:r>
      <w:r w:rsidRPr="007A3749">
        <w:t>jakýchkoliv půjčených prostředků;</w:t>
      </w:r>
    </w:p>
    <w:p w:rsidR="00F06832" w:rsidRPr="007A3749" w:rsidRDefault="00386745" w:rsidP="00786807">
      <w:pPr>
        <w:spacing w:before="0" w:beforeAutospacing="0" w:after="120" w:afterAutospacing="0"/>
      </w:pPr>
      <w:r w:rsidRPr="007A3749">
        <w:t>e) získávání půjček a emise dluhopisů a jiných cenných papírů</w:t>
      </w:r>
      <w:r w:rsidR="00832D93" w:rsidRPr="007A3749">
        <w:t>;</w:t>
      </w:r>
    </w:p>
    <w:p w:rsidR="00386745" w:rsidRPr="007A3749" w:rsidRDefault="00F06832" w:rsidP="00786807">
      <w:pPr>
        <w:spacing w:before="0" w:beforeAutospacing="0" w:after="120" w:afterAutospacing="0"/>
      </w:pPr>
      <w:r w:rsidRPr="007A3749">
        <w:t>f)</w:t>
      </w:r>
      <w:r w:rsidR="000C1BD0" w:rsidRPr="007A3749">
        <w:t xml:space="preserve"> </w:t>
      </w:r>
      <w:r w:rsidR="00386745" w:rsidRPr="007A3749">
        <w:t xml:space="preserve">všechny operace vztahující se k výše uvedenému výčtu </w:t>
      </w:r>
      <w:r w:rsidRPr="007A3749">
        <w:t>-</w:t>
      </w:r>
      <w:r w:rsidR="00386745" w:rsidRPr="007A3749">
        <w:t xml:space="preserve"> přímo </w:t>
      </w:r>
      <w:r w:rsidRPr="007A3749">
        <w:t>či</w:t>
      </w:r>
      <w:r w:rsidR="00386745" w:rsidRPr="007A3749">
        <w:t xml:space="preserve"> nepřímo.</w:t>
      </w:r>
    </w:p>
    <w:p w:rsidR="00386745" w:rsidRPr="007D00E7" w:rsidRDefault="00386745" w:rsidP="007A3749">
      <w:pPr>
        <w:pStyle w:val="AODocTxt"/>
        <w:rPr>
          <w:lang w:val="cs-CZ"/>
        </w:rPr>
      </w:pPr>
    </w:p>
    <w:sectPr w:rsidR="00386745" w:rsidRPr="007D00E7" w:rsidSect="00786807">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30" w:rsidRDefault="001F4730" w:rsidP="007A3749">
      <w:r>
        <w:separator/>
      </w:r>
    </w:p>
  </w:endnote>
  <w:endnote w:type="continuationSeparator" w:id="0">
    <w:p w:rsidR="001F4730" w:rsidRDefault="001F4730" w:rsidP="007A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30" w:rsidRDefault="001F4730" w:rsidP="007A374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F4730" w:rsidRDefault="001F4730" w:rsidP="007A3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30" w:rsidRDefault="001F4730" w:rsidP="007A3749">
    <w:pPr>
      <w:pStyle w:val="Footer"/>
      <w:rPr>
        <w:rStyle w:val="PageNumber"/>
      </w:rPr>
    </w:pPr>
    <w:r>
      <w:rPr>
        <w:rStyle w:val="PageNumber"/>
      </w:rPr>
      <w:tab/>
    </w:r>
    <w:r>
      <w:rPr>
        <w:rStyle w:val="PageNumber"/>
      </w:rPr>
      <w:fldChar w:fldCharType="begin"/>
    </w:r>
    <w:r>
      <w:rPr>
        <w:rStyle w:val="PageNumber"/>
      </w:rPr>
      <w:instrText xml:space="preserve">PAGE  </w:instrText>
    </w:r>
    <w:r>
      <w:rPr>
        <w:rStyle w:val="PageNumber"/>
      </w:rPr>
      <w:fldChar w:fldCharType="separate"/>
    </w:r>
    <w:r w:rsidR="00757797">
      <w:rPr>
        <w:rStyle w:val="PageNumber"/>
        <w:noProof/>
      </w:rPr>
      <w:t>40</w:t>
    </w:r>
    <w:r>
      <w:rPr>
        <w:rStyle w:val="PageNumber"/>
      </w:rPr>
      <w:fldChar w:fldCharType="end"/>
    </w:r>
  </w:p>
  <w:p w:rsidR="001F4730" w:rsidRDefault="001F4730" w:rsidP="007A3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30" w:rsidRDefault="001F4730" w:rsidP="007A3749">
      <w:r>
        <w:separator/>
      </w:r>
    </w:p>
  </w:footnote>
  <w:footnote w:type="continuationSeparator" w:id="0">
    <w:p w:rsidR="001F4730" w:rsidRDefault="001F4730" w:rsidP="007A3749">
      <w:r>
        <w:continuationSeparator/>
      </w:r>
    </w:p>
  </w:footnote>
  <w:footnote w:id="1">
    <w:p w:rsidR="001F4730" w:rsidRPr="009361D0" w:rsidRDefault="001F4730" w:rsidP="007A3749">
      <w:pPr>
        <w:pStyle w:val="FootnoteText"/>
      </w:pPr>
      <w:r w:rsidRPr="009361D0">
        <w:rPr>
          <w:rStyle w:val="FootnoteReference"/>
        </w:rPr>
        <w:footnoteRef/>
      </w:r>
      <w:r w:rsidRPr="009361D0">
        <w:t xml:space="preserve"> Rozdělení dle geografie urč</w:t>
      </w:r>
      <w:r>
        <w:t>eno</w:t>
      </w:r>
      <w:r w:rsidRPr="009361D0">
        <w:t xml:space="preserve"> místem dodání zboží.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1BBE6"/>
    <w:multiLevelType w:val="hybridMultilevel"/>
    <w:tmpl w:val="D87C55E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0BCB"/>
    <w:multiLevelType w:val="multilevel"/>
    <w:tmpl w:val="04050025"/>
    <w:lvl w:ilvl="0">
      <w:start w:val="1"/>
      <w:numFmt w:val="decimal"/>
      <w:lvlText w:val="%1"/>
      <w:lvlJc w:val="left"/>
      <w:pPr>
        <w:tabs>
          <w:tab w:val="num" w:pos="2276"/>
        </w:tabs>
        <w:ind w:left="2276"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2490861"/>
    <w:multiLevelType w:val="hybridMultilevel"/>
    <w:tmpl w:val="28F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3">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5">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7">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271322B"/>
    <w:multiLevelType w:val="hybridMultilevel"/>
    <w:tmpl w:val="D19A7B8A"/>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3">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9EC1C0D"/>
    <w:multiLevelType w:val="hybridMultilevel"/>
    <w:tmpl w:val="089A7802"/>
    <w:lvl w:ilvl="0" w:tplc="74E29BD8">
      <w:start w:val="1"/>
      <w:numFmt w:val="lowerLetter"/>
      <w:pStyle w:val="Heading5"/>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2"/>
  </w:num>
  <w:num w:numId="3">
    <w:abstractNumId w:val="2"/>
  </w:num>
  <w:num w:numId="4">
    <w:abstractNumId w:val="8"/>
  </w:num>
  <w:num w:numId="5">
    <w:abstractNumId w:val="23"/>
  </w:num>
  <w:num w:numId="6">
    <w:abstractNumId w:val="14"/>
  </w:num>
  <w:num w:numId="7">
    <w:abstractNumId w:val="15"/>
  </w:num>
  <w:num w:numId="8">
    <w:abstractNumId w:val="10"/>
  </w:num>
  <w:num w:numId="9">
    <w:abstractNumId w:val="6"/>
  </w:num>
  <w:num w:numId="10">
    <w:abstractNumId w:val="21"/>
  </w:num>
  <w:num w:numId="11">
    <w:abstractNumId w:val="4"/>
  </w:num>
  <w:num w:numId="12">
    <w:abstractNumId w:val="11"/>
  </w:num>
  <w:num w:numId="13">
    <w:abstractNumId w:val="1"/>
  </w:num>
  <w:num w:numId="14">
    <w:abstractNumId w:val="1"/>
  </w:num>
  <w:num w:numId="15">
    <w:abstractNumId w:val="19"/>
  </w:num>
  <w:num w:numId="16">
    <w:abstractNumId w:val="1"/>
  </w:num>
  <w:num w:numId="17">
    <w:abstractNumId w:val="1"/>
  </w:num>
  <w:num w:numId="18">
    <w:abstractNumId w:val="1"/>
  </w:num>
  <w:num w:numId="19">
    <w:abstractNumId w:val="1"/>
  </w:num>
  <w:num w:numId="20">
    <w:abstractNumId w:val="16"/>
  </w:num>
  <w:num w:numId="21">
    <w:abstractNumId w:val="3"/>
  </w:num>
  <w:num w:numId="22">
    <w:abstractNumId w:val="7"/>
  </w:num>
  <w:num w:numId="23">
    <w:abstractNumId w:val="1"/>
  </w:num>
  <w:num w:numId="24">
    <w:abstractNumId w:val="1"/>
  </w:num>
  <w:num w:numId="25">
    <w:abstractNumId w:val="1"/>
  </w:num>
  <w:num w:numId="26">
    <w:abstractNumId w:val="1"/>
  </w:num>
  <w:num w:numId="27">
    <w:abstractNumId w:val="1"/>
  </w:num>
  <w:num w:numId="28">
    <w:abstractNumId w:val="0"/>
  </w:num>
  <w:num w:numId="29">
    <w:abstractNumId w:val="1"/>
  </w:num>
  <w:num w:numId="30">
    <w:abstractNumId w:val="24"/>
  </w:num>
  <w:num w:numId="31">
    <w:abstractNumId w:val="18"/>
  </w:num>
  <w:num w:numId="32">
    <w:abstractNumId w:val="20"/>
  </w:num>
  <w:num w:numId="33">
    <w:abstractNumId w:val="13"/>
  </w:num>
  <w:num w:numId="34">
    <w:abstractNumId w:val="9"/>
  </w:num>
  <w:num w:numId="35">
    <w:abstractNumId w:val="1"/>
  </w:num>
  <w:num w:numId="36">
    <w:abstractNumId w:val="1"/>
  </w:num>
  <w:num w:numId="37">
    <w:abstractNumId w:val="1"/>
  </w:num>
  <w:num w:numId="38">
    <w:abstractNumId w:val="1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12"/>
  </w:num>
  <w:num w:numId="43">
    <w:abstractNumId w:val="1"/>
  </w:num>
  <w:num w:numId="44">
    <w:abstractNumId w:val="12"/>
  </w:num>
  <w:num w:numId="45">
    <w:abstractNumId w:val="2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0"/>
    <w:rsid w:val="00000A8B"/>
    <w:rsid w:val="00000EAB"/>
    <w:rsid w:val="00001057"/>
    <w:rsid w:val="0000137A"/>
    <w:rsid w:val="0000149D"/>
    <w:rsid w:val="00001509"/>
    <w:rsid w:val="00002A15"/>
    <w:rsid w:val="00002E31"/>
    <w:rsid w:val="00002E34"/>
    <w:rsid w:val="00003012"/>
    <w:rsid w:val="00003140"/>
    <w:rsid w:val="0000359A"/>
    <w:rsid w:val="0000387A"/>
    <w:rsid w:val="00003BE1"/>
    <w:rsid w:val="00003C09"/>
    <w:rsid w:val="00004206"/>
    <w:rsid w:val="00004F0D"/>
    <w:rsid w:val="00004FFE"/>
    <w:rsid w:val="0000618D"/>
    <w:rsid w:val="00006D3F"/>
    <w:rsid w:val="00006F52"/>
    <w:rsid w:val="00007E9E"/>
    <w:rsid w:val="000101E8"/>
    <w:rsid w:val="00010B7D"/>
    <w:rsid w:val="00010C2B"/>
    <w:rsid w:val="00010F1A"/>
    <w:rsid w:val="00014A14"/>
    <w:rsid w:val="00014BFE"/>
    <w:rsid w:val="0001548A"/>
    <w:rsid w:val="0001555E"/>
    <w:rsid w:val="000166B9"/>
    <w:rsid w:val="00016EC9"/>
    <w:rsid w:val="00017F09"/>
    <w:rsid w:val="00020C0F"/>
    <w:rsid w:val="00021296"/>
    <w:rsid w:val="00023429"/>
    <w:rsid w:val="00024C66"/>
    <w:rsid w:val="0002586D"/>
    <w:rsid w:val="00025DC3"/>
    <w:rsid w:val="000260AF"/>
    <w:rsid w:val="000268CB"/>
    <w:rsid w:val="00026960"/>
    <w:rsid w:val="00031871"/>
    <w:rsid w:val="000325BE"/>
    <w:rsid w:val="00033397"/>
    <w:rsid w:val="000335DA"/>
    <w:rsid w:val="00033B14"/>
    <w:rsid w:val="00035BEE"/>
    <w:rsid w:val="00036699"/>
    <w:rsid w:val="00036B50"/>
    <w:rsid w:val="0003709D"/>
    <w:rsid w:val="00037DF3"/>
    <w:rsid w:val="00042D31"/>
    <w:rsid w:val="00043A80"/>
    <w:rsid w:val="00045A28"/>
    <w:rsid w:val="00046379"/>
    <w:rsid w:val="0004646F"/>
    <w:rsid w:val="00046C4B"/>
    <w:rsid w:val="00047E04"/>
    <w:rsid w:val="00047FA7"/>
    <w:rsid w:val="00050C7B"/>
    <w:rsid w:val="00051878"/>
    <w:rsid w:val="00052298"/>
    <w:rsid w:val="000530C2"/>
    <w:rsid w:val="0005416B"/>
    <w:rsid w:val="00055178"/>
    <w:rsid w:val="00055587"/>
    <w:rsid w:val="000555E7"/>
    <w:rsid w:val="00055F93"/>
    <w:rsid w:val="00057110"/>
    <w:rsid w:val="00060293"/>
    <w:rsid w:val="000618A6"/>
    <w:rsid w:val="00061A8A"/>
    <w:rsid w:val="00061E2E"/>
    <w:rsid w:val="00063436"/>
    <w:rsid w:val="0006353F"/>
    <w:rsid w:val="000636E0"/>
    <w:rsid w:val="00063CB3"/>
    <w:rsid w:val="00064B52"/>
    <w:rsid w:val="00064E48"/>
    <w:rsid w:val="00066B8A"/>
    <w:rsid w:val="000671B3"/>
    <w:rsid w:val="0006750C"/>
    <w:rsid w:val="00067586"/>
    <w:rsid w:val="00070375"/>
    <w:rsid w:val="00071019"/>
    <w:rsid w:val="00071AB2"/>
    <w:rsid w:val="00071CE8"/>
    <w:rsid w:val="00071D2F"/>
    <w:rsid w:val="00071F1D"/>
    <w:rsid w:val="000724C0"/>
    <w:rsid w:val="00072812"/>
    <w:rsid w:val="00072F85"/>
    <w:rsid w:val="000733F4"/>
    <w:rsid w:val="00073AB5"/>
    <w:rsid w:val="00073F94"/>
    <w:rsid w:val="00074959"/>
    <w:rsid w:val="00074F91"/>
    <w:rsid w:val="00075F26"/>
    <w:rsid w:val="00080338"/>
    <w:rsid w:val="00080614"/>
    <w:rsid w:val="00080B91"/>
    <w:rsid w:val="000814F3"/>
    <w:rsid w:val="00082E4B"/>
    <w:rsid w:val="00082F06"/>
    <w:rsid w:val="00082FCB"/>
    <w:rsid w:val="00083257"/>
    <w:rsid w:val="000834E9"/>
    <w:rsid w:val="000836B9"/>
    <w:rsid w:val="00083C3E"/>
    <w:rsid w:val="000860E8"/>
    <w:rsid w:val="00086195"/>
    <w:rsid w:val="00086328"/>
    <w:rsid w:val="00087378"/>
    <w:rsid w:val="00087985"/>
    <w:rsid w:val="00087C3A"/>
    <w:rsid w:val="00090A3E"/>
    <w:rsid w:val="00091496"/>
    <w:rsid w:val="00091804"/>
    <w:rsid w:val="0009502A"/>
    <w:rsid w:val="00095269"/>
    <w:rsid w:val="000953B1"/>
    <w:rsid w:val="000954BC"/>
    <w:rsid w:val="00095953"/>
    <w:rsid w:val="00095AFB"/>
    <w:rsid w:val="00096046"/>
    <w:rsid w:val="000968BC"/>
    <w:rsid w:val="000969DB"/>
    <w:rsid w:val="00097737"/>
    <w:rsid w:val="0009782A"/>
    <w:rsid w:val="000A0532"/>
    <w:rsid w:val="000A1646"/>
    <w:rsid w:val="000A3491"/>
    <w:rsid w:val="000A37BF"/>
    <w:rsid w:val="000A3C7D"/>
    <w:rsid w:val="000A57A8"/>
    <w:rsid w:val="000A629F"/>
    <w:rsid w:val="000A6691"/>
    <w:rsid w:val="000A6A46"/>
    <w:rsid w:val="000A71A0"/>
    <w:rsid w:val="000A7723"/>
    <w:rsid w:val="000A7B00"/>
    <w:rsid w:val="000A7BC5"/>
    <w:rsid w:val="000B06C8"/>
    <w:rsid w:val="000B1516"/>
    <w:rsid w:val="000B242D"/>
    <w:rsid w:val="000B30D5"/>
    <w:rsid w:val="000B3C83"/>
    <w:rsid w:val="000B5CED"/>
    <w:rsid w:val="000B6EFA"/>
    <w:rsid w:val="000B7711"/>
    <w:rsid w:val="000B7793"/>
    <w:rsid w:val="000C1BD0"/>
    <w:rsid w:val="000C1C57"/>
    <w:rsid w:val="000C2102"/>
    <w:rsid w:val="000C346A"/>
    <w:rsid w:val="000C41B0"/>
    <w:rsid w:val="000C4A8B"/>
    <w:rsid w:val="000C5171"/>
    <w:rsid w:val="000C5B3E"/>
    <w:rsid w:val="000C5BF2"/>
    <w:rsid w:val="000C7BF6"/>
    <w:rsid w:val="000C7C17"/>
    <w:rsid w:val="000C7D07"/>
    <w:rsid w:val="000C7DBC"/>
    <w:rsid w:val="000D02F3"/>
    <w:rsid w:val="000D0E05"/>
    <w:rsid w:val="000D0F6E"/>
    <w:rsid w:val="000D1BF8"/>
    <w:rsid w:val="000D1CAA"/>
    <w:rsid w:val="000D1FF6"/>
    <w:rsid w:val="000D3533"/>
    <w:rsid w:val="000D3E57"/>
    <w:rsid w:val="000D4149"/>
    <w:rsid w:val="000D4294"/>
    <w:rsid w:val="000D5C47"/>
    <w:rsid w:val="000D6389"/>
    <w:rsid w:val="000D6B8A"/>
    <w:rsid w:val="000D6FAF"/>
    <w:rsid w:val="000D73F7"/>
    <w:rsid w:val="000E06B0"/>
    <w:rsid w:val="000E0D54"/>
    <w:rsid w:val="000E15D3"/>
    <w:rsid w:val="000E18E4"/>
    <w:rsid w:val="000E2DBE"/>
    <w:rsid w:val="000E2E42"/>
    <w:rsid w:val="000E2EBB"/>
    <w:rsid w:val="000E382D"/>
    <w:rsid w:val="000E525D"/>
    <w:rsid w:val="000E7FC1"/>
    <w:rsid w:val="000F061F"/>
    <w:rsid w:val="000F06E4"/>
    <w:rsid w:val="000F1E3F"/>
    <w:rsid w:val="000F21E3"/>
    <w:rsid w:val="000F2997"/>
    <w:rsid w:val="000F2D6F"/>
    <w:rsid w:val="000F3AB8"/>
    <w:rsid w:val="000F3D6A"/>
    <w:rsid w:val="000F4BB0"/>
    <w:rsid w:val="000F5101"/>
    <w:rsid w:val="000F5A78"/>
    <w:rsid w:val="000F6507"/>
    <w:rsid w:val="000F6606"/>
    <w:rsid w:val="000F7271"/>
    <w:rsid w:val="000F72BF"/>
    <w:rsid w:val="000F7DD2"/>
    <w:rsid w:val="000F7F99"/>
    <w:rsid w:val="00100202"/>
    <w:rsid w:val="00100F32"/>
    <w:rsid w:val="00103B79"/>
    <w:rsid w:val="0010449B"/>
    <w:rsid w:val="00104761"/>
    <w:rsid w:val="00104AB8"/>
    <w:rsid w:val="0010517E"/>
    <w:rsid w:val="00105598"/>
    <w:rsid w:val="00105858"/>
    <w:rsid w:val="00106E3F"/>
    <w:rsid w:val="00107E66"/>
    <w:rsid w:val="00110174"/>
    <w:rsid w:val="001102AA"/>
    <w:rsid w:val="001105CE"/>
    <w:rsid w:val="00110840"/>
    <w:rsid w:val="00111902"/>
    <w:rsid w:val="00111C15"/>
    <w:rsid w:val="001133F2"/>
    <w:rsid w:val="0011458E"/>
    <w:rsid w:val="001146FA"/>
    <w:rsid w:val="00114722"/>
    <w:rsid w:val="001147EC"/>
    <w:rsid w:val="00114CAE"/>
    <w:rsid w:val="0011621C"/>
    <w:rsid w:val="001167FE"/>
    <w:rsid w:val="00116D78"/>
    <w:rsid w:val="00117887"/>
    <w:rsid w:val="00120116"/>
    <w:rsid w:val="001202AA"/>
    <w:rsid w:val="001202B0"/>
    <w:rsid w:val="0012061D"/>
    <w:rsid w:val="00120EA2"/>
    <w:rsid w:val="00121A9F"/>
    <w:rsid w:val="0012204B"/>
    <w:rsid w:val="00122789"/>
    <w:rsid w:val="00124707"/>
    <w:rsid w:val="00124F1D"/>
    <w:rsid w:val="00125B4B"/>
    <w:rsid w:val="00125DBA"/>
    <w:rsid w:val="001265DD"/>
    <w:rsid w:val="00127C80"/>
    <w:rsid w:val="00130342"/>
    <w:rsid w:val="00130DE7"/>
    <w:rsid w:val="00131007"/>
    <w:rsid w:val="00131434"/>
    <w:rsid w:val="00131B3A"/>
    <w:rsid w:val="00133FEF"/>
    <w:rsid w:val="001346B0"/>
    <w:rsid w:val="00134F2E"/>
    <w:rsid w:val="00135BDC"/>
    <w:rsid w:val="00135DB6"/>
    <w:rsid w:val="001367BC"/>
    <w:rsid w:val="00136A1A"/>
    <w:rsid w:val="00136A91"/>
    <w:rsid w:val="001370D9"/>
    <w:rsid w:val="00137510"/>
    <w:rsid w:val="001375EB"/>
    <w:rsid w:val="0013783A"/>
    <w:rsid w:val="001379A3"/>
    <w:rsid w:val="00140C2A"/>
    <w:rsid w:val="00141C9E"/>
    <w:rsid w:val="00141E54"/>
    <w:rsid w:val="00142581"/>
    <w:rsid w:val="001428BC"/>
    <w:rsid w:val="00142C72"/>
    <w:rsid w:val="00142F3A"/>
    <w:rsid w:val="0014306F"/>
    <w:rsid w:val="00143863"/>
    <w:rsid w:val="00143914"/>
    <w:rsid w:val="00143CA1"/>
    <w:rsid w:val="00144915"/>
    <w:rsid w:val="00144B65"/>
    <w:rsid w:val="00145207"/>
    <w:rsid w:val="00145AE5"/>
    <w:rsid w:val="001467A0"/>
    <w:rsid w:val="00146AD7"/>
    <w:rsid w:val="001507D2"/>
    <w:rsid w:val="001518DD"/>
    <w:rsid w:val="00151D0D"/>
    <w:rsid w:val="00151E3D"/>
    <w:rsid w:val="00152C83"/>
    <w:rsid w:val="00153019"/>
    <w:rsid w:val="00153171"/>
    <w:rsid w:val="001539AC"/>
    <w:rsid w:val="00153A69"/>
    <w:rsid w:val="00153BD0"/>
    <w:rsid w:val="00153CF7"/>
    <w:rsid w:val="00153F87"/>
    <w:rsid w:val="00154047"/>
    <w:rsid w:val="00154893"/>
    <w:rsid w:val="00156755"/>
    <w:rsid w:val="00157145"/>
    <w:rsid w:val="001573A9"/>
    <w:rsid w:val="001578B4"/>
    <w:rsid w:val="00161F66"/>
    <w:rsid w:val="001622EF"/>
    <w:rsid w:val="0016339E"/>
    <w:rsid w:val="0016359A"/>
    <w:rsid w:val="001640F7"/>
    <w:rsid w:val="001644AE"/>
    <w:rsid w:val="00164549"/>
    <w:rsid w:val="00165140"/>
    <w:rsid w:val="001657F0"/>
    <w:rsid w:val="00165990"/>
    <w:rsid w:val="00167361"/>
    <w:rsid w:val="00170627"/>
    <w:rsid w:val="001709E3"/>
    <w:rsid w:val="00170F06"/>
    <w:rsid w:val="00170FA2"/>
    <w:rsid w:val="00171FF0"/>
    <w:rsid w:val="00172BC6"/>
    <w:rsid w:val="00172DC6"/>
    <w:rsid w:val="00173410"/>
    <w:rsid w:val="001736F6"/>
    <w:rsid w:val="001755D6"/>
    <w:rsid w:val="001763C0"/>
    <w:rsid w:val="00176A29"/>
    <w:rsid w:val="0017741A"/>
    <w:rsid w:val="00177DC2"/>
    <w:rsid w:val="00180713"/>
    <w:rsid w:val="0018136A"/>
    <w:rsid w:val="001823A5"/>
    <w:rsid w:val="0018302F"/>
    <w:rsid w:val="00183BDE"/>
    <w:rsid w:val="00184203"/>
    <w:rsid w:val="001851C6"/>
    <w:rsid w:val="00185341"/>
    <w:rsid w:val="00185EB1"/>
    <w:rsid w:val="00187ADB"/>
    <w:rsid w:val="0019324F"/>
    <w:rsid w:val="001936CD"/>
    <w:rsid w:val="001938A2"/>
    <w:rsid w:val="00194F97"/>
    <w:rsid w:val="00195179"/>
    <w:rsid w:val="00196667"/>
    <w:rsid w:val="0019748C"/>
    <w:rsid w:val="001A0A03"/>
    <w:rsid w:val="001A13A7"/>
    <w:rsid w:val="001A1D6C"/>
    <w:rsid w:val="001A314D"/>
    <w:rsid w:val="001A3EBE"/>
    <w:rsid w:val="001A40E3"/>
    <w:rsid w:val="001A41BB"/>
    <w:rsid w:val="001A4DE1"/>
    <w:rsid w:val="001A640F"/>
    <w:rsid w:val="001A6CC4"/>
    <w:rsid w:val="001A6E97"/>
    <w:rsid w:val="001A7084"/>
    <w:rsid w:val="001B0AE2"/>
    <w:rsid w:val="001B1533"/>
    <w:rsid w:val="001B23A6"/>
    <w:rsid w:val="001B2469"/>
    <w:rsid w:val="001B288F"/>
    <w:rsid w:val="001B2A1A"/>
    <w:rsid w:val="001B33F7"/>
    <w:rsid w:val="001B4D0D"/>
    <w:rsid w:val="001B547E"/>
    <w:rsid w:val="001B5711"/>
    <w:rsid w:val="001B58C5"/>
    <w:rsid w:val="001B5DC8"/>
    <w:rsid w:val="001B637E"/>
    <w:rsid w:val="001B78ED"/>
    <w:rsid w:val="001B7915"/>
    <w:rsid w:val="001B7C6C"/>
    <w:rsid w:val="001C0048"/>
    <w:rsid w:val="001C1C28"/>
    <w:rsid w:val="001C2772"/>
    <w:rsid w:val="001C2E58"/>
    <w:rsid w:val="001C2FF9"/>
    <w:rsid w:val="001C35DD"/>
    <w:rsid w:val="001C38EF"/>
    <w:rsid w:val="001C4004"/>
    <w:rsid w:val="001C408F"/>
    <w:rsid w:val="001C49EE"/>
    <w:rsid w:val="001C4AE5"/>
    <w:rsid w:val="001C7420"/>
    <w:rsid w:val="001C7823"/>
    <w:rsid w:val="001D162F"/>
    <w:rsid w:val="001D26A8"/>
    <w:rsid w:val="001D2BC4"/>
    <w:rsid w:val="001D2F58"/>
    <w:rsid w:val="001D3420"/>
    <w:rsid w:val="001D41BB"/>
    <w:rsid w:val="001D4292"/>
    <w:rsid w:val="001D4B26"/>
    <w:rsid w:val="001D5AA3"/>
    <w:rsid w:val="001E082F"/>
    <w:rsid w:val="001E1744"/>
    <w:rsid w:val="001E2B7F"/>
    <w:rsid w:val="001E3175"/>
    <w:rsid w:val="001E3725"/>
    <w:rsid w:val="001E38EE"/>
    <w:rsid w:val="001E48CA"/>
    <w:rsid w:val="001E4BAB"/>
    <w:rsid w:val="001E4D33"/>
    <w:rsid w:val="001E5C4C"/>
    <w:rsid w:val="001E5CDC"/>
    <w:rsid w:val="001E6B8F"/>
    <w:rsid w:val="001E6C17"/>
    <w:rsid w:val="001E6F47"/>
    <w:rsid w:val="001E7C71"/>
    <w:rsid w:val="001F0531"/>
    <w:rsid w:val="001F1154"/>
    <w:rsid w:val="001F1555"/>
    <w:rsid w:val="001F1565"/>
    <w:rsid w:val="001F328B"/>
    <w:rsid w:val="001F33FB"/>
    <w:rsid w:val="001F390A"/>
    <w:rsid w:val="001F4730"/>
    <w:rsid w:val="001F5AB5"/>
    <w:rsid w:val="001F63BD"/>
    <w:rsid w:val="001F6AA7"/>
    <w:rsid w:val="001F71DE"/>
    <w:rsid w:val="00200660"/>
    <w:rsid w:val="00201D3C"/>
    <w:rsid w:val="00203D5F"/>
    <w:rsid w:val="002044EC"/>
    <w:rsid w:val="00205672"/>
    <w:rsid w:val="0020605C"/>
    <w:rsid w:val="00210593"/>
    <w:rsid w:val="00212139"/>
    <w:rsid w:val="00212931"/>
    <w:rsid w:val="00214FF1"/>
    <w:rsid w:val="00220233"/>
    <w:rsid w:val="00220575"/>
    <w:rsid w:val="002205DF"/>
    <w:rsid w:val="002209CD"/>
    <w:rsid w:val="002215A7"/>
    <w:rsid w:val="00221624"/>
    <w:rsid w:val="00222012"/>
    <w:rsid w:val="002229F5"/>
    <w:rsid w:val="00223F52"/>
    <w:rsid w:val="002251CB"/>
    <w:rsid w:val="00225D88"/>
    <w:rsid w:val="0022606E"/>
    <w:rsid w:val="002268DD"/>
    <w:rsid w:val="00230498"/>
    <w:rsid w:val="002305B6"/>
    <w:rsid w:val="00231E30"/>
    <w:rsid w:val="00231F7C"/>
    <w:rsid w:val="002329AF"/>
    <w:rsid w:val="0023384D"/>
    <w:rsid w:val="00233923"/>
    <w:rsid w:val="0023392C"/>
    <w:rsid w:val="00233985"/>
    <w:rsid w:val="00233FB2"/>
    <w:rsid w:val="002342F9"/>
    <w:rsid w:val="00234327"/>
    <w:rsid w:val="00234536"/>
    <w:rsid w:val="00234D04"/>
    <w:rsid w:val="00236FFC"/>
    <w:rsid w:val="0024292D"/>
    <w:rsid w:val="00242D80"/>
    <w:rsid w:val="0024396A"/>
    <w:rsid w:val="00244402"/>
    <w:rsid w:val="00244C15"/>
    <w:rsid w:val="0024532C"/>
    <w:rsid w:val="002478FB"/>
    <w:rsid w:val="00247F54"/>
    <w:rsid w:val="0025074F"/>
    <w:rsid w:val="0025085E"/>
    <w:rsid w:val="002508E3"/>
    <w:rsid w:val="00251019"/>
    <w:rsid w:val="0025161E"/>
    <w:rsid w:val="00251822"/>
    <w:rsid w:val="002528B0"/>
    <w:rsid w:val="00253962"/>
    <w:rsid w:val="002540A3"/>
    <w:rsid w:val="0025437F"/>
    <w:rsid w:val="00254916"/>
    <w:rsid w:val="0025492C"/>
    <w:rsid w:val="00254E38"/>
    <w:rsid w:val="002551D6"/>
    <w:rsid w:val="00255677"/>
    <w:rsid w:val="002556A2"/>
    <w:rsid w:val="002557BB"/>
    <w:rsid w:val="00255C6F"/>
    <w:rsid w:val="0025600B"/>
    <w:rsid w:val="00256F04"/>
    <w:rsid w:val="00257618"/>
    <w:rsid w:val="002579E4"/>
    <w:rsid w:val="00257CAE"/>
    <w:rsid w:val="00260132"/>
    <w:rsid w:val="002615E2"/>
    <w:rsid w:val="00261BBD"/>
    <w:rsid w:val="00261E81"/>
    <w:rsid w:val="002629DA"/>
    <w:rsid w:val="0026474E"/>
    <w:rsid w:val="002650B0"/>
    <w:rsid w:val="00265127"/>
    <w:rsid w:val="002673F3"/>
    <w:rsid w:val="002674FF"/>
    <w:rsid w:val="0026775E"/>
    <w:rsid w:val="002700CB"/>
    <w:rsid w:val="00270152"/>
    <w:rsid w:val="002702AB"/>
    <w:rsid w:val="0027071B"/>
    <w:rsid w:val="00270B83"/>
    <w:rsid w:val="00271B5F"/>
    <w:rsid w:val="00273692"/>
    <w:rsid w:val="00273A94"/>
    <w:rsid w:val="0027483C"/>
    <w:rsid w:val="0027548B"/>
    <w:rsid w:val="002757BD"/>
    <w:rsid w:val="00275B6B"/>
    <w:rsid w:val="00276708"/>
    <w:rsid w:val="0027707E"/>
    <w:rsid w:val="002779C9"/>
    <w:rsid w:val="002820F4"/>
    <w:rsid w:val="002821F9"/>
    <w:rsid w:val="00282251"/>
    <w:rsid w:val="00282974"/>
    <w:rsid w:val="00283881"/>
    <w:rsid w:val="00284686"/>
    <w:rsid w:val="00284831"/>
    <w:rsid w:val="00285FA8"/>
    <w:rsid w:val="002867F5"/>
    <w:rsid w:val="00286B89"/>
    <w:rsid w:val="0028728A"/>
    <w:rsid w:val="00290B54"/>
    <w:rsid w:val="00290B73"/>
    <w:rsid w:val="00290E0C"/>
    <w:rsid w:val="00290F69"/>
    <w:rsid w:val="002910D6"/>
    <w:rsid w:val="00291AF5"/>
    <w:rsid w:val="00291CA6"/>
    <w:rsid w:val="0029233B"/>
    <w:rsid w:val="002927CE"/>
    <w:rsid w:val="0029398E"/>
    <w:rsid w:val="00293B82"/>
    <w:rsid w:val="002949C9"/>
    <w:rsid w:val="002965AE"/>
    <w:rsid w:val="0029668B"/>
    <w:rsid w:val="0029689F"/>
    <w:rsid w:val="002A034E"/>
    <w:rsid w:val="002A1003"/>
    <w:rsid w:val="002A26B6"/>
    <w:rsid w:val="002A3615"/>
    <w:rsid w:val="002A37BF"/>
    <w:rsid w:val="002A4C7B"/>
    <w:rsid w:val="002A52AD"/>
    <w:rsid w:val="002A6CEB"/>
    <w:rsid w:val="002A6D12"/>
    <w:rsid w:val="002A6E0D"/>
    <w:rsid w:val="002A7647"/>
    <w:rsid w:val="002A78C5"/>
    <w:rsid w:val="002A7978"/>
    <w:rsid w:val="002B0F43"/>
    <w:rsid w:val="002B3A8F"/>
    <w:rsid w:val="002B45A6"/>
    <w:rsid w:val="002B4D57"/>
    <w:rsid w:val="002B6530"/>
    <w:rsid w:val="002B6D72"/>
    <w:rsid w:val="002B739B"/>
    <w:rsid w:val="002C07A3"/>
    <w:rsid w:val="002C08AA"/>
    <w:rsid w:val="002C0E27"/>
    <w:rsid w:val="002C2EF0"/>
    <w:rsid w:val="002C6AFE"/>
    <w:rsid w:val="002C6FFF"/>
    <w:rsid w:val="002D0377"/>
    <w:rsid w:val="002D1941"/>
    <w:rsid w:val="002D1D6C"/>
    <w:rsid w:val="002D25A6"/>
    <w:rsid w:val="002D2E49"/>
    <w:rsid w:val="002D4046"/>
    <w:rsid w:val="002D541A"/>
    <w:rsid w:val="002D5473"/>
    <w:rsid w:val="002D5639"/>
    <w:rsid w:val="002D5964"/>
    <w:rsid w:val="002D7BE4"/>
    <w:rsid w:val="002D7DAB"/>
    <w:rsid w:val="002E03A7"/>
    <w:rsid w:val="002E091F"/>
    <w:rsid w:val="002E12BB"/>
    <w:rsid w:val="002E214B"/>
    <w:rsid w:val="002E28A6"/>
    <w:rsid w:val="002E2935"/>
    <w:rsid w:val="002E29DF"/>
    <w:rsid w:val="002E3EB4"/>
    <w:rsid w:val="002E4213"/>
    <w:rsid w:val="002E44BD"/>
    <w:rsid w:val="002E4D22"/>
    <w:rsid w:val="002E5CE7"/>
    <w:rsid w:val="002E6236"/>
    <w:rsid w:val="002E66A1"/>
    <w:rsid w:val="002E6C94"/>
    <w:rsid w:val="002E7183"/>
    <w:rsid w:val="002E7BFB"/>
    <w:rsid w:val="002E7C01"/>
    <w:rsid w:val="002E7F98"/>
    <w:rsid w:val="002F1392"/>
    <w:rsid w:val="002F2BDD"/>
    <w:rsid w:val="002F30BF"/>
    <w:rsid w:val="002F4057"/>
    <w:rsid w:val="002F4545"/>
    <w:rsid w:val="002F454E"/>
    <w:rsid w:val="002F46C1"/>
    <w:rsid w:val="002F4A4F"/>
    <w:rsid w:val="002F6061"/>
    <w:rsid w:val="002F69A7"/>
    <w:rsid w:val="002F69B5"/>
    <w:rsid w:val="00300D0D"/>
    <w:rsid w:val="003011FC"/>
    <w:rsid w:val="0030132C"/>
    <w:rsid w:val="00302C04"/>
    <w:rsid w:val="00302ED2"/>
    <w:rsid w:val="00302F2A"/>
    <w:rsid w:val="003035F5"/>
    <w:rsid w:val="00304BEE"/>
    <w:rsid w:val="00304CE1"/>
    <w:rsid w:val="00304D89"/>
    <w:rsid w:val="0030519B"/>
    <w:rsid w:val="003057EA"/>
    <w:rsid w:val="0030652C"/>
    <w:rsid w:val="00307CCD"/>
    <w:rsid w:val="0031013A"/>
    <w:rsid w:val="00310DA0"/>
    <w:rsid w:val="00311123"/>
    <w:rsid w:val="003115F3"/>
    <w:rsid w:val="00312410"/>
    <w:rsid w:val="003138AE"/>
    <w:rsid w:val="00313F5E"/>
    <w:rsid w:val="00314893"/>
    <w:rsid w:val="003161AE"/>
    <w:rsid w:val="00316CD5"/>
    <w:rsid w:val="003179D6"/>
    <w:rsid w:val="00317ACD"/>
    <w:rsid w:val="00317B41"/>
    <w:rsid w:val="00317FB1"/>
    <w:rsid w:val="00320854"/>
    <w:rsid w:val="00320A1A"/>
    <w:rsid w:val="00320E20"/>
    <w:rsid w:val="00326233"/>
    <w:rsid w:val="00326B49"/>
    <w:rsid w:val="00326B89"/>
    <w:rsid w:val="00326E01"/>
    <w:rsid w:val="00327679"/>
    <w:rsid w:val="00331437"/>
    <w:rsid w:val="00331D03"/>
    <w:rsid w:val="00331E60"/>
    <w:rsid w:val="00331E8E"/>
    <w:rsid w:val="003322AB"/>
    <w:rsid w:val="003322B0"/>
    <w:rsid w:val="00332F4E"/>
    <w:rsid w:val="00333038"/>
    <w:rsid w:val="003333A0"/>
    <w:rsid w:val="00333A37"/>
    <w:rsid w:val="00334F4A"/>
    <w:rsid w:val="00334FAF"/>
    <w:rsid w:val="00335AE2"/>
    <w:rsid w:val="00335CE8"/>
    <w:rsid w:val="003360A7"/>
    <w:rsid w:val="003361C0"/>
    <w:rsid w:val="00336F2D"/>
    <w:rsid w:val="00336FC0"/>
    <w:rsid w:val="003372F8"/>
    <w:rsid w:val="00337DFB"/>
    <w:rsid w:val="00341779"/>
    <w:rsid w:val="003419B5"/>
    <w:rsid w:val="00341DE4"/>
    <w:rsid w:val="003426C4"/>
    <w:rsid w:val="003446AB"/>
    <w:rsid w:val="003453EB"/>
    <w:rsid w:val="00345CB5"/>
    <w:rsid w:val="00345DE9"/>
    <w:rsid w:val="00346817"/>
    <w:rsid w:val="00351619"/>
    <w:rsid w:val="0035188B"/>
    <w:rsid w:val="00351CC0"/>
    <w:rsid w:val="00352672"/>
    <w:rsid w:val="00353029"/>
    <w:rsid w:val="003533F5"/>
    <w:rsid w:val="003541B8"/>
    <w:rsid w:val="00355A17"/>
    <w:rsid w:val="00357317"/>
    <w:rsid w:val="00357AC0"/>
    <w:rsid w:val="003600C8"/>
    <w:rsid w:val="00360D9E"/>
    <w:rsid w:val="00361198"/>
    <w:rsid w:val="00361932"/>
    <w:rsid w:val="00361A9C"/>
    <w:rsid w:val="003625F1"/>
    <w:rsid w:val="00362725"/>
    <w:rsid w:val="003630E2"/>
    <w:rsid w:val="003645FC"/>
    <w:rsid w:val="00364B50"/>
    <w:rsid w:val="00364C87"/>
    <w:rsid w:val="003654C5"/>
    <w:rsid w:val="00365AFE"/>
    <w:rsid w:val="00366256"/>
    <w:rsid w:val="00366C98"/>
    <w:rsid w:val="00367099"/>
    <w:rsid w:val="0036710D"/>
    <w:rsid w:val="0036736B"/>
    <w:rsid w:val="00367E2A"/>
    <w:rsid w:val="00370690"/>
    <w:rsid w:val="00370B2E"/>
    <w:rsid w:val="003712B4"/>
    <w:rsid w:val="00371BF7"/>
    <w:rsid w:val="00372CA6"/>
    <w:rsid w:val="00373767"/>
    <w:rsid w:val="00373EBE"/>
    <w:rsid w:val="00374B50"/>
    <w:rsid w:val="00376034"/>
    <w:rsid w:val="00377D9A"/>
    <w:rsid w:val="00380364"/>
    <w:rsid w:val="003803ED"/>
    <w:rsid w:val="00382545"/>
    <w:rsid w:val="0038286C"/>
    <w:rsid w:val="00384525"/>
    <w:rsid w:val="003859FF"/>
    <w:rsid w:val="00386745"/>
    <w:rsid w:val="00387F5B"/>
    <w:rsid w:val="00391A0C"/>
    <w:rsid w:val="00391F34"/>
    <w:rsid w:val="003931FA"/>
    <w:rsid w:val="00393382"/>
    <w:rsid w:val="0039338F"/>
    <w:rsid w:val="00393DEC"/>
    <w:rsid w:val="00393F35"/>
    <w:rsid w:val="003963F6"/>
    <w:rsid w:val="00396A03"/>
    <w:rsid w:val="00396F0C"/>
    <w:rsid w:val="0039712B"/>
    <w:rsid w:val="003975DB"/>
    <w:rsid w:val="00397C5B"/>
    <w:rsid w:val="00397CD6"/>
    <w:rsid w:val="003A0E6F"/>
    <w:rsid w:val="003A12FA"/>
    <w:rsid w:val="003A163F"/>
    <w:rsid w:val="003A1CC1"/>
    <w:rsid w:val="003A34B0"/>
    <w:rsid w:val="003A35CA"/>
    <w:rsid w:val="003A4B68"/>
    <w:rsid w:val="003A7460"/>
    <w:rsid w:val="003B0E2E"/>
    <w:rsid w:val="003B194A"/>
    <w:rsid w:val="003B1CCA"/>
    <w:rsid w:val="003B2389"/>
    <w:rsid w:val="003B2541"/>
    <w:rsid w:val="003B2E70"/>
    <w:rsid w:val="003B43BB"/>
    <w:rsid w:val="003B44A5"/>
    <w:rsid w:val="003B46A5"/>
    <w:rsid w:val="003B7244"/>
    <w:rsid w:val="003B731F"/>
    <w:rsid w:val="003B7572"/>
    <w:rsid w:val="003B7E3C"/>
    <w:rsid w:val="003C2AD2"/>
    <w:rsid w:val="003C3B03"/>
    <w:rsid w:val="003C3F17"/>
    <w:rsid w:val="003C4710"/>
    <w:rsid w:val="003C4A78"/>
    <w:rsid w:val="003C4AF9"/>
    <w:rsid w:val="003C4C6F"/>
    <w:rsid w:val="003C4EB2"/>
    <w:rsid w:val="003C560B"/>
    <w:rsid w:val="003C638B"/>
    <w:rsid w:val="003C79D7"/>
    <w:rsid w:val="003D249D"/>
    <w:rsid w:val="003D513B"/>
    <w:rsid w:val="003D63F1"/>
    <w:rsid w:val="003D6616"/>
    <w:rsid w:val="003D78FD"/>
    <w:rsid w:val="003E0AE6"/>
    <w:rsid w:val="003E0F9E"/>
    <w:rsid w:val="003E2244"/>
    <w:rsid w:val="003E28FA"/>
    <w:rsid w:val="003E322B"/>
    <w:rsid w:val="003E4A49"/>
    <w:rsid w:val="003E5617"/>
    <w:rsid w:val="003E5A84"/>
    <w:rsid w:val="003E5C09"/>
    <w:rsid w:val="003E6394"/>
    <w:rsid w:val="003E6F14"/>
    <w:rsid w:val="003F0894"/>
    <w:rsid w:val="003F2205"/>
    <w:rsid w:val="003F2354"/>
    <w:rsid w:val="003F2849"/>
    <w:rsid w:val="003F4293"/>
    <w:rsid w:val="003F4D07"/>
    <w:rsid w:val="003F4FF1"/>
    <w:rsid w:val="003F6034"/>
    <w:rsid w:val="003F6B8D"/>
    <w:rsid w:val="004001C6"/>
    <w:rsid w:val="00401715"/>
    <w:rsid w:val="00401E38"/>
    <w:rsid w:val="00401F8D"/>
    <w:rsid w:val="004025E0"/>
    <w:rsid w:val="004035AE"/>
    <w:rsid w:val="00403986"/>
    <w:rsid w:val="00403C79"/>
    <w:rsid w:val="00403C9D"/>
    <w:rsid w:val="00405741"/>
    <w:rsid w:val="004066DD"/>
    <w:rsid w:val="00407699"/>
    <w:rsid w:val="00407AE2"/>
    <w:rsid w:val="00411342"/>
    <w:rsid w:val="00411DB0"/>
    <w:rsid w:val="00412E62"/>
    <w:rsid w:val="00414011"/>
    <w:rsid w:val="00414E80"/>
    <w:rsid w:val="0041616A"/>
    <w:rsid w:val="004162C3"/>
    <w:rsid w:val="00416DE6"/>
    <w:rsid w:val="00416EB9"/>
    <w:rsid w:val="00417043"/>
    <w:rsid w:val="0042079B"/>
    <w:rsid w:val="00421311"/>
    <w:rsid w:val="00422504"/>
    <w:rsid w:val="00422998"/>
    <w:rsid w:val="00422AD7"/>
    <w:rsid w:val="004235C3"/>
    <w:rsid w:val="004239E7"/>
    <w:rsid w:val="00423D1B"/>
    <w:rsid w:val="00424E84"/>
    <w:rsid w:val="0042710B"/>
    <w:rsid w:val="004300CE"/>
    <w:rsid w:val="00430289"/>
    <w:rsid w:val="0043036A"/>
    <w:rsid w:val="0043094F"/>
    <w:rsid w:val="00432FDF"/>
    <w:rsid w:val="00432FEB"/>
    <w:rsid w:val="004332EA"/>
    <w:rsid w:val="004332FA"/>
    <w:rsid w:val="00433ACF"/>
    <w:rsid w:val="0043406F"/>
    <w:rsid w:val="00435262"/>
    <w:rsid w:val="00435AC7"/>
    <w:rsid w:val="0043687D"/>
    <w:rsid w:val="00436AAD"/>
    <w:rsid w:val="0043760E"/>
    <w:rsid w:val="00440914"/>
    <w:rsid w:val="00440DC6"/>
    <w:rsid w:val="00440E9A"/>
    <w:rsid w:val="00441108"/>
    <w:rsid w:val="00441194"/>
    <w:rsid w:val="00441362"/>
    <w:rsid w:val="00441E8F"/>
    <w:rsid w:val="0044203E"/>
    <w:rsid w:val="00442253"/>
    <w:rsid w:val="004432EC"/>
    <w:rsid w:val="004432F3"/>
    <w:rsid w:val="004441E4"/>
    <w:rsid w:val="004444BC"/>
    <w:rsid w:val="00444ABC"/>
    <w:rsid w:val="00445B41"/>
    <w:rsid w:val="00445F68"/>
    <w:rsid w:val="00446779"/>
    <w:rsid w:val="0044692E"/>
    <w:rsid w:val="004471D7"/>
    <w:rsid w:val="00447747"/>
    <w:rsid w:val="00450357"/>
    <w:rsid w:val="0045086A"/>
    <w:rsid w:val="00450FBF"/>
    <w:rsid w:val="0045213E"/>
    <w:rsid w:val="004523AC"/>
    <w:rsid w:val="004537FF"/>
    <w:rsid w:val="004567B1"/>
    <w:rsid w:val="00456AFC"/>
    <w:rsid w:val="004570CE"/>
    <w:rsid w:val="004575B3"/>
    <w:rsid w:val="00457B27"/>
    <w:rsid w:val="0046010F"/>
    <w:rsid w:val="00460631"/>
    <w:rsid w:val="0046091F"/>
    <w:rsid w:val="00460C66"/>
    <w:rsid w:val="00460E07"/>
    <w:rsid w:val="00461B60"/>
    <w:rsid w:val="004626AB"/>
    <w:rsid w:val="004632A7"/>
    <w:rsid w:val="00463921"/>
    <w:rsid w:val="0046399C"/>
    <w:rsid w:val="00464B4E"/>
    <w:rsid w:val="00465957"/>
    <w:rsid w:val="00466818"/>
    <w:rsid w:val="00467256"/>
    <w:rsid w:val="0046726E"/>
    <w:rsid w:val="00467B9D"/>
    <w:rsid w:val="00470A3C"/>
    <w:rsid w:val="00470D68"/>
    <w:rsid w:val="004710A0"/>
    <w:rsid w:val="00471301"/>
    <w:rsid w:val="004719E1"/>
    <w:rsid w:val="00471D0A"/>
    <w:rsid w:val="0047287C"/>
    <w:rsid w:val="004729A9"/>
    <w:rsid w:val="00473300"/>
    <w:rsid w:val="00473DFC"/>
    <w:rsid w:val="00474037"/>
    <w:rsid w:val="0047462F"/>
    <w:rsid w:val="004749FF"/>
    <w:rsid w:val="00474CE9"/>
    <w:rsid w:val="00474E2D"/>
    <w:rsid w:val="00476D55"/>
    <w:rsid w:val="00476D8F"/>
    <w:rsid w:val="00476E15"/>
    <w:rsid w:val="00477544"/>
    <w:rsid w:val="00477D46"/>
    <w:rsid w:val="0048000C"/>
    <w:rsid w:val="00482559"/>
    <w:rsid w:val="00482637"/>
    <w:rsid w:val="0048272F"/>
    <w:rsid w:val="00482F3A"/>
    <w:rsid w:val="00484615"/>
    <w:rsid w:val="00484B5C"/>
    <w:rsid w:val="00484C05"/>
    <w:rsid w:val="004855D9"/>
    <w:rsid w:val="0048619E"/>
    <w:rsid w:val="004863AD"/>
    <w:rsid w:val="00486CAD"/>
    <w:rsid w:val="00490D56"/>
    <w:rsid w:val="004932F4"/>
    <w:rsid w:val="004945B9"/>
    <w:rsid w:val="00496150"/>
    <w:rsid w:val="00496BB3"/>
    <w:rsid w:val="004A06DF"/>
    <w:rsid w:val="004A0D77"/>
    <w:rsid w:val="004A1056"/>
    <w:rsid w:val="004A1657"/>
    <w:rsid w:val="004A1A54"/>
    <w:rsid w:val="004A1CFC"/>
    <w:rsid w:val="004A3055"/>
    <w:rsid w:val="004A3BE0"/>
    <w:rsid w:val="004A3CA0"/>
    <w:rsid w:val="004A3FE2"/>
    <w:rsid w:val="004A4735"/>
    <w:rsid w:val="004A63B8"/>
    <w:rsid w:val="004A67A3"/>
    <w:rsid w:val="004A6A89"/>
    <w:rsid w:val="004A6E45"/>
    <w:rsid w:val="004A77BF"/>
    <w:rsid w:val="004A7A47"/>
    <w:rsid w:val="004A7E0E"/>
    <w:rsid w:val="004B12B9"/>
    <w:rsid w:val="004B1DBB"/>
    <w:rsid w:val="004B1F09"/>
    <w:rsid w:val="004B3948"/>
    <w:rsid w:val="004B3D69"/>
    <w:rsid w:val="004B4E25"/>
    <w:rsid w:val="004B4E76"/>
    <w:rsid w:val="004B53EA"/>
    <w:rsid w:val="004B6662"/>
    <w:rsid w:val="004C0BC1"/>
    <w:rsid w:val="004C285E"/>
    <w:rsid w:val="004C2C0B"/>
    <w:rsid w:val="004C2C46"/>
    <w:rsid w:val="004C2C98"/>
    <w:rsid w:val="004C3090"/>
    <w:rsid w:val="004C331C"/>
    <w:rsid w:val="004C3A23"/>
    <w:rsid w:val="004C4A34"/>
    <w:rsid w:val="004C4DE2"/>
    <w:rsid w:val="004C5613"/>
    <w:rsid w:val="004C5F4F"/>
    <w:rsid w:val="004C6B62"/>
    <w:rsid w:val="004C76A5"/>
    <w:rsid w:val="004D0140"/>
    <w:rsid w:val="004D0B46"/>
    <w:rsid w:val="004D1DC8"/>
    <w:rsid w:val="004D282F"/>
    <w:rsid w:val="004D2A3A"/>
    <w:rsid w:val="004D4382"/>
    <w:rsid w:val="004D4395"/>
    <w:rsid w:val="004D4A4E"/>
    <w:rsid w:val="004D4B6C"/>
    <w:rsid w:val="004D5170"/>
    <w:rsid w:val="004D626B"/>
    <w:rsid w:val="004D7459"/>
    <w:rsid w:val="004D752B"/>
    <w:rsid w:val="004D76B0"/>
    <w:rsid w:val="004E0B77"/>
    <w:rsid w:val="004E1262"/>
    <w:rsid w:val="004E1FFE"/>
    <w:rsid w:val="004E24A2"/>
    <w:rsid w:val="004E267A"/>
    <w:rsid w:val="004E306C"/>
    <w:rsid w:val="004E3615"/>
    <w:rsid w:val="004E4380"/>
    <w:rsid w:val="004E4C2B"/>
    <w:rsid w:val="004E5460"/>
    <w:rsid w:val="004E5884"/>
    <w:rsid w:val="004E6091"/>
    <w:rsid w:val="004E6C73"/>
    <w:rsid w:val="004E6DEB"/>
    <w:rsid w:val="004E719B"/>
    <w:rsid w:val="004F067A"/>
    <w:rsid w:val="004F0AE6"/>
    <w:rsid w:val="004F112E"/>
    <w:rsid w:val="004F11C6"/>
    <w:rsid w:val="004F21A0"/>
    <w:rsid w:val="004F2222"/>
    <w:rsid w:val="004F2A28"/>
    <w:rsid w:val="004F3019"/>
    <w:rsid w:val="004F3793"/>
    <w:rsid w:val="004F43C6"/>
    <w:rsid w:val="004F4EF3"/>
    <w:rsid w:val="004F70D7"/>
    <w:rsid w:val="004F724C"/>
    <w:rsid w:val="004F7C7F"/>
    <w:rsid w:val="00501575"/>
    <w:rsid w:val="0050268E"/>
    <w:rsid w:val="00502DC2"/>
    <w:rsid w:val="00503A93"/>
    <w:rsid w:val="00503CB8"/>
    <w:rsid w:val="0050421C"/>
    <w:rsid w:val="005057CB"/>
    <w:rsid w:val="0051063D"/>
    <w:rsid w:val="005108C5"/>
    <w:rsid w:val="00510E39"/>
    <w:rsid w:val="00511238"/>
    <w:rsid w:val="0051151F"/>
    <w:rsid w:val="00511A03"/>
    <w:rsid w:val="00511F1E"/>
    <w:rsid w:val="00511FE8"/>
    <w:rsid w:val="005121B2"/>
    <w:rsid w:val="00513531"/>
    <w:rsid w:val="00513D49"/>
    <w:rsid w:val="00515150"/>
    <w:rsid w:val="0051716A"/>
    <w:rsid w:val="0051790A"/>
    <w:rsid w:val="00517AE4"/>
    <w:rsid w:val="00522D66"/>
    <w:rsid w:val="00522DC5"/>
    <w:rsid w:val="00524C3A"/>
    <w:rsid w:val="00524DBE"/>
    <w:rsid w:val="00526B25"/>
    <w:rsid w:val="005271F8"/>
    <w:rsid w:val="00527434"/>
    <w:rsid w:val="00531138"/>
    <w:rsid w:val="0053175C"/>
    <w:rsid w:val="00531A02"/>
    <w:rsid w:val="00532C4A"/>
    <w:rsid w:val="005332C9"/>
    <w:rsid w:val="00534FC1"/>
    <w:rsid w:val="00535C1E"/>
    <w:rsid w:val="00537037"/>
    <w:rsid w:val="00537135"/>
    <w:rsid w:val="005371BF"/>
    <w:rsid w:val="005377D0"/>
    <w:rsid w:val="00537A8A"/>
    <w:rsid w:val="00537E94"/>
    <w:rsid w:val="00541DBF"/>
    <w:rsid w:val="0054201D"/>
    <w:rsid w:val="0054249C"/>
    <w:rsid w:val="005429FE"/>
    <w:rsid w:val="00543A62"/>
    <w:rsid w:val="00543C8B"/>
    <w:rsid w:val="00544E05"/>
    <w:rsid w:val="00545AAB"/>
    <w:rsid w:val="005465B2"/>
    <w:rsid w:val="00546B57"/>
    <w:rsid w:val="0054704C"/>
    <w:rsid w:val="00547BFF"/>
    <w:rsid w:val="00547FE4"/>
    <w:rsid w:val="0055024C"/>
    <w:rsid w:val="005503FA"/>
    <w:rsid w:val="00550A40"/>
    <w:rsid w:val="00551C88"/>
    <w:rsid w:val="00552703"/>
    <w:rsid w:val="00552A73"/>
    <w:rsid w:val="00553D29"/>
    <w:rsid w:val="0055402F"/>
    <w:rsid w:val="00554ECA"/>
    <w:rsid w:val="00555CB7"/>
    <w:rsid w:val="00555F38"/>
    <w:rsid w:val="00556128"/>
    <w:rsid w:val="0055717A"/>
    <w:rsid w:val="0055740A"/>
    <w:rsid w:val="00557929"/>
    <w:rsid w:val="005620A2"/>
    <w:rsid w:val="0056241F"/>
    <w:rsid w:val="0056259B"/>
    <w:rsid w:val="00562A14"/>
    <w:rsid w:val="00562B1C"/>
    <w:rsid w:val="00562C12"/>
    <w:rsid w:val="00562D8A"/>
    <w:rsid w:val="00564438"/>
    <w:rsid w:val="00564636"/>
    <w:rsid w:val="00565655"/>
    <w:rsid w:val="00567A8D"/>
    <w:rsid w:val="00567C08"/>
    <w:rsid w:val="0057031E"/>
    <w:rsid w:val="005706AF"/>
    <w:rsid w:val="005710E1"/>
    <w:rsid w:val="00571E4C"/>
    <w:rsid w:val="00571E9A"/>
    <w:rsid w:val="00571EC0"/>
    <w:rsid w:val="00571F68"/>
    <w:rsid w:val="00573484"/>
    <w:rsid w:val="00574911"/>
    <w:rsid w:val="00575E37"/>
    <w:rsid w:val="00577AF6"/>
    <w:rsid w:val="005803CD"/>
    <w:rsid w:val="00580B79"/>
    <w:rsid w:val="005815A0"/>
    <w:rsid w:val="00581A44"/>
    <w:rsid w:val="00581E6D"/>
    <w:rsid w:val="00581ED1"/>
    <w:rsid w:val="00582113"/>
    <w:rsid w:val="0058298E"/>
    <w:rsid w:val="00583500"/>
    <w:rsid w:val="005838CC"/>
    <w:rsid w:val="00583DA0"/>
    <w:rsid w:val="005841C9"/>
    <w:rsid w:val="00584460"/>
    <w:rsid w:val="00585841"/>
    <w:rsid w:val="0058647E"/>
    <w:rsid w:val="00586DB4"/>
    <w:rsid w:val="0059194E"/>
    <w:rsid w:val="005928EA"/>
    <w:rsid w:val="00593942"/>
    <w:rsid w:val="00593CB1"/>
    <w:rsid w:val="005958F0"/>
    <w:rsid w:val="00595E68"/>
    <w:rsid w:val="005962D1"/>
    <w:rsid w:val="00597189"/>
    <w:rsid w:val="00597A6A"/>
    <w:rsid w:val="005A0DDC"/>
    <w:rsid w:val="005A171D"/>
    <w:rsid w:val="005A1BDE"/>
    <w:rsid w:val="005A2B64"/>
    <w:rsid w:val="005A41AC"/>
    <w:rsid w:val="005A4754"/>
    <w:rsid w:val="005A493F"/>
    <w:rsid w:val="005A4E33"/>
    <w:rsid w:val="005A5979"/>
    <w:rsid w:val="005A62A7"/>
    <w:rsid w:val="005A75AA"/>
    <w:rsid w:val="005B0837"/>
    <w:rsid w:val="005B12BF"/>
    <w:rsid w:val="005B1830"/>
    <w:rsid w:val="005B2347"/>
    <w:rsid w:val="005B3B0E"/>
    <w:rsid w:val="005B472E"/>
    <w:rsid w:val="005B47BF"/>
    <w:rsid w:val="005B5EF7"/>
    <w:rsid w:val="005B64A6"/>
    <w:rsid w:val="005B753A"/>
    <w:rsid w:val="005B7987"/>
    <w:rsid w:val="005B7B7B"/>
    <w:rsid w:val="005C03BA"/>
    <w:rsid w:val="005C15C6"/>
    <w:rsid w:val="005C2DAB"/>
    <w:rsid w:val="005C328D"/>
    <w:rsid w:val="005C3342"/>
    <w:rsid w:val="005C49B5"/>
    <w:rsid w:val="005C4F05"/>
    <w:rsid w:val="005C54F4"/>
    <w:rsid w:val="005C62EA"/>
    <w:rsid w:val="005C7988"/>
    <w:rsid w:val="005C7C68"/>
    <w:rsid w:val="005D0FFA"/>
    <w:rsid w:val="005D115D"/>
    <w:rsid w:val="005D304C"/>
    <w:rsid w:val="005D40B7"/>
    <w:rsid w:val="005D4373"/>
    <w:rsid w:val="005D45CD"/>
    <w:rsid w:val="005D5701"/>
    <w:rsid w:val="005D5C29"/>
    <w:rsid w:val="005D5EA0"/>
    <w:rsid w:val="005D60CC"/>
    <w:rsid w:val="005E12F2"/>
    <w:rsid w:val="005E2200"/>
    <w:rsid w:val="005E31C1"/>
    <w:rsid w:val="005E56B3"/>
    <w:rsid w:val="005E67C7"/>
    <w:rsid w:val="005E7C60"/>
    <w:rsid w:val="005F00FB"/>
    <w:rsid w:val="005F070D"/>
    <w:rsid w:val="005F221E"/>
    <w:rsid w:val="005F25E4"/>
    <w:rsid w:val="005F2DD5"/>
    <w:rsid w:val="005F2F69"/>
    <w:rsid w:val="005F35A5"/>
    <w:rsid w:val="005F5217"/>
    <w:rsid w:val="005F5E6F"/>
    <w:rsid w:val="005F5FE0"/>
    <w:rsid w:val="005F6F51"/>
    <w:rsid w:val="005F774F"/>
    <w:rsid w:val="005F7CD4"/>
    <w:rsid w:val="006001A6"/>
    <w:rsid w:val="0060055D"/>
    <w:rsid w:val="006021C9"/>
    <w:rsid w:val="00602605"/>
    <w:rsid w:val="00602AC8"/>
    <w:rsid w:val="00603078"/>
    <w:rsid w:val="00603647"/>
    <w:rsid w:val="006040AD"/>
    <w:rsid w:val="006043E1"/>
    <w:rsid w:val="00604988"/>
    <w:rsid w:val="006056F8"/>
    <w:rsid w:val="00605741"/>
    <w:rsid w:val="006062C1"/>
    <w:rsid w:val="00606375"/>
    <w:rsid w:val="00606F1E"/>
    <w:rsid w:val="00607107"/>
    <w:rsid w:val="00610A66"/>
    <w:rsid w:val="00610B3E"/>
    <w:rsid w:val="00611456"/>
    <w:rsid w:val="00611A55"/>
    <w:rsid w:val="00611C15"/>
    <w:rsid w:val="0061249D"/>
    <w:rsid w:val="00613B1A"/>
    <w:rsid w:val="00613FBB"/>
    <w:rsid w:val="00614711"/>
    <w:rsid w:val="00616941"/>
    <w:rsid w:val="00620C97"/>
    <w:rsid w:val="006221F3"/>
    <w:rsid w:val="006226C1"/>
    <w:rsid w:val="00624C32"/>
    <w:rsid w:val="00624EF7"/>
    <w:rsid w:val="006252EB"/>
    <w:rsid w:val="006254C0"/>
    <w:rsid w:val="00625A3E"/>
    <w:rsid w:val="00625B26"/>
    <w:rsid w:val="00626DDD"/>
    <w:rsid w:val="0062786B"/>
    <w:rsid w:val="00631C9C"/>
    <w:rsid w:val="00633507"/>
    <w:rsid w:val="0063471B"/>
    <w:rsid w:val="00634729"/>
    <w:rsid w:val="0063597C"/>
    <w:rsid w:val="006362AC"/>
    <w:rsid w:val="006372C0"/>
    <w:rsid w:val="00637B18"/>
    <w:rsid w:val="00640BDC"/>
    <w:rsid w:val="00640CBC"/>
    <w:rsid w:val="00642F7F"/>
    <w:rsid w:val="00643DD6"/>
    <w:rsid w:val="00643F0B"/>
    <w:rsid w:val="0064412E"/>
    <w:rsid w:val="00644361"/>
    <w:rsid w:val="00644513"/>
    <w:rsid w:val="006450CC"/>
    <w:rsid w:val="006452BC"/>
    <w:rsid w:val="00645ED4"/>
    <w:rsid w:val="006461AC"/>
    <w:rsid w:val="00646C8C"/>
    <w:rsid w:val="00646E51"/>
    <w:rsid w:val="00647956"/>
    <w:rsid w:val="006505EC"/>
    <w:rsid w:val="006507F8"/>
    <w:rsid w:val="00650AD5"/>
    <w:rsid w:val="00651211"/>
    <w:rsid w:val="006519F8"/>
    <w:rsid w:val="0065208E"/>
    <w:rsid w:val="00652162"/>
    <w:rsid w:val="00652AB4"/>
    <w:rsid w:val="00652D51"/>
    <w:rsid w:val="006531A8"/>
    <w:rsid w:val="006558EB"/>
    <w:rsid w:val="00656ADD"/>
    <w:rsid w:val="0066100F"/>
    <w:rsid w:val="0066196C"/>
    <w:rsid w:val="00661BC2"/>
    <w:rsid w:val="00662D65"/>
    <w:rsid w:val="006636B8"/>
    <w:rsid w:val="0066376C"/>
    <w:rsid w:val="00663782"/>
    <w:rsid w:val="006637C6"/>
    <w:rsid w:val="00665A7B"/>
    <w:rsid w:val="0066649A"/>
    <w:rsid w:val="00666921"/>
    <w:rsid w:val="00667212"/>
    <w:rsid w:val="006707A3"/>
    <w:rsid w:val="00670C53"/>
    <w:rsid w:val="00671A20"/>
    <w:rsid w:val="006722A5"/>
    <w:rsid w:val="00672338"/>
    <w:rsid w:val="00673872"/>
    <w:rsid w:val="00673C3B"/>
    <w:rsid w:val="00674970"/>
    <w:rsid w:val="00674CD2"/>
    <w:rsid w:val="006762F4"/>
    <w:rsid w:val="00676566"/>
    <w:rsid w:val="006766BE"/>
    <w:rsid w:val="00677024"/>
    <w:rsid w:val="006770BD"/>
    <w:rsid w:val="00677989"/>
    <w:rsid w:val="00677CAE"/>
    <w:rsid w:val="00680B83"/>
    <w:rsid w:val="00682466"/>
    <w:rsid w:val="0068261A"/>
    <w:rsid w:val="0068473E"/>
    <w:rsid w:val="00684B0E"/>
    <w:rsid w:val="00684B9A"/>
    <w:rsid w:val="00687403"/>
    <w:rsid w:val="0068795B"/>
    <w:rsid w:val="006902A4"/>
    <w:rsid w:val="006932DD"/>
    <w:rsid w:val="006949CE"/>
    <w:rsid w:val="00695F87"/>
    <w:rsid w:val="00696044"/>
    <w:rsid w:val="00697EE7"/>
    <w:rsid w:val="006A02B1"/>
    <w:rsid w:val="006A2297"/>
    <w:rsid w:val="006A2E94"/>
    <w:rsid w:val="006A3C99"/>
    <w:rsid w:val="006A41E4"/>
    <w:rsid w:val="006A42BF"/>
    <w:rsid w:val="006A45C3"/>
    <w:rsid w:val="006A5A00"/>
    <w:rsid w:val="006A616D"/>
    <w:rsid w:val="006A6ABB"/>
    <w:rsid w:val="006A71F5"/>
    <w:rsid w:val="006A74E0"/>
    <w:rsid w:val="006B087B"/>
    <w:rsid w:val="006B0B2B"/>
    <w:rsid w:val="006B141E"/>
    <w:rsid w:val="006B1702"/>
    <w:rsid w:val="006B19E6"/>
    <w:rsid w:val="006B1BDD"/>
    <w:rsid w:val="006B28F6"/>
    <w:rsid w:val="006B2E10"/>
    <w:rsid w:val="006B2F9B"/>
    <w:rsid w:val="006B306B"/>
    <w:rsid w:val="006B3C51"/>
    <w:rsid w:val="006B4829"/>
    <w:rsid w:val="006B4A55"/>
    <w:rsid w:val="006B54C7"/>
    <w:rsid w:val="006B5CD9"/>
    <w:rsid w:val="006B6AD1"/>
    <w:rsid w:val="006B70F2"/>
    <w:rsid w:val="006B723D"/>
    <w:rsid w:val="006C0A86"/>
    <w:rsid w:val="006C0AC1"/>
    <w:rsid w:val="006C10B9"/>
    <w:rsid w:val="006C25C4"/>
    <w:rsid w:val="006C2774"/>
    <w:rsid w:val="006C2914"/>
    <w:rsid w:val="006C2BB9"/>
    <w:rsid w:val="006C3943"/>
    <w:rsid w:val="006C4428"/>
    <w:rsid w:val="006C489F"/>
    <w:rsid w:val="006C5E26"/>
    <w:rsid w:val="006C676A"/>
    <w:rsid w:val="006C71D4"/>
    <w:rsid w:val="006C7295"/>
    <w:rsid w:val="006D01AF"/>
    <w:rsid w:val="006D04ED"/>
    <w:rsid w:val="006D11CC"/>
    <w:rsid w:val="006D3363"/>
    <w:rsid w:val="006D37C5"/>
    <w:rsid w:val="006D3AE4"/>
    <w:rsid w:val="006D58FF"/>
    <w:rsid w:val="006D5F32"/>
    <w:rsid w:val="006D7DB2"/>
    <w:rsid w:val="006D7E71"/>
    <w:rsid w:val="006E0252"/>
    <w:rsid w:val="006E0299"/>
    <w:rsid w:val="006E0E7D"/>
    <w:rsid w:val="006E1134"/>
    <w:rsid w:val="006E2A1F"/>
    <w:rsid w:val="006E2A71"/>
    <w:rsid w:val="006E2C36"/>
    <w:rsid w:val="006E4304"/>
    <w:rsid w:val="006E437A"/>
    <w:rsid w:val="006E4AD5"/>
    <w:rsid w:val="006E5346"/>
    <w:rsid w:val="006E553D"/>
    <w:rsid w:val="006E5730"/>
    <w:rsid w:val="006E6DC9"/>
    <w:rsid w:val="006E6EB9"/>
    <w:rsid w:val="006E7152"/>
    <w:rsid w:val="006F0920"/>
    <w:rsid w:val="006F0EF8"/>
    <w:rsid w:val="006F2C38"/>
    <w:rsid w:val="006F2ED7"/>
    <w:rsid w:val="006F2FDB"/>
    <w:rsid w:val="006F31A1"/>
    <w:rsid w:val="006F3E12"/>
    <w:rsid w:val="006F5012"/>
    <w:rsid w:val="006F6195"/>
    <w:rsid w:val="006F6E73"/>
    <w:rsid w:val="006F76AA"/>
    <w:rsid w:val="006F7E78"/>
    <w:rsid w:val="006F7FDA"/>
    <w:rsid w:val="00703052"/>
    <w:rsid w:val="007035E6"/>
    <w:rsid w:val="00703FC6"/>
    <w:rsid w:val="0070412E"/>
    <w:rsid w:val="007044AA"/>
    <w:rsid w:val="00705A71"/>
    <w:rsid w:val="0070656F"/>
    <w:rsid w:val="007070F6"/>
    <w:rsid w:val="00707901"/>
    <w:rsid w:val="00707E70"/>
    <w:rsid w:val="0071027B"/>
    <w:rsid w:val="00711EB7"/>
    <w:rsid w:val="00713209"/>
    <w:rsid w:val="0071341B"/>
    <w:rsid w:val="00713EB4"/>
    <w:rsid w:val="00714933"/>
    <w:rsid w:val="00714D72"/>
    <w:rsid w:val="00716FEC"/>
    <w:rsid w:val="00717BAE"/>
    <w:rsid w:val="00717C87"/>
    <w:rsid w:val="00720436"/>
    <w:rsid w:val="007213BC"/>
    <w:rsid w:val="00721998"/>
    <w:rsid w:val="00722DCE"/>
    <w:rsid w:val="007233BE"/>
    <w:rsid w:val="00723CE8"/>
    <w:rsid w:val="0072436A"/>
    <w:rsid w:val="0072502A"/>
    <w:rsid w:val="007250D4"/>
    <w:rsid w:val="0072529A"/>
    <w:rsid w:val="0072550C"/>
    <w:rsid w:val="007276EE"/>
    <w:rsid w:val="007277CB"/>
    <w:rsid w:val="00727FF7"/>
    <w:rsid w:val="007305E2"/>
    <w:rsid w:val="00730AF2"/>
    <w:rsid w:val="00730E23"/>
    <w:rsid w:val="007319FF"/>
    <w:rsid w:val="00732BFA"/>
    <w:rsid w:val="00732E82"/>
    <w:rsid w:val="007334C9"/>
    <w:rsid w:val="00733F1E"/>
    <w:rsid w:val="0073531B"/>
    <w:rsid w:val="007359BE"/>
    <w:rsid w:val="00735DF6"/>
    <w:rsid w:val="00735EF7"/>
    <w:rsid w:val="007374D1"/>
    <w:rsid w:val="00737636"/>
    <w:rsid w:val="007406D8"/>
    <w:rsid w:val="00740B96"/>
    <w:rsid w:val="007419CD"/>
    <w:rsid w:val="00742951"/>
    <w:rsid w:val="00742C06"/>
    <w:rsid w:val="00745DFA"/>
    <w:rsid w:val="00746BAC"/>
    <w:rsid w:val="00747CFC"/>
    <w:rsid w:val="00753387"/>
    <w:rsid w:val="007538D1"/>
    <w:rsid w:val="00753AB3"/>
    <w:rsid w:val="00756117"/>
    <w:rsid w:val="00756E62"/>
    <w:rsid w:val="00757797"/>
    <w:rsid w:val="00760D8D"/>
    <w:rsid w:val="00762EF9"/>
    <w:rsid w:val="00763886"/>
    <w:rsid w:val="00764DAC"/>
    <w:rsid w:val="007656A5"/>
    <w:rsid w:val="00766FCD"/>
    <w:rsid w:val="00767FC6"/>
    <w:rsid w:val="007711DF"/>
    <w:rsid w:val="0077240C"/>
    <w:rsid w:val="007727D9"/>
    <w:rsid w:val="007730D2"/>
    <w:rsid w:val="007731F4"/>
    <w:rsid w:val="007732D2"/>
    <w:rsid w:val="00773909"/>
    <w:rsid w:val="007743F9"/>
    <w:rsid w:val="00774E05"/>
    <w:rsid w:val="0077579E"/>
    <w:rsid w:val="00775F6F"/>
    <w:rsid w:val="0077611D"/>
    <w:rsid w:val="00776ABC"/>
    <w:rsid w:val="00776CFC"/>
    <w:rsid w:val="00777314"/>
    <w:rsid w:val="00777D95"/>
    <w:rsid w:val="00781223"/>
    <w:rsid w:val="00781CB5"/>
    <w:rsid w:val="00781D33"/>
    <w:rsid w:val="007822F3"/>
    <w:rsid w:val="00782D63"/>
    <w:rsid w:val="0078441D"/>
    <w:rsid w:val="007846CF"/>
    <w:rsid w:val="007848F6"/>
    <w:rsid w:val="007849CF"/>
    <w:rsid w:val="00784F4C"/>
    <w:rsid w:val="0078632C"/>
    <w:rsid w:val="00786807"/>
    <w:rsid w:val="00787753"/>
    <w:rsid w:val="00790A4E"/>
    <w:rsid w:val="007910BA"/>
    <w:rsid w:val="007912E6"/>
    <w:rsid w:val="00791427"/>
    <w:rsid w:val="00791525"/>
    <w:rsid w:val="007916E4"/>
    <w:rsid w:val="00791736"/>
    <w:rsid w:val="00791BD1"/>
    <w:rsid w:val="00791EDA"/>
    <w:rsid w:val="007921DB"/>
    <w:rsid w:val="007923A4"/>
    <w:rsid w:val="00792611"/>
    <w:rsid w:val="00792E8C"/>
    <w:rsid w:val="00793917"/>
    <w:rsid w:val="00793D2C"/>
    <w:rsid w:val="00794BC6"/>
    <w:rsid w:val="00795BCA"/>
    <w:rsid w:val="00796487"/>
    <w:rsid w:val="00797011"/>
    <w:rsid w:val="0079799E"/>
    <w:rsid w:val="007A01A0"/>
    <w:rsid w:val="007A08AF"/>
    <w:rsid w:val="007A166C"/>
    <w:rsid w:val="007A22DC"/>
    <w:rsid w:val="007A3749"/>
    <w:rsid w:val="007A428C"/>
    <w:rsid w:val="007A4A07"/>
    <w:rsid w:val="007A5006"/>
    <w:rsid w:val="007A542A"/>
    <w:rsid w:val="007A5E29"/>
    <w:rsid w:val="007A6911"/>
    <w:rsid w:val="007A69E5"/>
    <w:rsid w:val="007A6E4F"/>
    <w:rsid w:val="007A6FEB"/>
    <w:rsid w:val="007B11C8"/>
    <w:rsid w:val="007B157E"/>
    <w:rsid w:val="007B185F"/>
    <w:rsid w:val="007B1A91"/>
    <w:rsid w:val="007B2D98"/>
    <w:rsid w:val="007B3684"/>
    <w:rsid w:val="007B3CEF"/>
    <w:rsid w:val="007B3E4F"/>
    <w:rsid w:val="007B4094"/>
    <w:rsid w:val="007B5CBA"/>
    <w:rsid w:val="007B6264"/>
    <w:rsid w:val="007B6CE8"/>
    <w:rsid w:val="007C0277"/>
    <w:rsid w:val="007C1AFF"/>
    <w:rsid w:val="007C24D5"/>
    <w:rsid w:val="007C2508"/>
    <w:rsid w:val="007C299F"/>
    <w:rsid w:val="007C2D5B"/>
    <w:rsid w:val="007C4191"/>
    <w:rsid w:val="007C48F2"/>
    <w:rsid w:val="007C4E69"/>
    <w:rsid w:val="007C57CA"/>
    <w:rsid w:val="007C64FB"/>
    <w:rsid w:val="007C6DCC"/>
    <w:rsid w:val="007C7DE0"/>
    <w:rsid w:val="007C7F93"/>
    <w:rsid w:val="007D00E7"/>
    <w:rsid w:val="007D030C"/>
    <w:rsid w:val="007D0E97"/>
    <w:rsid w:val="007D0F0F"/>
    <w:rsid w:val="007D1256"/>
    <w:rsid w:val="007D1534"/>
    <w:rsid w:val="007D197E"/>
    <w:rsid w:val="007D1E00"/>
    <w:rsid w:val="007D2631"/>
    <w:rsid w:val="007D2C68"/>
    <w:rsid w:val="007D300D"/>
    <w:rsid w:val="007D31AF"/>
    <w:rsid w:val="007D3921"/>
    <w:rsid w:val="007D421B"/>
    <w:rsid w:val="007D422F"/>
    <w:rsid w:val="007D4503"/>
    <w:rsid w:val="007D4E30"/>
    <w:rsid w:val="007D544B"/>
    <w:rsid w:val="007D55AC"/>
    <w:rsid w:val="007D5E92"/>
    <w:rsid w:val="007D619C"/>
    <w:rsid w:val="007D6C4D"/>
    <w:rsid w:val="007D7F4A"/>
    <w:rsid w:val="007E0668"/>
    <w:rsid w:val="007E0869"/>
    <w:rsid w:val="007E1798"/>
    <w:rsid w:val="007E1C00"/>
    <w:rsid w:val="007E2A3C"/>
    <w:rsid w:val="007E3323"/>
    <w:rsid w:val="007E7B4D"/>
    <w:rsid w:val="007F0563"/>
    <w:rsid w:val="007F0E95"/>
    <w:rsid w:val="007F1899"/>
    <w:rsid w:val="007F1A7A"/>
    <w:rsid w:val="007F2008"/>
    <w:rsid w:val="007F22A0"/>
    <w:rsid w:val="007F25C4"/>
    <w:rsid w:val="007F2709"/>
    <w:rsid w:val="007F2A62"/>
    <w:rsid w:val="007F2BE7"/>
    <w:rsid w:val="007F38FC"/>
    <w:rsid w:val="007F4916"/>
    <w:rsid w:val="007F4B60"/>
    <w:rsid w:val="007F4FC2"/>
    <w:rsid w:val="007F5546"/>
    <w:rsid w:val="007F66C5"/>
    <w:rsid w:val="007F6819"/>
    <w:rsid w:val="007F7326"/>
    <w:rsid w:val="007F7D24"/>
    <w:rsid w:val="00800435"/>
    <w:rsid w:val="00801657"/>
    <w:rsid w:val="00801771"/>
    <w:rsid w:val="00801BF7"/>
    <w:rsid w:val="00801EF0"/>
    <w:rsid w:val="00803ED0"/>
    <w:rsid w:val="00805032"/>
    <w:rsid w:val="00805500"/>
    <w:rsid w:val="008063C4"/>
    <w:rsid w:val="0080665D"/>
    <w:rsid w:val="00806DFE"/>
    <w:rsid w:val="00807079"/>
    <w:rsid w:val="0080794E"/>
    <w:rsid w:val="00807A4D"/>
    <w:rsid w:val="00811F33"/>
    <w:rsid w:val="00812619"/>
    <w:rsid w:val="0081287F"/>
    <w:rsid w:val="00812E89"/>
    <w:rsid w:val="008132A5"/>
    <w:rsid w:val="0081343E"/>
    <w:rsid w:val="00813512"/>
    <w:rsid w:val="008148DC"/>
    <w:rsid w:val="00815143"/>
    <w:rsid w:val="00817D87"/>
    <w:rsid w:val="00820612"/>
    <w:rsid w:val="0082096C"/>
    <w:rsid w:val="008218CE"/>
    <w:rsid w:val="0082289F"/>
    <w:rsid w:val="00822F59"/>
    <w:rsid w:val="00823538"/>
    <w:rsid w:val="008239C8"/>
    <w:rsid w:val="00823DDB"/>
    <w:rsid w:val="008241FB"/>
    <w:rsid w:val="008243FB"/>
    <w:rsid w:val="00824D05"/>
    <w:rsid w:val="008253DC"/>
    <w:rsid w:val="008254AA"/>
    <w:rsid w:val="008255F9"/>
    <w:rsid w:val="0082606F"/>
    <w:rsid w:val="00827C07"/>
    <w:rsid w:val="00827C70"/>
    <w:rsid w:val="00831720"/>
    <w:rsid w:val="00831889"/>
    <w:rsid w:val="00831AB0"/>
    <w:rsid w:val="00831BC4"/>
    <w:rsid w:val="008326E7"/>
    <w:rsid w:val="00832D93"/>
    <w:rsid w:val="00833E83"/>
    <w:rsid w:val="00834CBA"/>
    <w:rsid w:val="00835038"/>
    <w:rsid w:val="00835450"/>
    <w:rsid w:val="00835EA2"/>
    <w:rsid w:val="00836993"/>
    <w:rsid w:val="00841022"/>
    <w:rsid w:val="00843428"/>
    <w:rsid w:val="008449DC"/>
    <w:rsid w:val="0084562B"/>
    <w:rsid w:val="00845C1A"/>
    <w:rsid w:val="00846568"/>
    <w:rsid w:val="00846982"/>
    <w:rsid w:val="0085046C"/>
    <w:rsid w:val="00850AD7"/>
    <w:rsid w:val="0085102A"/>
    <w:rsid w:val="008510B5"/>
    <w:rsid w:val="00851187"/>
    <w:rsid w:val="00851A96"/>
    <w:rsid w:val="00852036"/>
    <w:rsid w:val="00853225"/>
    <w:rsid w:val="00853A5D"/>
    <w:rsid w:val="0085486D"/>
    <w:rsid w:val="00854CEA"/>
    <w:rsid w:val="008560A2"/>
    <w:rsid w:val="00856740"/>
    <w:rsid w:val="00856940"/>
    <w:rsid w:val="00856F05"/>
    <w:rsid w:val="008579A3"/>
    <w:rsid w:val="008601BB"/>
    <w:rsid w:val="008604EB"/>
    <w:rsid w:val="0086072E"/>
    <w:rsid w:val="0086095E"/>
    <w:rsid w:val="008613FD"/>
    <w:rsid w:val="008615A3"/>
    <w:rsid w:val="008625E3"/>
    <w:rsid w:val="00862B32"/>
    <w:rsid w:val="00862CED"/>
    <w:rsid w:val="00863D76"/>
    <w:rsid w:val="00864BBD"/>
    <w:rsid w:val="00864FFE"/>
    <w:rsid w:val="008657A5"/>
    <w:rsid w:val="00865CEE"/>
    <w:rsid w:val="00866022"/>
    <w:rsid w:val="008665CF"/>
    <w:rsid w:val="00870E7A"/>
    <w:rsid w:val="00870EAC"/>
    <w:rsid w:val="00871A75"/>
    <w:rsid w:val="00871F2A"/>
    <w:rsid w:val="008750E3"/>
    <w:rsid w:val="0087581C"/>
    <w:rsid w:val="00875949"/>
    <w:rsid w:val="00875B8C"/>
    <w:rsid w:val="00875F2A"/>
    <w:rsid w:val="00876EA5"/>
    <w:rsid w:val="00877907"/>
    <w:rsid w:val="00881159"/>
    <w:rsid w:val="008818B2"/>
    <w:rsid w:val="00881E5F"/>
    <w:rsid w:val="008821EF"/>
    <w:rsid w:val="00882A92"/>
    <w:rsid w:val="0088352F"/>
    <w:rsid w:val="0088390B"/>
    <w:rsid w:val="0088401F"/>
    <w:rsid w:val="00885172"/>
    <w:rsid w:val="00885316"/>
    <w:rsid w:val="0088538C"/>
    <w:rsid w:val="008862AB"/>
    <w:rsid w:val="0088635E"/>
    <w:rsid w:val="008868CA"/>
    <w:rsid w:val="00887581"/>
    <w:rsid w:val="008876C0"/>
    <w:rsid w:val="0089016E"/>
    <w:rsid w:val="0089092A"/>
    <w:rsid w:val="0089124C"/>
    <w:rsid w:val="00893D0B"/>
    <w:rsid w:val="008941A7"/>
    <w:rsid w:val="00894663"/>
    <w:rsid w:val="0089491D"/>
    <w:rsid w:val="00895EA5"/>
    <w:rsid w:val="008966E1"/>
    <w:rsid w:val="00896FC1"/>
    <w:rsid w:val="00897909"/>
    <w:rsid w:val="008A1400"/>
    <w:rsid w:val="008A1748"/>
    <w:rsid w:val="008A1A7C"/>
    <w:rsid w:val="008A21D2"/>
    <w:rsid w:val="008A2483"/>
    <w:rsid w:val="008A267E"/>
    <w:rsid w:val="008A26EC"/>
    <w:rsid w:val="008A2D99"/>
    <w:rsid w:val="008A3944"/>
    <w:rsid w:val="008A412A"/>
    <w:rsid w:val="008A4245"/>
    <w:rsid w:val="008A439C"/>
    <w:rsid w:val="008A4842"/>
    <w:rsid w:val="008A4866"/>
    <w:rsid w:val="008A5D8E"/>
    <w:rsid w:val="008A66C6"/>
    <w:rsid w:val="008A6833"/>
    <w:rsid w:val="008A6B1D"/>
    <w:rsid w:val="008A6EA6"/>
    <w:rsid w:val="008A7A0F"/>
    <w:rsid w:val="008B0E60"/>
    <w:rsid w:val="008B0F5C"/>
    <w:rsid w:val="008B0F6F"/>
    <w:rsid w:val="008B2739"/>
    <w:rsid w:val="008B2DF6"/>
    <w:rsid w:val="008B2E01"/>
    <w:rsid w:val="008B36EF"/>
    <w:rsid w:val="008B4E93"/>
    <w:rsid w:val="008B5ABD"/>
    <w:rsid w:val="008B7405"/>
    <w:rsid w:val="008C062B"/>
    <w:rsid w:val="008C0748"/>
    <w:rsid w:val="008C1838"/>
    <w:rsid w:val="008C2756"/>
    <w:rsid w:val="008C2DEF"/>
    <w:rsid w:val="008C32E2"/>
    <w:rsid w:val="008C39D2"/>
    <w:rsid w:val="008C3F49"/>
    <w:rsid w:val="008C49C5"/>
    <w:rsid w:val="008C5568"/>
    <w:rsid w:val="008C5EB7"/>
    <w:rsid w:val="008C638F"/>
    <w:rsid w:val="008C778B"/>
    <w:rsid w:val="008C7D53"/>
    <w:rsid w:val="008D02BB"/>
    <w:rsid w:val="008D03CB"/>
    <w:rsid w:val="008D0C5C"/>
    <w:rsid w:val="008D124E"/>
    <w:rsid w:val="008D1343"/>
    <w:rsid w:val="008D1794"/>
    <w:rsid w:val="008D1DEA"/>
    <w:rsid w:val="008D1E82"/>
    <w:rsid w:val="008D3FC4"/>
    <w:rsid w:val="008D4B9F"/>
    <w:rsid w:val="008D4C21"/>
    <w:rsid w:val="008D5593"/>
    <w:rsid w:val="008D57CC"/>
    <w:rsid w:val="008D64F8"/>
    <w:rsid w:val="008D6A40"/>
    <w:rsid w:val="008D716F"/>
    <w:rsid w:val="008D7671"/>
    <w:rsid w:val="008E0713"/>
    <w:rsid w:val="008E0C4D"/>
    <w:rsid w:val="008E1077"/>
    <w:rsid w:val="008E121C"/>
    <w:rsid w:val="008E12B8"/>
    <w:rsid w:val="008E21C3"/>
    <w:rsid w:val="008E3A6C"/>
    <w:rsid w:val="008E43EC"/>
    <w:rsid w:val="008E4FA8"/>
    <w:rsid w:val="008E60DA"/>
    <w:rsid w:val="008E66B3"/>
    <w:rsid w:val="008E66E7"/>
    <w:rsid w:val="008E71BA"/>
    <w:rsid w:val="008E7244"/>
    <w:rsid w:val="008F00DE"/>
    <w:rsid w:val="008F069E"/>
    <w:rsid w:val="008F1AE7"/>
    <w:rsid w:val="008F22D5"/>
    <w:rsid w:val="008F2F2C"/>
    <w:rsid w:val="008F42BE"/>
    <w:rsid w:val="008F43B8"/>
    <w:rsid w:val="008F46B5"/>
    <w:rsid w:val="008F56F0"/>
    <w:rsid w:val="008F5B89"/>
    <w:rsid w:val="008F79CE"/>
    <w:rsid w:val="008F7A21"/>
    <w:rsid w:val="00900AD2"/>
    <w:rsid w:val="00900D88"/>
    <w:rsid w:val="00901390"/>
    <w:rsid w:val="00901563"/>
    <w:rsid w:val="00901EBD"/>
    <w:rsid w:val="00902A09"/>
    <w:rsid w:val="0090353D"/>
    <w:rsid w:val="0090389E"/>
    <w:rsid w:val="009041A6"/>
    <w:rsid w:val="00905037"/>
    <w:rsid w:val="00905730"/>
    <w:rsid w:val="00905EF4"/>
    <w:rsid w:val="0090684D"/>
    <w:rsid w:val="00906A93"/>
    <w:rsid w:val="0090753B"/>
    <w:rsid w:val="009076D7"/>
    <w:rsid w:val="009107B6"/>
    <w:rsid w:val="00911AFF"/>
    <w:rsid w:val="009149D4"/>
    <w:rsid w:val="00914BA8"/>
    <w:rsid w:val="00915195"/>
    <w:rsid w:val="009154F9"/>
    <w:rsid w:val="009165F8"/>
    <w:rsid w:val="00916949"/>
    <w:rsid w:val="00917AAE"/>
    <w:rsid w:val="0092001F"/>
    <w:rsid w:val="00920D79"/>
    <w:rsid w:val="00921AF0"/>
    <w:rsid w:val="00922273"/>
    <w:rsid w:val="009228B5"/>
    <w:rsid w:val="009228EB"/>
    <w:rsid w:val="009258F5"/>
    <w:rsid w:val="00925D6F"/>
    <w:rsid w:val="00926D63"/>
    <w:rsid w:val="00927695"/>
    <w:rsid w:val="0092771E"/>
    <w:rsid w:val="009278C3"/>
    <w:rsid w:val="00930007"/>
    <w:rsid w:val="00930458"/>
    <w:rsid w:val="00930E6B"/>
    <w:rsid w:val="00931220"/>
    <w:rsid w:val="009316E2"/>
    <w:rsid w:val="00931DA4"/>
    <w:rsid w:val="00931F07"/>
    <w:rsid w:val="009322F8"/>
    <w:rsid w:val="00932ACB"/>
    <w:rsid w:val="00932B68"/>
    <w:rsid w:val="00933BF2"/>
    <w:rsid w:val="009358D2"/>
    <w:rsid w:val="009359CE"/>
    <w:rsid w:val="009359D8"/>
    <w:rsid w:val="009361D0"/>
    <w:rsid w:val="0093637C"/>
    <w:rsid w:val="009371F1"/>
    <w:rsid w:val="0093781F"/>
    <w:rsid w:val="009400A5"/>
    <w:rsid w:val="009402CC"/>
    <w:rsid w:val="009403A6"/>
    <w:rsid w:val="009407A4"/>
    <w:rsid w:val="00940A50"/>
    <w:rsid w:val="00942D56"/>
    <w:rsid w:val="009435F2"/>
    <w:rsid w:val="00943A77"/>
    <w:rsid w:val="00943DA1"/>
    <w:rsid w:val="00943DFD"/>
    <w:rsid w:val="00943EA1"/>
    <w:rsid w:val="00944262"/>
    <w:rsid w:val="009449D8"/>
    <w:rsid w:val="00944AB1"/>
    <w:rsid w:val="0094528D"/>
    <w:rsid w:val="0094697B"/>
    <w:rsid w:val="00946C71"/>
    <w:rsid w:val="00946F3D"/>
    <w:rsid w:val="00950856"/>
    <w:rsid w:val="009522B2"/>
    <w:rsid w:val="00952495"/>
    <w:rsid w:val="00952729"/>
    <w:rsid w:val="00952B1A"/>
    <w:rsid w:val="00953190"/>
    <w:rsid w:val="009552DC"/>
    <w:rsid w:val="00956064"/>
    <w:rsid w:val="009606D4"/>
    <w:rsid w:val="00961655"/>
    <w:rsid w:val="009616E1"/>
    <w:rsid w:val="0096256F"/>
    <w:rsid w:val="009639BA"/>
    <w:rsid w:val="00963AA8"/>
    <w:rsid w:val="00963B88"/>
    <w:rsid w:val="00964348"/>
    <w:rsid w:val="0096475F"/>
    <w:rsid w:val="00965AE5"/>
    <w:rsid w:val="00966E87"/>
    <w:rsid w:val="00966F02"/>
    <w:rsid w:val="00967059"/>
    <w:rsid w:val="009677A7"/>
    <w:rsid w:val="0097048B"/>
    <w:rsid w:val="009706D9"/>
    <w:rsid w:val="009719CC"/>
    <w:rsid w:val="00971FA5"/>
    <w:rsid w:val="00972EA5"/>
    <w:rsid w:val="009755A5"/>
    <w:rsid w:val="00975922"/>
    <w:rsid w:val="00975E21"/>
    <w:rsid w:val="009762D4"/>
    <w:rsid w:val="0097774B"/>
    <w:rsid w:val="009777E3"/>
    <w:rsid w:val="009811EB"/>
    <w:rsid w:val="0098191F"/>
    <w:rsid w:val="0098285E"/>
    <w:rsid w:val="00982F8B"/>
    <w:rsid w:val="0098308A"/>
    <w:rsid w:val="009843DC"/>
    <w:rsid w:val="009844E3"/>
    <w:rsid w:val="00984F2A"/>
    <w:rsid w:val="00985A31"/>
    <w:rsid w:val="009875DC"/>
    <w:rsid w:val="0098761D"/>
    <w:rsid w:val="009877AF"/>
    <w:rsid w:val="00987BF4"/>
    <w:rsid w:val="00990132"/>
    <w:rsid w:val="0099062F"/>
    <w:rsid w:val="00990B30"/>
    <w:rsid w:val="0099117E"/>
    <w:rsid w:val="009919D3"/>
    <w:rsid w:val="00992690"/>
    <w:rsid w:val="00992A72"/>
    <w:rsid w:val="00992B2A"/>
    <w:rsid w:val="00992F40"/>
    <w:rsid w:val="00994B60"/>
    <w:rsid w:val="00995007"/>
    <w:rsid w:val="009952F7"/>
    <w:rsid w:val="00995FDF"/>
    <w:rsid w:val="009960CE"/>
    <w:rsid w:val="00996FAE"/>
    <w:rsid w:val="009A2A22"/>
    <w:rsid w:val="009A48E2"/>
    <w:rsid w:val="009A5087"/>
    <w:rsid w:val="009A70F7"/>
    <w:rsid w:val="009A72AA"/>
    <w:rsid w:val="009A78F3"/>
    <w:rsid w:val="009B0EE0"/>
    <w:rsid w:val="009B25FA"/>
    <w:rsid w:val="009B3815"/>
    <w:rsid w:val="009B5B29"/>
    <w:rsid w:val="009B68A7"/>
    <w:rsid w:val="009B6B32"/>
    <w:rsid w:val="009C000A"/>
    <w:rsid w:val="009C0434"/>
    <w:rsid w:val="009C1106"/>
    <w:rsid w:val="009C134A"/>
    <w:rsid w:val="009C474A"/>
    <w:rsid w:val="009C5AB4"/>
    <w:rsid w:val="009C5E03"/>
    <w:rsid w:val="009C6249"/>
    <w:rsid w:val="009C6B97"/>
    <w:rsid w:val="009C7BEF"/>
    <w:rsid w:val="009C7F2C"/>
    <w:rsid w:val="009C7F74"/>
    <w:rsid w:val="009D05FC"/>
    <w:rsid w:val="009D0B92"/>
    <w:rsid w:val="009D0D1E"/>
    <w:rsid w:val="009D2269"/>
    <w:rsid w:val="009D2820"/>
    <w:rsid w:val="009D2D27"/>
    <w:rsid w:val="009D2E47"/>
    <w:rsid w:val="009D47E2"/>
    <w:rsid w:val="009D4BD3"/>
    <w:rsid w:val="009D5056"/>
    <w:rsid w:val="009D59A8"/>
    <w:rsid w:val="009D5A0F"/>
    <w:rsid w:val="009D646A"/>
    <w:rsid w:val="009D6626"/>
    <w:rsid w:val="009D6692"/>
    <w:rsid w:val="009D7455"/>
    <w:rsid w:val="009E0858"/>
    <w:rsid w:val="009E131B"/>
    <w:rsid w:val="009E1763"/>
    <w:rsid w:val="009E1C65"/>
    <w:rsid w:val="009E1FAD"/>
    <w:rsid w:val="009E2D75"/>
    <w:rsid w:val="009E3184"/>
    <w:rsid w:val="009E3F04"/>
    <w:rsid w:val="009E47A1"/>
    <w:rsid w:val="009E4CAD"/>
    <w:rsid w:val="009E4F52"/>
    <w:rsid w:val="009E52C3"/>
    <w:rsid w:val="009E561C"/>
    <w:rsid w:val="009E633A"/>
    <w:rsid w:val="009E7EF7"/>
    <w:rsid w:val="009F00C8"/>
    <w:rsid w:val="009F1A7B"/>
    <w:rsid w:val="009F365A"/>
    <w:rsid w:val="009F42D6"/>
    <w:rsid w:val="009F4B95"/>
    <w:rsid w:val="009F4E29"/>
    <w:rsid w:val="009F5295"/>
    <w:rsid w:val="009F5F13"/>
    <w:rsid w:val="009F63F6"/>
    <w:rsid w:val="009F6C7F"/>
    <w:rsid w:val="009F7881"/>
    <w:rsid w:val="009F78CE"/>
    <w:rsid w:val="009F7CE1"/>
    <w:rsid w:val="009F7FE8"/>
    <w:rsid w:val="00A01BE2"/>
    <w:rsid w:val="00A027B0"/>
    <w:rsid w:val="00A02B55"/>
    <w:rsid w:val="00A0343A"/>
    <w:rsid w:val="00A03975"/>
    <w:rsid w:val="00A03A7B"/>
    <w:rsid w:val="00A04461"/>
    <w:rsid w:val="00A06038"/>
    <w:rsid w:val="00A06545"/>
    <w:rsid w:val="00A070D9"/>
    <w:rsid w:val="00A11C8C"/>
    <w:rsid w:val="00A11CFF"/>
    <w:rsid w:val="00A11D9E"/>
    <w:rsid w:val="00A141CC"/>
    <w:rsid w:val="00A143F6"/>
    <w:rsid w:val="00A1475F"/>
    <w:rsid w:val="00A15256"/>
    <w:rsid w:val="00A15B1A"/>
    <w:rsid w:val="00A15E00"/>
    <w:rsid w:val="00A16D36"/>
    <w:rsid w:val="00A170C2"/>
    <w:rsid w:val="00A20D44"/>
    <w:rsid w:val="00A219DB"/>
    <w:rsid w:val="00A22B5A"/>
    <w:rsid w:val="00A22EDE"/>
    <w:rsid w:val="00A22F21"/>
    <w:rsid w:val="00A247E9"/>
    <w:rsid w:val="00A24BE2"/>
    <w:rsid w:val="00A24C31"/>
    <w:rsid w:val="00A2647F"/>
    <w:rsid w:val="00A27A72"/>
    <w:rsid w:val="00A30583"/>
    <w:rsid w:val="00A30EFE"/>
    <w:rsid w:val="00A31A7C"/>
    <w:rsid w:val="00A31AE7"/>
    <w:rsid w:val="00A31BB9"/>
    <w:rsid w:val="00A31C5C"/>
    <w:rsid w:val="00A31F85"/>
    <w:rsid w:val="00A32B9B"/>
    <w:rsid w:val="00A32DF8"/>
    <w:rsid w:val="00A33834"/>
    <w:rsid w:val="00A33FBE"/>
    <w:rsid w:val="00A34576"/>
    <w:rsid w:val="00A35286"/>
    <w:rsid w:val="00A35356"/>
    <w:rsid w:val="00A35ED6"/>
    <w:rsid w:val="00A36B3A"/>
    <w:rsid w:val="00A37446"/>
    <w:rsid w:val="00A37475"/>
    <w:rsid w:val="00A4033A"/>
    <w:rsid w:val="00A409B3"/>
    <w:rsid w:val="00A413DC"/>
    <w:rsid w:val="00A41783"/>
    <w:rsid w:val="00A42422"/>
    <w:rsid w:val="00A44AB0"/>
    <w:rsid w:val="00A4505A"/>
    <w:rsid w:val="00A455DF"/>
    <w:rsid w:val="00A45C3D"/>
    <w:rsid w:val="00A45C6B"/>
    <w:rsid w:val="00A46311"/>
    <w:rsid w:val="00A5044E"/>
    <w:rsid w:val="00A5067B"/>
    <w:rsid w:val="00A510B1"/>
    <w:rsid w:val="00A511A1"/>
    <w:rsid w:val="00A528B1"/>
    <w:rsid w:val="00A534C9"/>
    <w:rsid w:val="00A534DA"/>
    <w:rsid w:val="00A53A3C"/>
    <w:rsid w:val="00A540AD"/>
    <w:rsid w:val="00A544F5"/>
    <w:rsid w:val="00A546D8"/>
    <w:rsid w:val="00A5471B"/>
    <w:rsid w:val="00A54BDF"/>
    <w:rsid w:val="00A55E2D"/>
    <w:rsid w:val="00A565AE"/>
    <w:rsid w:val="00A57DF8"/>
    <w:rsid w:val="00A60081"/>
    <w:rsid w:val="00A6032A"/>
    <w:rsid w:val="00A612F0"/>
    <w:rsid w:val="00A61B34"/>
    <w:rsid w:val="00A62000"/>
    <w:rsid w:val="00A624E0"/>
    <w:rsid w:val="00A62E73"/>
    <w:rsid w:val="00A64230"/>
    <w:rsid w:val="00A64317"/>
    <w:rsid w:val="00A645ED"/>
    <w:rsid w:val="00A65271"/>
    <w:rsid w:val="00A66552"/>
    <w:rsid w:val="00A66CCA"/>
    <w:rsid w:val="00A6732B"/>
    <w:rsid w:val="00A6736E"/>
    <w:rsid w:val="00A67527"/>
    <w:rsid w:val="00A70448"/>
    <w:rsid w:val="00A71503"/>
    <w:rsid w:val="00A72029"/>
    <w:rsid w:val="00A72BA1"/>
    <w:rsid w:val="00A73D9C"/>
    <w:rsid w:val="00A754F9"/>
    <w:rsid w:val="00A75EEE"/>
    <w:rsid w:val="00A765AB"/>
    <w:rsid w:val="00A7698B"/>
    <w:rsid w:val="00A7716A"/>
    <w:rsid w:val="00A7721F"/>
    <w:rsid w:val="00A809DB"/>
    <w:rsid w:val="00A80DA5"/>
    <w:rsid w:val="00A81492"/>
    <w:rsid w:val="00A819E8"/>
    <w:rsid w:val="00A8307B"/>
    <w:rsid w:val="00A832D4"/>
    <w:rsid w:val="00A83D14"/>
    <w:rsid w:val="00A83F57"/>
    <w:rsid w:val="00A84482"/>
    <w:rsid w:val="00A85661"/>
    <w:rsid w:val="00A85AB5"/>
    <w:rsid w:val="00A8658F"/>
    <w:rsid w:val="00A907B8"/>
    <w:rsid w:val="00A90E81"/>
    <w:rsid w:val="00A90FFF"/>
    <w:rsid w:val="00A910E6"/>
    <w:rsid w:val="00A919C2"/>
    <w:rsid w:val="00A924D9"/>
    <w:rsid w:val="00A927D3"/>
    <w:rsid w:val="00A92BF8"/>
    <w:rsid w:val="00A932F6"/>
    <w:rsid w:val="00A93DBE"/>
    <w:rsid w:val="00A94052"/>
    <w:rsid w:val="00A9456D"/>
    <w:rsid w:val="00A975A4"/>
    <w:rsid w:val="00AA01FF"/>
    <w:rsid w:val="00AA0C72"/>
    <w:rsid w:val="00AA0F00"/>
    <w:rsid w:val="00AA0F2D"/>
    <w:rsid w:val="00AA13E1"/>
    <w:rsid w:val="00AA1739"/>
    <w:rsid w:val="00AA27DA"/>
    <w:rsid w:val="00AA47F1"/>
    <w:rsid w:val="00AA4B33"/>
    <w:rsid w:val="00AA6DCD"/>
    <w:rsid w:val="00AA6E05"/>
    <w:rsid w:val="00AA7616"/>
    <w:rsid w:val="00AA7BCD"/>
    <w:rsid w:val="00AB017F"/>
    <w:rsid w:val="00AB06A3"/>
    <w:rsid w:val="00AB1550"/>
    <w:rsid w:val="00AB2AC2"/>
    <w:rsid w:val="00AB481D"/>
    <w:rsid w:val="00AB4FA6"/>
    <w:rsid w:val="00AB5BF5"/>
    <w:rsid w:val="00AB6522"/>
    <w:rsid w:val="00AB67B0"/>
    <w:rsid w:val="00AB6DAF"/>
    <w:rsid w:val="00AB6DD3"/>
    <w:rsid w:val="00AB736D"/>
    <w:rsid w:val="00AB7E11"/>
    <w:rsid w:val="00AC1E16"/>
    <w:rsid w:val="00AC2798"/>
    <w:rsid w:val="00AC2C60"/>
    <w:rsid w:val="00AC3693"/>
    <w:rsid w:val="00AC3A55"/>
    <w:rsid w:val="00AC4029"/>
    <w:rsid w:val="00AC44D4"/>
    <w:rsid w:val="00AC5978"/>
    <w:rsid w:val="00AC6498"/>
    <w:rsid w:val="00AC7083"/>
    <w:rsid w:val="00AC7247"/>
    <w:rsid w:val="00AC7667"/>
    <w:rsid w:val="00AC7EF6"/>
    <w:rsid w:val="00AD0A7E"/>
    <w:rsid w:val="00AD1549"/>
    <w:rsid w:val="00AD1A1F"/>
    <w:rsid w:val="00AD1BC0"/>
    <w:rsid w:val="00AD3CA6"/>
    <w:rsid w:val="00AD4F7B"/>
    <w:rsid w:val="00AD54A9"/>
    <w:rsid w:val="00AD5681"/>
    <w:rsid w:val="00AD5E31"/>
    <w:rsid w:val="00AD69B9"/>
    <w:rsid w:val="00AE3125"/>
    <w:rsid w:val="00AE3591"/>
    <w:rsid w:val="00AE48AE"/>
    <w:rsid w:val="00AE5030"/>
    <w:rsid w:val="00AE60A4"/>
    <w:rsid w:val="00AE62EB"/>
    <w:rsid w:val="00AE66D0"/>
    <w:rsid w:val="00AE688E"/>
    <w:rsid w:val="00AE77A9"/>
    <w:rsid w:val="00AE7B57"/>
    <w:rsid w:val="00AF03BE"/>
    <w:rsid w:val="00AF04DE"/>
    <w:rsid w:val="00AF0A12"/>
    <w:rsid w:val="00AF12AE"/>
    <w:rsid w:val="00AF166A"/>
    <w:rsid w:val="00AF2C13"/>
    <w:rsid w:val="00AF4A0B"/>
    <w:rsid w:val="00AF54DA"/>
    <w:rsid w:val="00AF5F0A"/>
    <w:rsid w:val="00AF6533"/>
    <w:rsid w:val="00AF6CE0"/>
    <w:rsid w:val="00B00615"/>
    <w:rsid w:val="00B01013"/>
    <w:rsid w:val="00B0149F"/>
    <w:rsid w:val="00B01AB9"/>
    <w:rsid w:val="00B03EDC"/>
    <w:rsid w:val="00B04D18"/>
    <w:rsid w:val="00B05EA2"/>
    <w:rsid w:val="00B07026"/>
    <w:rsid w:val="00B0727A"/>
    <w:rsid w:val="00B0734A"/>
    <w:rsid w:val="00B07863"/>
    <w:rsid w:val="00B07AE0"/>
    <w:rsid w:val="00B101DF"/>
    <w:rsid w:val="00B1191A"/>
    <w:rsid w:val="00B11D84"/>
    <w:rsid w:val="00B12000"/>
    <w:rsid w:val="00B148D4"/>
    <w:rsid w:val="00B15535"/>
    <w:rsid w:val="00B15637"/>
    <w:rsid w:val="00B1586B"/>
    <w:rsid w:val="00B16764"/>
    <w:rsid w:val="00B17B6A"/>
    <w:rsid w:val="00B17FAD"/>
    <w:rsid w:val="00B20130"/>
    <w:rsid w:val="00B20AC0"/>
    <w:rsid w:val="00B212C7"/>
    <w:rsid w:val="00B2236B"/>
    <w:rsid w:val="00B229A8"/>
    <w:rsid w:val="00B22CF0"/>
    <w:rsid w:val="00B2367F"/>
    <w:rsid w:val="00B23DDB"/>
    <w:rsid w:val="00B2408D"/>
    <w:rsid w:val="00B2586D"/>
    <w:rsid w:val="00B27ECC"/>
    <w:rsid w:val="00B27F36"/>
    <w:rsid w:val="00B31D67"/>
    <w:rsid w:val="00B31D6A"/>
    <w:rsid w:val="00B32F60"/>
    <w:rsid w:val="00B33AD9"/>
    <w:rsid w:val="00B33BA6"/>
    <w:rsid w:val="00B3529A"/>
    <w:rsid w:val="00B35B40"/>
    <w:rsid w:val="00B36279"/>
    <w:rsid w:val="00B3783E"/>
    <w:rsid w:val="00B37B1A"/>
    <w:rsid w:val="00B37D73"/>
    <w:rsid w:val="00B400E2"/>
    <w:rsid w:val="00B4033E"/>
    <w:rsid w:val="00B41560"/>
    <w:rsid w:val="00B416AD"/>
    <w:rsid w:val="00B42AA3"/>
    <w:rsid w:val="00B42B48"/>
    <w:rsid w:val="00B431BB"/>
    <w:rsid w:val="00B43DDA"/>
    <w:rsid w:val="00B44430"/>
    <w:rsid w:val="00B4463F"/>
    <w:rsid w:val="00B44F62"/>
    <w:rsid w:val="00B46634"/>
    <w:rsid w:val="00B466C3"/>
    <w:rsid w:val="00B46994"/>
    <w:rsid w:val="00B46BDC"/>
    <w:rsid w:val="00B46DD8"/>
    <w:rsid w:val="00B4738A"/>
    <w:rsid w:val="00B5080A"/>
    <w:rsid w:val="00B50CB4"/>
    <w:rsid w:val="00B5158F"/>
    <w:rsid w:val="00B51797"/>
    <w:rsid w:val="00B51F30"/>
    <w:rsid w:val="00B520ED"/>
    <w:rsid w:val="00B52913"/>
    <w:rsid w:val="00B52B04"/>
    <w:rsid w:val="00B531D3"/>
    <w:rsid w:val="00B536B1"/>
    <w:rsid w:val="00B54668"/>
    <w:rsid w:val="00B552F7"/>
    <w:rsid w:val="00B55DD9"/>
    <w:rsid w:val="00B56C82"/>
    <w:rsid w:val="00B57F03"/>
    <w:rsid w:val="00B60953"/>
    <w:rsid w:val="00B60C63"/>
    <w:rsid w:val="00B61875"/>
    <w:rsid w:val="00B61B9E"/>
    <w:rsid w:val="00B620E4"/>
    <w:rsid w:val="00B6227A"/>
    <w:rsid w:val="00B624EE"/>
    <w:rsid w:val="00B629C2"/>
    <w:rsid w:val="00B62A1E"/>
    <w:rsid w:val="00B62CE7"/>
    <w:rsid w:val="00B63E00"/>
    <w:rsid w:val="00B645FC"/>
    <w:rsid w:val="00B64F13"/>
    <w:rsid w:val="00B65F19"/>
    <w:rsid w:val="00B66617"/>
    <w:rsid w:val="00B66A65"/>
    <w:rsid w:val="00B6746E"/>
    <w:rsid w:val="00B7038F"/>
    <w:rsid w:val="00B7124C"/>
    <w:rsid w:val="00B7349A"/>
    <w:rsid w:val="00B738AA"/>
    <w:rsid w:val="00B74E46"/>
    <w:rsid w:val="00B754C7"/>
    <w:rsid w:val="00B7680E"/>
    <w:rsid w:val="00B76A48"/>
    <w:rsid w:val="00B76FE4"/>
    <w:rsid w:val="00B77F55"/>
    <w:rsid w:val="00B8009B"/>
    <w:rsid w:val="00B80471"/>
    <w:rsid w:val="00B81CE7"/>
    <w:rsid w:val="00B830EF"/>
    <w:rsid w:val="00B834A8"/>
    <w:rsid w:val="00B83C22"/>
    <w:rsid w:val="00B841A4"/>
    <w:rsid w:val="00B85086"/>
    <w:rsid w:val="00B85249"/>
    <w:rsid w:val="00B8531D"/>
    <w:rsid w:val="00B85B85"/>
    <w:rsid w:val="00B86224"/>
    <w:rsid w:val="00B866E3"/>
    <w:rsid w:val="00B912CA"/>
    <w:rsid w:val="00B91637"/>
    <w:rsid w:val="00B922FB"/>
    <w:rsid w:val="00B92494"/>
    <w:rsid w:val="00B94F1E"/>
    <w:rsid w:val="00B94FE9"/>
    <w:rsid w:val="00B956AC"/>
    <w:rsid w:val="00B95DB8"/>
    <w:rsid w:val="00B95F1F"/>
    <w:rsid w:val="00B96B0A"/>
    <w:rsid w:val="00B972DF"/>
    <w:rsid w:val="00B9736E"/>
    <w:rsid w:val="00B97648"/>
    <w:rsid w:val="00B9766C"/>
    <w:rsid w:val="00B97AFD"/>
    <w:rsid w:val="00B97EF3"/>
    <w:rsid w:val="00BA01F9"/>
    <w:rsid w:val="00BA052B"/>
    <w:rsid w:val="00BA0EC2"/>
    <w:rsid w:val="00BA3227"/>
    <w:rsid w:val="00BA3DCF"/>
    <w:rsid w:val="00BA3F8A"/>
    <w:rsid w:val="00BA45E4"/>
    <w:rsid w:val="00BA4EC8"/>
    <w:rsid w:val="00BA5101"/>
    <w:rsid w:val="00BA7B6A"/>
    <w:rsid w:val="00BA7F02"/>
    <w:rsid w:val="00BB2343"/>
    <w:rsid w:val="00BB30A4"/>
    <w:rsid w:val="00BB3947"/>
    <w:rsid w:val="00BB5270"/>
    <w:rsid w:val="00BB5A14"/>
    <w:rsid w:val="00BB5F8D"/>
    <w:rsid w:val="00BB6F63"/>
    <w:rsid w:val="00BB7572"/>
    <w:rsid w:val="00BB78B3"/>
    <w:rsid w:val="00BB792D"/>
    <w:rsid w:val="00BC115C"/>
    <w:rsid w:val="00BC1324"/>
    <w:rsid w:val="00BC178E"/>
    <w:rsid w:val="00BC1875"/>
    <w:rsid w:val="00BC1C24"/>
    <w:rsid w:val="00BC1D7F"/>
    <w:rsid w:val="00BC1DB5"/>
    <w:rsid w:val="00BC245C"/>
    <w:rsid w:val="00BC3F9E"/>
    <w:rsid w:val="00BC4B7D"/>
    <w:rsid w:val="00BC4F01"/>
    <w:rsid w:val="00BC52D5"/>
    <w:rsid w:val="00BC6803"/>
    <w:rsid w:val="00BC6987"/>
    <w:rsid w:val="00BC70D3"/>
    <w:rsid w:val="00BC7B17"/>
    <w:rsid w:val="00BD05F9"/>
    <w:rsid w:val="00BD14DE"/>
    <w:rsid w:val="00BD1725"/>
    <w:rsid w:val="00BD236D"/>
    <w:rsid w:val="00BD2B0F"/>
    <w:rsid w:val="00BD36A3"/>
    <w:rsid w:val="00BD3711"/>
    <w:rsid w:val="00BD39BF"/>
    <w:rsid w:val="00BD40B0"/>
    <w:rsid w:val="00BD6105"/>
    <w:rsid w:val="00BD6131"/>
    <w:rsid w:val="00BD656F"/>
    <w:rsid w:val="00BD690A"/>
    <w:rsid w:val="00BD6DB3"/>
    <w:rsid w:val="00BD78CE"/>
    <w:rsid w:val="00BD7E58"/>
    <w:rsid w:val="00BE0A65"/>
    <w:rsid w:val="00BE1D51"/>
    <w:rsid w:val="00BE2338"/>
    <w:rsid w:val="00BE255B"/>
    <w:rsid w:val="00BE2C06"/>
    <w:rsid w:val="00BE415F"/>
    <w:rsid w:val="00BE4C7B"/>
    <w:rsid w:val="00BE55EE"/>
    <w:rsid w:val="00BE6999"/>
    <w:rsid w:val="00BE6C24"/>
    <w:rsid w:val="00BE6D86"/>
    <w:rsid w:val="00BE7141"/>
    <w:rsid w:val="00BE7708"/>
    <w:rsid w:val="00BE7D48"/>
    <w:rsid w:val="00BF0F8F"/>
    <w:rsid w:val="00BF19F5"/>
    <w:rsid w:val="00BF1BEC"/>
    <w:rsid w:val="00BF256B"/>
    <w:rsid w:val="00BF28E7"/>
    <w:rsid w:val="00BF2A25"/>
    <w:rsid w:val="00BF2F32"/>
    <w:rsid w:val="00BF3607"/>
    <w:rsid w:val="00BF4531"/>
    <w:rsid w:val="00BF4845"/>
    <w:rsid w:val="00BF6288"/>
    <w:rsid w:val="00BF77E0"/>
    <w:rsid w:val="00C004A1"/>
    <w:rsid w:val="00C00806"/>
    <w:rsid w:val="00C00D74"/>
    <w:rsid w:val="00C00DD1"/>
    <w:rsid w:val="00C014F6"/>
    <w:rsid w:val="00C01804"/>
    <w:rsid w:val="00C021D4"/>
    <w:rsid w:val="00C031CC"/>
    <w:rsid w:val="00C036D9"/>
    <w:rsid w:val="00C03B6E"/>
    <w:rsid w:val="00C0529A"/>
    <w:rsid w:val="00C0551F"/>
    <w:rsid w:val="00C05796"/>
    <w:rsid w:val="00C06588"/>
    <w:rsid w:val="00C07134"/>
    <w:rsid w:val="00C071C1"/>
    <w:rsid w:val="00C078BF"/>
    <w:rsid w:val="00C07EAF"/>
    <w:rsid w:val="00C1072E"/>
    <w:rsid w:val="00C10E4B"/>
    <w:rsid w:val="00C124F3"/>
    <w:rsid w:val="00C136A0"/>
    <w:rsid w:val="00C14D65"/>
    <w:rsid w:val="00C174A2"/>
    <w:rsid w:val="00C17A58"/>
    <w:rsid w:val="00C20C39"/>
    <w:rsid w:val="00C20D6C"/>
    <w:rsid w:val="00C20E58"/>
    <w:rsid w:val="00C21516"/>
    <w:rsid w:val="00C22694"/>
    <w:rsid w:val="00C227F7"/>
    <w:rsid w:val="00C238DB"/>
    <w:rsid w:val="00C23A63"/>
    <w:rsid w:val="00C25625"/>
    <w:rsid w:val="00C27C80"/>
    <w:rsid w:val="00C305C6"/>
    <w:rsid w:val="00C30B36"/>
    <w:rsid w:val="00C30BC2"/>
    <w:rsid w:val="00C30E4C"/>
    <w:rsid w:val="00C31F42"/>
    <w:rsid w:val="00C32CEE"/>
    <w:rsid w:val="00C33B0C"/>
    <w:rsid w:val="00C34808"/>
    <w:rsid w:val="00C34BC0"/>
    <w:rsid w:val="00C34EC6"/>
    <w:rsid w:val="00C3523A"/>
    <w:rsid w:val="00C35987"/>
    <w:rsid w:val="00C35F0F"/>
    <w:rsid w:val="00C36790"/>
    <w:rsid w:val="00C37CBB"/>
    <w:rsid w:val="00C37D83"/>
    <w:rsid w:val="00C40188"/>
    <w:rsid w:val="00C40A48"/>
    <w:rsid w:val="00C4171E"/>
    <w:rsid w:val="00C41F87"/>
    <w:rsid w:val="00C4207A"/>
    <w:rsid w:val="00C42F02"/>
    <w:rsid w:val="00C436F5"/>
    <w:rsid w:val="00C44606"/>
    <w:rsid w:val="00C44D32"/>
    <w:rsid w:val="00C44FC1"/>
    <w:rsid w:val="00C45081"/>
    <w:rsid w:val="00C45D8A"/>
    <w:rsid w:val="00C463E3"/>
    <w:rsid w:val="00C46AD7"/>
    <w:rsid w:val="00C477D9"/>
    <w:rsid w:val="00C47C5F"/>
    <w:rsid w:val="00C50C10"/>
    <w:rsid w:val="00C52443"/>
    <w:rsid w:val="00C529C4"/>
    <w:rsid w:val="00C52BAC"/>
    <w:rsid w:val="00C5343A"/>
    <w:rsid w:val="00C538A6"/>
    <w:rsid w:val="00C541F1"/>
    <w:rsid w:val="00C5425B"/>
    <w:rsid w:val="00C550A6"/>
    <w:rsid w:val="00C55522"/>
    <w:rsid w:val="00C56EBA"/>
    <w:rsid w:val="00C57BAB"/>
    <w:rsid w:val="00C57E33"/>
    <w:rsid w:val="00C62BF7"/>
    <w:rsid w:val="00C63055"/>
    <w:rsid w:val="00C63B2F"/>
    <w:rsid w:val="00C6422E"/>
    <w:rsid w:val="00C64379"/>
    <w:rsid w:val="00C64CC8"/>
    <w:rsid w:val="00C64FDC"/>
    <w:rsid w:val="00C653EC"/>
    <w:rsid w:val="00C656A6"/>
    <w:rsid w:val="00C664F6"/>
    <w:rsid w:val="00C6662C"/>
    <w:rsid w:val="00C672D1"/>
    <w:rsid w:val="00C676B6"/>
    <w:rsid w:val="00C67924"/>
    <w:rsid w:val="00C67DD7"/>
    <w:rsid w:val="00C7083F"/>
    <w:rsid w:val="00C70A7F"/>
    <w:rsid w:val="00C70B13"/>
    <w:rsid w:val="00C71377"/>
    <w:rsid w:val="00C71F0A"/>
    <w:rsid w:val="00C7226D"/>
    <w:rsid w:val="00C72772"/>
    <w:rsid w:val="00C746D2"/>
    <w:rsid w:val="00C74E9F"/>
    <w:rsid w:val="00C751D6"/>
    <w:rsid w:val="00C7706F"/>
    <w:rsid w:val="00C7777E"/>
    <w:rsid w:val="00C77816"/>
    <w:rsid w:val="00C77B49"/>
    <w:rsid w:val="00C8047A"/>
    <w:rsid w:val="00C80B0E"/>
    <w:rsid w:val="00C81258"/>
    <w:rsid w:val="00C81CCB"/>
    <w:rsid w:val="00C83435"/>
    <w:rsid w:val="00C8380E"/>
    <w:rsid w:val="00C83E10"/>
    <w:rsid w:val="00C840C8"/>
    <w:rsid w:val="00C84669"/>
    <w:rsid w:val="00C84840"/>
    <w:rsid w:val="00C85542"/>
    <w:rsid w:val="00C85716"/>
    <w:rsid w:val="00C870E0"/>
    <w:rsid w:val="00C87861"/>
    <w:rsid w:val="00C906A2"/>
    <w:rsid w:val="00C9092A"/>
    <w:rsid w:val="00C909F3"/>
    <w:rsid w:val="00C90C73"/>
    <w:rsid w:val="00C9155E"/>
    <w:rsid w:val="00C91D9B"/>
    <w:rsid w:val="00C92294"/>
    <w:rsid w:val="00C92940"/>
    <w:rsid w:val="00C931D2"/>
    <w:rsid w:val="00C93939"/>
    <w:rsid w:val="00C93D9A"/>
    <w:rsid w:val="00C93EEF"/>
    <w:rsid w:val="00C946AE"/>
    <w:rsid w:val="00C957DD"/>
    <w:rsid w:val="00C97470"/>
    <w:rsid w:val="00CA0451"/>
    <w:rsid w:val="00CA0833"/>
    <w:rsid w:val="00CA105E"/>
    <w:rsid w:val="00CA1363"/>
    <w:rsid w:val="00CA1548"/>
    <w:rsid w:val="00CA3B75"/>
    <w:rsid w:val="00CA3FDD"/>
    <w:rsid w:val="00CA445B"/>
    <w:rsid w:val="00CA4A6C"/>
    <w:rsid w:val="00CA517A"/>
    <w:rsid w:val="00CA5C2C"/>
    <w:rsid w:val="00CA6328"/>
    <w:rsid w:val="00CA696C"/>
    <w:rsid w:val="00CB0DAC"/>
    <w:rsid w:val="00CB1D04"/>
    <w:rsid w:val="00CB2074"/>
    <w:rsid w:val="00CB24C0"/>
    <w:rsid w:val="00CB2E6A"/>
    <w:rsid w:val="00CB3B97"/>
    <w:rsid w:val="00CB450F"/>
    <w:rsid w:val="00CB5D00"/>
    <w:rsid w:val="00CB5F31"/>
    <w:rsid w:val="00CB71A7"/>
    <w:rsid w:val="00CB7382"/>
    <w:rsid w:val="00CB77A0"/>
    <w:rsid w:val="00CC00E4"/>
    <w:rsid w:val="00CC12F6"/>
    <w:rsid w:val="00CC146C"/>
    <w:rsid w:val="00CC1601"/>
    <w:rsid w:val="00CC1943"/>
    <w:rsid w:val="00CC19A6"/>
    <w:rsid w:val="00CC2EF9"/>
    <w:rsid w:val="00CC2FE9"/>
    <w:rsid w:val="00CC39D5"/>
    <w:rsid w:val="00CC3D25"/>
    <w:rsid w:val="00CC41DD"/>
    <w:rsid w:val="00CC49DC"/>
    <w:rsid w:val="00CC7584"/>
    <w:rsid w:val="00CC7ABF"/>
    <w:rsid w:val="00CD06C2"/>
    <w:rsid w:val="00CD1547"/>
    <w:rsid w:val="00CD25A3"/>
    <w:rsid w:val="00CD2A9F"/>
    <w:rsid w:val="00CD4BB0"/>
    <w:rsid w:val="00CD61CE"/>
    <w:rsid w:val="00CD66E8"/>
    <w:rsid w:val="00CD6C21"/>
    <w:rsid w:val="00CE2946"/>
    <w:rsid w:val="00CE33FB"/>
    <w:rsid w:val="00CE4019"/>
    <w:rsid w:val="00CE4A01"/>
    <w:rsid w:val="00CE4A4F"/>
    <w:rsid w:val="00CE5017"/>
    <w:rsid w:val="00CE64C9"/>
    <w:rsid w:val="00CE6C97"/>
    <w:rsid w:val="00CF006C"/>
    <w:rsid w:val="00CF14B1"/>
    <w:rsid w:val="00CF1634"/>
    <w:rsid w:val="00CF16B9"/>
    <w:rsid w:val="00CF1A2B"/>
    <w:rsid w:val="00CF206D"/>
    <w:rsid w:val="00CF23B2"/>
    <w:rsid w:val="00CF2597"/>
    <w:rsid w:val="00CF297B"/>
    <w:rsid w:val="00CF2BB2"/>
    <w:rsid w:val="00CF4152"/>
    <w:rsid w:val="00CF50B7"/>
    <w:rsid w:val="00D00229"/>
    <w:rsid w:val="00D00ADE"/>
    <w:rsid w:val="00D012B7"/>
    <w:rsid w:val="00D020B4"/>
    <w:rsid w:val="00D02C46"/>
    <w:rsid w:val="00D02E04"/>
    <w:rsid w:val="00D0392D"/>
    <w:rsid w:val="00D04D50"/>
    <w:rsid w:val="00D04DD2"/>
    <w:rsid w:val="00D04E18"/>
    <w:rsid w:val="00D06A5A"/>
    <w:rsid w:val="00D078AF"/>
    <w:rsid w:val="00D113E9"/>
    <w:rsid w:val="00D11F8C"/>
    <w:rsid w:val="00D14070"/>
    <w:rsid w:val="00D145AA"/>
    <w:rsid w:val="00D14C1A"/>
    <w:rsid w:val="00D14C8B"/>
    <w:rsid w:val="00D14E30"/>
    <w:rsid w:val="00D15F36"/>
    <w:rsid w:val="00D16EFA"/>
    <w:rsid w:val="00D172A7"/>
    <w:rsid w:val="00D17321"/>
    <w:rsid w:val="00D2134F"/>
    <w:rsid w:val="00D21B35"/>
    <w:rsid w:val="00D21F88"/>
    <w:rsid w:val="00D2256B"/>
    <w:rsid w:val="00D235B8"/>
    <w:rsid w:val="00D24F78"/>
    <w:rsid w:val="00D25531"/>
    <w:rsid w:val="00D25C06"/>
    <w:rsid w:val="00D2602D"/>
    <w:rsid w:val="00D261D0"/>
    <w:rsid w:val="00D267D2"/>
    <w:rsid w:val="00D267F8"/>
    <w:rsid w:val="00D26D3F"/>
    <w:rsid w:val="00D27471"/>
    <w:rsid w:val="00D27E52"/>
    <w:rsid w:val="00D30354"/>
    <w:rsid w:val="00D3165C"/>
    <w:rsid w:val="00D31831"/>
    <w:rsid w:val="00D3198D"/>
    <w:rsid w:val="00D32310"/>
    <w:rsid w:val="00D3288F"/>
    <w:rsid w:val="00D32C7A"/>
    <w:rsid w:val="00D335AC"/>
    <w:rsid w:val="00D342CD"/>
    <w:rsid w:val="00D34322"/>
    <w:rsid w:val="00D34FF2"/>
    <w:rsid w:val="00D35926"/>
    <w:rsid w:val="00D36793"/>
    <w:rsid w:val="00D36D4E"/>
    <w:rsid w:val="00D40756"/>
    <w:rsid w:val="00D409B1"/>
    <w:rsid w:val="00D44AE1"/>
    <w:rsid w:val="00D45A0A"/>
    <w:rsid w:val="00D4756D"/>
    <w:rsid w:val="00D47D61"/>
    <w:rsid w:val="00D47FBA"/>
    <w:rsid w:val="00D5023C"/>
    <w:rsid w:val="00D50E0A"/>
    <w:rsid w:val="00D5174B"/>
    <w:rsid w:val="00D518F9"/>
    <w:rsid w:val="00D52695"/>
    <w:rsid w:val="00D52A34"/>
    <w:rsid w:val="00D54655"/>
    <w:rsid w:val="00D54D25"/>
    <w:rsid w:val="00D56DAA"/>
    <w:rsid w:val="00D56E4D"/>
    <w:rsid w:val="00D600F6"/>
    <w:rsid w:val="00D62182"/>
    <w:rsid w:val="00D6341B"/>
    <w:rsid w:val="00D634B5"/>
    <w:rsid w:val="00D64841"/>
    <w:rsid w:val="00D667C6"/>
    <w:rsid w:val="00D667CE"/>
    <w:rsid w:val="00D66C8A"/>
    <w:rsid w:val="00D67E9A"/>
    <w:rsid w:val="00D719F4"/>
    <w:rsid w:val="00D73222"/>
    <w:rsid w:val="00D73DC3"/>
    <w:rsid w:val="00D740AE"/>
    <w:rsid w:val="00D74400"/>
    <w:rsid w:val="00D74947"/>
    <w:rsid w:val="00D76825"/>
    <w:rsid w:val="00D769AE"/>
    <w:rsid w:val="00D81194"/>
    <w:rsid w:val="00D81B6F"/>
    <w:rsid w:val="00D8233D"/>
    <w:rsid w:val="00D84634"/>
    <w:rsid w:val="00D84DCF"/>
    <w:rsid w:val="00D85B10"/>
    <w:rsid w:val="00D865BD"/>
    <w:rsid w:val="00D87A11"/>
    <w:rsid w:val="00D900FF"/>
    <w:rsid w:val="00D927EB"/>
    <w:rsid w:val="00D9295E"/>
    <w:rsid w:val="00D92E04"/>
    <w:rsid w:val="00D93B72"/>
    <w:rsid w:val="00D93C20"/>
    <w:rsid w:val="00D95BBF"/>
    <w:rsid w:val="00D971E9"/>
    <w:rsid w:val="00D97A8E"/>
    <w:rsid w:val="00DA04DB"/>
    <w:rsid w:val="00DA10D5"/>
    <w:rsid w:val="00DA1531"/>
    <w:rsid w:val="00DA2829"/>
    <w:rsid w:val="00DA2AEF"/>
    <w:rsid w:val="00DA33EE"/>
    <w:rsid w:val="00DA377D"/>
    <w:rsid w:val="00DA427D"/>
    <w:rsid w:val="00DA6584"/>
    <w:rsid w:val="00DA6DD6"/>
    <w:rsid w:val="00DA6E3D"/>
    <w:rsid w:val="00DB080E"/>
    <w:rsid w:val="00DB09AC"/>
    <w:rsid w:val="00DB0B96"/>
    <w:rsid w:val="00DB0EA0"/>
    <w:rsid w:val="00DB1410"/>
    <w:rsid w:val="00DB1C2B"/>
    <w:rsid w:val="00DB1DE4"/>
    <w:rsid w:val="00DB3BE2"/>
    <w:rsid w:val="00DB3BEF"/>
    <w:rsid w:val="00DB5B62"/>
    <w:rsid w:val="00DB5BE3"/>
    <w:rsid w:val="00DB7D08"/>
    <w:rsid w:val="00DC182C"/>
    <w:rsid w:val="00DC1BBA"/>
    <w:rsid w:val="00DC2767"/>
    <w:rsid w:val="00DC5818"/>
    <w:rsid w:val="00DC5B8B"/>
    <w:rsid w:val="00DC67F2"/>
    <w:rsid w:val="00DC6CBA"/>
    <w:rsid w:val="00DC7A31"/>
    <w:rsid w:val="00DD08E0"/>
    <w:rsid w:val="00DD0A53"/>
    <w:rsid w:val="00DD1F75"/>
    <w:rsid w:val="00DD235F"/>
    <w:rsid w:val="00DD243B"/>
    <w:rsid w:val="00DD2803"/>
    <w:rsid w:val="00DD571D"/>
    <w:rsid w:val="00DD5D2E"/>
    <w:rsid w:val="00DD7E03"/>
    <w:rsid w:val="00DE00EB"/>
    <w:rsid w:val="00DE2344"/>
    <w:rsid w:val="00DE47E7"/>
    <w:rsid w:val="00DE4A6B"/>
    <w:rsid w:val="00DE632A"/>
    <w:rsid w:val="00DE7AF9"/>
    <w:rsid w:val="00DE7D8B"/>
    <w:rsid w:val="00DF055C"/>
    <w:rsid w:val="00DF0C0C"/>
    <w:rsid w:val="00DF101B"/>
    <w:rsid w:val="00DF1444"/>
    <w:rsid w:val="00DF15BD"/>
    <w:rsid w:val="00DF2725"/>
    <w:rsid w:val="00DF29B1"/>
    <w:rsid w:val="00DF2B52"/>
    <w:rsid w:val="00DF3E30"/>
    <w:rsid w:val="00DF432F"/>
    <w:rsid w:val="00DF47E8"/>
    <w:rsid w:val="00DF4A11"/>
    <w:rsid w:val="00DF67C4"/>
    <w:rsid w:val="00E004AD"/>
    <w:rsid w:val="00E015F1"/>
    <w:rsid w:val="00E02327"/>
    <w:rsid w:val="00E026ED"/>
    <w:rsid w:val="00E0287D"/>
    <w:rsid w:val="00E029C9"/>
    <w:rsid w:val="00E043B1"/>
    <w:rsid w:val="00E05BF3"/>
    <w:rsid w:val="00E06902"/>
    <w:rsid w:val="00E06A8B"/>
    <w:rsid w:val="00E10019"/>
    <w:rsid w:val="00E1071A"/>
    <w:rsid w:val="00E116AB"/>
    <w:rsid w:val="00E126DD"/>
    <w:rsid w:val="00E12826"/>
    <w:rsid w:val="00E129AB"/>
    <w:rsid w:val="00E14480"/>
    <w:rsid w:val="00E14D8A"/>
    <w:rsid w:val="00E1537A"/>
    <w:rsid w:val="00E15537"/>
    <w:rsid w:val="00E16AE5"/>
    <w:rsid w:val="00E16D54"/>
    <w:rsid w:val="00E206A1"/>
    <w:rsid w:val="00E2084F"/>
    <w:rsid w:val="00E20AE3"/>
    <w:rsid w:val="00E211EF"/>
    <w:rsid w:val="00E2125D"/>
    <w:rsid w:val="00E229B1"/>
    <w:rsid w:val="00E23E20"/>
    <w:rsid w:val="00E24B7B"/>
    <w:rsid w:val="00E25992"/>
    <w:rsid w:val="00E26F8E"/>
    <w:rsid w:val="00E27A80"/>
    <w:rsid w:val="00E27EB3"/>
    <w:rsid w:val="00E30F7B"/>
    <w:rsid w:val="00E313B9"/>
    <w:rsid w:val="00E32334"/>
    <w:rsid w:val="00E3356C"/>
    <w:rsid w:val="00E3384A"/>
    <w:rsid w:val="00E33D45"/>
    <w:rsid w:val="00E33DC0"/>
    <w:rsid w:val="00E34AD6"/>
    <w:rsid w:val="00E35D6C"/>
    <w:rsid w:val="00E37761"/>
    <w:rsid w:val="00E379F8"/>
    <w:rsid w:val="00E37C2A"/>
    <w:rsid w:val="00E37FA9"/>
    <w:rsid w:val="00E40254"/>
    <w:rsid w:val="00E40D83"/>
    <w:rsid w:val="00E4134F"/>
    <w:rsid w:val="00E423CB"/>
    <w:rsid w:val="00E43151"/>
    <w:rsid w:val="00E4318F"/>
    <w:rsid w:val="00E43EBA"/>
    <w:rsid w:val="00E4469E"/>
    <w:rsid w:val="00E44A6E"/>
    <w:rsid w:val="00E4518C"/>
    <w:rsid w:val="00E456B0"/>
    <w:rsid w:val="00E457AE"/>
    <w:rsid w:val="00E45D53"/>
    <w:rsid w:val="00E46034"/>
    <w:rsid w:val="00E46D6E"/>
    <w:rsid w:val="00E46D9B"/>
    <w:rsid w:val="00E4700F"/>
    <w:rsid w:val="00E5017F"/>
    <w:rsid w:val="00E504F3"/>
    <w:rsid w:val="00E50A05"/>
    <w:rsid w:val="00E51D0D"/>
    <w:rsid w:val="00E5263E"/>
    <w:rsid w:val="00E52725"/>
    <w:rsid w:val="00E52973"/>
    <w:rsid w:val="00E54803"/>
    <w:rsid w:val="00E54CDA"/>
    <w:rsid w:val="00E54D0B"/>
    <w:rsid w:val="00E56648"/>
    <w:rsid w:val="00E56C5F"/>
    <w:rsid w:val="00E5742B"/>
    <w:rsid w:val="00E57988"/>
    <w:rsid w:val="00E608A3"/>
    <w:rsid w:val="00E60A39"/>
    <w:rsid w:val="00E60D01"/>
    <w:rsid w:val="00E624FF"/>
    <w:rsid w:val="00E625D4"/>
    <w:rsid w:val="00E6305E"/>
    <w:rsid w:val="00E63129"/>
    <w:rsid w:val="00E63CB9"/>
    <w:rsid w:val="00E64E03"/>
    <w:rsid w:val="00E65F83"/>
    <w:rsid w:val="00E669F2"/>
    <w:rsid w:val="00E670F1"/>
    <w:rsid w:val="00E673DC"/>
    <w:rsid w:val="00E67E65"/>
    <w:rsid w:val="00E70FC8"/>
    <w:rsid w:val="00E71002"/>
    <w:rsid w:val="00E7265A"/>
    <w:rsid w:val="00E72C01"/>
    <w:rsid w:val="00E73402"/>
    <w:rsid w:val="00E74D06"/>
    <w:rsid w:val="00E750A2"/>
    <w:rsid w:val="00E75174"/>
    <w:rsid w:val="00E75210"/>
    <w:rsid w:val="00E75740"/>
    <w:rsid w:val="00E75D7A"/>
    <w:rsid w:val="00E7628B"/>
    <w:rsid w:val="00E80007"/>
    <w:rsid w:val="00E8046E"/>
    <w:rsid w:val="00E808C4"/>
    <w:rsid w:val="00E81A03"/>
    <w:rsid w:val="00E81B20"/>
    <w:rsid w:val="00E82000"/>
    <w:rsid w:val="00E82239"/>
    <w:rsid w:val="00E82531"/>
    <w:rsid w:val="00E825A9"/>
    <w:rsid w:val="00E82D1F"/>
    <w:rsid w:val="00E834B5"/>
    <w:rsid w:val="00E834E8"/>
    <w:rsid w:val="00E837FB"/>
    <w:rsid w:val="00E84107"/>
    <w:rsid w:val="00E8466B"/>
    <w:rsid w:val="00E84F09"/>
    <w:rsid w:val="00E8578F"/>
    <w:rsid w:val="00E858BE"/>
    <w:rsid w:val="00E85A6F"/>
    <w:rsid w:val="00E85E34"/>
    <w:rsid w:val="00E86EE3"/>
    <w:rsid w:val="00E87212"/>
    <w:rsid w:val="00E87DB0"/>
    <w:rsid w:val="00E87E59"/>
    <w:rsid w:val="00E91A76"/>
    <w:rsid w:val="00E9223A"/>
    <w:rsid w:val="00E92643"/>
    <w:rsid w:val="00E9302C"/>
    <w:rsid w:val="00E93116"/>
    <w:rsid w:val="00E93392"/>
    <w:rsid w:val="00E93A50"/>
    <w:rsid w:val="00E94088"/>
    <w:rsid w:val="00E9418E"/>
    <w:rsid w:val="00E948B4"/>
    <w:rsid w:val="00E94A45"/>
    <w:rsid w:val="00E9644A"/>
    <w:rsid w:val="00E96538"/>
    <w:rsid w:val="00E967D9"/>
    <w:rsid w:val="00E968AA"/>
    <w:rsid w:val="00E96A05"/>
    <w:rsid w:val="00E976A6"/>
    <w:rsid w:val="00EA0AF4"/>
    <w:rsid w:val="00EA2B58"/>
    <w:rsid w:val="00EA2C47"/>
    <w:rsid w:val="00EA4C8F"/>
    <w:rsid w:val="00EA5238"/>
    <w:rsid w:val="00EA5ABE"/>
    <w:rsid w:val="00EA5F21"/>
    <w:rsid w:val="00EA6AA7"/>
    <w:rsid w:val="00EB09B1"/>
    <w:rsid w:val="00EB18EC"/>
    <w:rsid w:val="00EB2697"/>
    <w:rsid w:val="00EB31B7"/>
    <w:rsid w:val="00EB48FC"/>
    <w:rsid w:val="00EB5827"/>
    <w:rsid w:val="00EB5D81"/>
    <w:rsid w:val="00EB60DE"/>
    <w:rsid w:val="00EB7DA0"/>
    <w:rsid w:val="00EC1496"/>
    <w:rsid w:val="00EC1F0E"/>
    <w:rsid w:val="00EC20CB"/>
    <w:rsid w:val="00EC323E"/>
    <w:rsid w:val="00EC395D"/>
    <w:rsid w:val="00EC4535"/>
    <w:rsid w:val="00EC5EF3"/>
    <w:rsid w:val="00EC60C2"/>
    <w:rsid w:val="00EC755C"/>
    <w:rsid w:val="00ED2D15"/>
    <w:rsid w:val="00ED2D92"/>
    <w:rsid w:val="00ED3917"/>
    <w:rsid w:val="00ED3CDE"/>
    <w:rsid w:val="00ED43C6"/>
    <w:rsid w:val="00ED4796"/>
    <w:rsid w:val="00ED4C6F"/>
    <w:rsid w:val="00ED4DCA"/>
    <w:rsid w:val="00ED552A"/>
    <w:rsid w:val="00ED5D69"/>
    <w:rsid w:val="00ED5DD1"/>
    <w:rsid w:val="00ED79CF"/>
    <w:rsid w:val="00EE0395"/>
    <w:rsid w:val="00EE13FD"/>
    <w:rsid w:val="00EE1BA9"/>
    <w:rsid w:val="00EE2A05"/>
    <w:rsid w:val="00EE2FD0"/>
    <w:rsid w:val="00EE3094"/>
    <w:rsid w:val="00EE3124"/>
    <w:rsid w:val="00EE62CC"/>
    <w:rsid w:val="00EE71FC"/>
    <w:rsid w:val="00EE73E9"/>
    <w:rsid w:val="00EE7BB7"/>
    <w:rsid w:val="00EF07AF"/>
    <w:rsid w:val="00EF0A90"/>
    <w:rsid w:val="00EF181A"/>
    <w:rsid w:val="00EF1A43"/>
    <w:rsid w:val="00EF24D1"/>
    <w:rsid w:val="00EF35EB"/>
    <w:rsid w:val="00EF46D1"/>
    <w:rsid w:val="00EF4EBF"/>
    <w:rsid w:val="00EF4ECD"/>
    <w:rsid w:val="00EF4F0F"/>
    <w:rsid w:val="00EF5289"/>
    <w:rsid w:val="00EF5832"/>
    <w:rsid w:val="00EF5951"/>
    <w:rsid w:val="00F00040"/>
    <w:rsid w:val="00F0033E"/>
    <w:rsid w:val="00F0127D"/>
    <w:rsid w:val="00F01FBD"/>
    <w:rsid w:val="00F02E62"/>
    <w:rsid w:val="00F044E8"/>
    <w:rsid w:val="00F04919"/>
    <w:rsid w:val="00F04E4C"/>
    <w:rsid w:val="00F057FF"/>
    <w:rsid w:val="00F05BC0"/>
    <w:rsid w:val="00F05CFD"/>
    <w:rsid w:val="00F06690"/>
    <w:rsid w:val="00F06832"/>
    <w:rsid w:val="00F06FDF"/>
    <w:rsid w:val="00F10E0F"/>
    <w:rsid w:val="00F11254"/>
    <w:rsid w:val="00F123F9"/>
    <w:rsid w:val="00F124D6"/>
    <w:rsid w:val="00F12610"/>
    <w:rsid w:val="00F129E0"/>
    <w:rsid w:val="00F13166"/>
    <w:rsid w:val="00F1380E"/>
    <w:rsid w:val="00F14599"/>
    <w:rsid w:val="00F15576"/>
    <w:rsid w:val="00F1583F"/>
    <w:rsid w:val="00F15F38"/>
    <w:rsid w:val="00F15F4B"/>
    <w:rsid w:val="00F168DF"/>
    <w:rsid w:val="00F169BD"/>
    <w:rsid w:val="00F178E6"/>
    <w:rsid w:val="00F2053F"/>
    <w:rsid w:val="00F21715"/>
    <w:rsid w:val="00F242F3"/>
    <w:rsid w:val="00F2468C"/>
    <w:rsid w:val="00F249B3"/>
    <w:rsid w:val="00F255A8"/>
    <w:rsid w:val="00F25D4A"/>
    <w:rsid w:val="00F30B58"/>
    <w:rsid w:val="00F32729"/>
    <w:rsid w:val="00F32847"/>
    <w:rsid w:val="00F32A0D"/>
    <w:rsid w:val="00F32DB0"/>
    <w:rsid w:val="00F3373C"/>
    <w:rsid w:val="00F33B26"/>
    <w:rsid w:val="00F33ECE"/>
    <w:rsid w:val="00F35427"/>
    <w:rsid w:val="00F40551"/>
    <w:rsid w:val="00F411ED"/>
    <w:rsid w:val="00F4294D"/>
    <w:rsid w:val="00F43074"/>
    <w:rsid w:val="00F437E8"/>
    <w:rsid w:val="00F43D1F"/>
    <w:rsid w:val="00F443A3"/>
    <w:rsid w:val="00F444AC"/>
    <w:rsid w:val="00F459CB"/>
    <w:rsid w:val="00F46253"/>
    <w:rsid w:val="00F466A6"/>
    <w:rsid w:val="00F46B61"/>
    <w:rsid w:val="00F501A1"/>
    <w:rsid w:val="00F51F64"/>
    <w:rsid w:val="00F538A7"/>
    <w:rsid w:val="00F53F05"/>
    <w:rsid w:val="00F5416D"/>
    <w:rsid w:val="00F5494D"/>
    <w:rsid w:val="00F55FF2"/>
    <w:rsid w:val="00F5729C"/>
    <w:rsid w:val="00F616A5"/>
    <w:rsid w:val="00F61D3D"/>
    <w:rsid w:val="00F62FF1"/>
    <w:rsid w:val="00F6304E"/>
    <w:rsid w:val="00F636BD"/>
    <w:rsid w:val="00F63E46"/>
    <w:rsid w:val="00F63F5C"/>
    <w:rsid w:val="00F6565F"/>
    <w:rsid w:val="00F66786"/>
    <w:rsid w:val="00F67012"/>
    <w:rsid w:val="00F678EC"/>
    <w:rsid w:val="00F67948"/>
    <w:rsid w:val="00F67A7C"/>
    <w:rsid w:val="00F67EF4"/>
    <w:rsid w:val="00F7084D"/>
    <w:rsid w:val="00F710CE"/>
    <w:rsid w:val="00F71239"/>
    <w:rsid w:val="00F7254C"/>
    <w:rsid w:val="00F728EE"/>
    <w:rsid w:val="00F7302C"/>
    <w:rsid w:val="00F735CD"/>
    <w:rsid w:val="00F73E9A"/>
    <w:rsid w:val="00F743D6"/>
    <w:rsid w:val="00F7535A"/>
    <w:rsid w:val="00F76F31"/>
    <w:rsid w:val="00F80528"/>
    <w:rsid w:val="00F807BD"/>
    <w:rsid w:val="00F81748"/>
    <w:rsid w:val="00F82DAE"/>
    <w:rsid w:val="00F832FD"/>
    <w:rsid w:val="00F8353D"/>
    <w:rsid w:val="00F83838"/>
    <w:rsid w:val="00F841DA"/>
    <w:rsid w:val="00F84BA9"/>
    <w:rsid w:val="00F852FB"/>
    <w:rsid w:val="00F85969"/>
    <w:rsid w:val="00F85AB0"/>
    <w:rsid w:val="00F85C5B"/>
    <w:rsid w:val="00F86F85"/>
    <w:rsid w:val="00F87F58"/>
    <w:rsid w:val="00F915A0"/>
    <w:rsid w:val="00F91E1A"/>
    <w:rsid w:val="00F91E75"/>
    <w:rsid w:val="00F92204"/>
    <w:rsid w:val="00F92CE2"/>
    <w:rsid w:val="00F930CB"/>
    <w:rsid w:val="00F9317B"/>
    <w:rsid w:val="00F9391D"/>
    <w:rsid w:val="00F95802"/>
    <w:rsid w:val="00F95AE3"/>
    <w:rsid w:val="00F96032"/>
    <w:rsid w:val="00F9620A"/>
    <w:rsid w:val="00F962CA"/>
    <w:rsid w:val="00F96AD5"/>
    <w:rsid w:val="00F96B50"/>
    <w:rsid w:val="00F97B1C"/>
    <w:rsid w:val="00FA06EA"/>
    <w:rsid w:val="00FA0D46"/>
    <w:rsid w:val="00FA0E74"/>
    <w:rsid w:val="00FA178A"/>
    <w:rsid w:val="00FA256E"/>
    <w:rsid w:val="00FA2BE5"/>
    <w:rsid w:val="00FA2FE1"/>
    <w:rsid w:val="00FA3698"/>
    <w:rsid w:val="00FA41E2"/>
    <w:rsid w:val="00FA4915"/>
    <w:rsid w:val="00FA4C65"/>
    <w:rsid w:val="00FA5629"/>
    <w:rsid w:val="00FA5697"/>
    <w:rsid w:val="00FA5933"/>
    <w:rsid w:val="00FA5EDB"/>
    <w:rsid w:val="00FA696D"/>
    <w:rsid w:val="00FA6E60"/>
    <w:rsid w:val="00FA77A0"/>
    <w:rsid w:val="00FA7CF6"/>
    <w:rsid w:val="00FB17E9"/>
    <w:rsid w:val="00FB1936"/>
    <w:rsid w:val="00FB2400"/>
    <w:rsid w:val="00FB2510"/>
    <w:rsid w:val="00FB2C29"/>
    <w:rsid w:val="00FB432F"/>
    <w:rsid w:val="00FB4857"/>
    <w:rsid w:val="00FB4B97"/>
    <w:rsid w:val="00FB4BEE"/>
    <w:rsid w:val="00FB4DE2"/>
    <w:rsid w:val="00FB790A"/>
    <w:rsid w:val="00FC0118"/>
    <w:rsid w:val="00FC29B4"/>
    <w:rsid w:val="00FC2CA3"/>
    <w:rsid w:val="00FC3266"/>
    <w:rsid w:val="00FC38C0"/>
    <w:rsid w:val="00FC3ED0"/>
    <w:rsid w:val="00FC51CC"/>
    <w:rsid w:val="00FC56AB"/>
    <w:rsid w:val="00FC62E5"/>
    <w:rsid w:val="00FD0749"/>
    <w:rsid w:val="00FD09F7"/>
    <w:rsid w:val="00FD1CFB"/>
    <w:rsid w:val="00FD21F0"/>
    <w:rsid w:val="00FD27CB"/>
    <w:rsid w:val="00FD2DCD"/>
    <w:rsid w:val="00FD3078"/>
    <w:rsid w:val="00FD3588"/>
    <w:rsid w:val="00FD3670"/>
    <w:rsid w:val="00FD3B81"/>
    <w:rsid w:val="00FD496E"/>
    <w:rsid w:val="00FD4F8D"/>
    <w:rsid w:val="00FD5155"/>
    <w:rsid w:val="00FD5592"/>
    <w:rsid w:val="00FD5BEA"/>
    <w:rsid w:val="00FD5BF4"/>
    <w:rsid w:val="00FD5C7F"/>
    <w:rsid w:val="00FD6913"/>
    <w:rsid w:val="00FD7557"/>
    <w:rsid w:val="00FE0004"/>
    <w:rsid w:val="00FE031E"/>
    <w:rsid w:val="00FE03C7"/>
    <w:rsid w:val="00FE0B9F"/>
    <w:rsid w:val="00FE194B"/>
    <w:rsid w:val="00FE2469"/>
    <w:rsid w:val="00FE25C1"/>
    <w:rsid w:val="00FE3838"/>
    <w:rsid w:val="00FE4728"/>
    <w:rsid w:val="00FE5EF4"/>
    <w:rsid w:val="00FE68BF"/>
    <w:rsid w:val="00FE6A54"/>
    <w:rsid w:val="00FE73A3"/>
    <w:rsid w:val="00FE77F3"/>
    <w:rsid w:val="00FF121E"/>
    <w:rsid w:val="00FF190E"/>
    <w:rsid w:val="00FF1FB9"/>
    <w:rsid w:val="00FF23CB"/>
    <w:rsid w:val="00FF2B5E"/>
    <w:rsid w:val="00FF2E0D"/>
    <w:rsid w:val="00FF2E89"/>
    <w:rsid w:val="00FF32A0"/>
    <w:rsid w:val="00FF3348"/>
    <w:rsid w:val="00FF3429"/>
    <w:rsid w:val="00FF5684"/>
    <w:rsid w:val="00FF5A0E"/>
    <w:rsid w:val="00FF6F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749"/>
    <w:pPr>
      <w:spacing w:before="100" w:beforeAutospacing="1" w:after="100" w:afterAutospacing="1"/>
      <w:jc w:val="both"/>
    </w:pPr>
    <w:rPr>
      <w:rFonts w:asciiTheme="minorHAnsi" w:hAnsiTheme="minorHAnsi"/>
      <w:sz w:val="24"/>
      <w:szCs w:val="24"/>
    </w:rPr>
  </w:style>
  <w:style w:type="paragraph" w:styleId="Heading1">
    <w:name w:val="heading 1"/>
    <w:basedOn w:val="Normal"/>
    <w:next w:val="Normal"/>
    <w:qFormat/>
    <w:rsid w:val="00396F0C"/>
    <w:pPr>
      <w:keepNext/>
      <w:spacing w:before="0" w:beforeAutospacing="0" w:after="120" w:afterAutospacing="0"/>
      <w:outlineLvl w:val="0"/>
    </w:pPr>
    <w:rPr>
      <w:b/>
      <w:bCs/>
      <w:kern w:val="32"/>
      <w:sz w:val="48"/>
      <w:szCs w:val="48"/>
    </w:rPr>
  </w:style>
  <w:style w:type="paragraph" w:styleId="Heading2">
    <w:name w:val="heading 2"/>
    <w:basedOn w:val="Heading1"/>
    <w:next w:val="Normal"/>
    <w:qFormat/>
    <w:rsid w:val="002C2EF0"/>
    <w:pPr>
      <w:outlineLvl w:val="1"/>
    </w:pPr>
    <w:rPr>
      <w:sz w:val="28"/>
      <w:szCs w:val="28"/>
    </w:rPr>
  </w:style>
  <w:style w:type="paragraph" w:styleId="Heading3">
    <w:name w:val="heading 3"/>
    <w:basedOn w:val="Normal"/>
    <w:next w:val="Normal"/>
    <w:qFormat/>
    <w:rsid w:val="002C2EF0"/>
    <w:pPr>
      <w:outlineLvl w:val="2"/>
    </w:pPr>
    <w:rPr>
      <w:b/>
      <w:color w:val="E2001C"/>
    </w:rPr>
  </w:style>
  <w:style w:type="paragraph" w:styleId="Heading4">
    <w:name w:val="heading 4"/>
    <w:basedOn w:val="Heading3"/>
    <w:next w:val="Normal"/>
    <w:qFormat/>
    <w:rsid w:val="00620C97"/>
    <w:pPr>
      <w:outlineLvl w:val="3"/>
    </w:pPr>
  </w:style>
  <w:style w:type="paragraph" w:styleId="Heading5">
    <w:name w:val="heading 5"/>
    <w:basedOn w:val="Odstavecseseznamem1"/>
    <w:next w:val="Normal"/>
    <w:qFormat/>
    <w:rsid w:val="006F6E73"/>
    <w:pPr>
      <w:numPr>
        <w:numId w:val="30"/>
      </w:numPr>
      <w:ind w:left="360"/>
      <w:outlineLvl w:val="4"/>
    </w:pPr>
    <w:rPr>
      <w:color w:val="E2001C"/>
      <w:sz w:val="24"/>
      <w:szCs w:val="24"/>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semiHidden/>
    <w:rsid w:val="00FF3348"/>
    <w:rPr>
      <w:sz w:val="20"/>
      <w:szCs w:val="20"/>
    </w:rPr>
  </w:style>
  <w:style w:type="paragraph" w:customStyle="1" w:styleId="SPPbasic">
    <w:name w:val="SPP_basic"/>
    <w:basedOn w:val="Normal"/>
    <w:rsid w:val="00FF3348"/>
    <w:pPr>
      <w:suppressAutoHyphens/>
      <w:spacing w:before="240"/>
      <w:ind w:left="567"/>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unhideWhenUsed/>
    <w:qFormat/>
    <w:rsid w:val="009843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749"/>
    <w:pPr>
      <w:spacing w:before="100" w:beforeAutospacing="1" w:after="100" w:afterAutospacing="1"/>
      <w:jc w:val="both"/>
    </w:pPr>
    <w:rPr>
      <w:rFonts w:asciiTheme="minorHAnsi" w:hAnsiTheme="minorHAnsi"/>
      <w:sz w:val="24"/>
      <w:szCs w:val="24"/>
    </w:rPr>
  </w:style>
  <w:style w:type="paragraph" w:styleId="Heading1">
    <w:name w:val="heading 1"/>
    <w:basedOn w:val="Normal"/>
    <w:next w:val="Normal"/>
    <w:qFormat/>
    <w:rsid w:val="00396F0C"/>
    <w:pPr>
      <w:keepNext/>
      <w:spacing w:before="0" w:beforeAutospacing="0" w:after="120" w:afterAutospacing="0"/>
      <w:outlineLvl w:val="0"/>
    </w:pPr>
    <w:rPr>
      <w:b/>
      <w:bCs/>
      <w:kern w:val="32"/>
      <w:sz w:val="48"/>
      <w:szCs w:val="48"/>
    </w:rPr>
  </w:style>
  <w:style w:type="paragraph" w:styleId="Heading2">
    <w:name w:val="heading 2"/>
    <w:basedOn w:val="Heading1"/>
    <w:next w:val="Normal"/>
    <w:qFormat/>
    <w:rsid w:val="002C2EF0"/>
    <w:pPr>
      <w:outlineLvl w:val="1"/>
    </w:pPr>
    <w:rPr>
      <w:sz w:val="28"/>
      <w:szCs w:val="28"/>
    </w:rPr>
  </w:style>
  <w:style w:type="paragraph" w:styleId="Heading3">
    <w:name w:val="heading 3"/>
    <w:basedOn w:val="Normal"/>
    <w:next w:val="Normal"/>
    <w:qFormat/>
    <w:rsid w:val="002C2EF0"/>
    <w:pPr>
      <w:outlineLvl w:val="2"/>
    </w:pPr>
    <w:rPr>
      <w:b/>
      <w:color w:val="E2001C"/>
    </w:rPr>
  </w:style>
  <w:style w:type="paragraph" w:styleId="Heading4">
    <w:name w:val="heading 4"/>
    <w:basedOn w:val="Heading3"/>
    <w:next w:val="Normal"/>
    <w:qFormat/>
    <w:rsid w:val="00620C97"/>
    <w:pPr>
      <w:outlineLvl w:val="3"/>
    </w:pPr>
  </w:style>
  <w:style w:type="paragraph" w:styleId="Heading5">
    <w:name w:val="heading 5"/>
    <w:basedOn w:val="Odstavecseseznamem1"/>
    <w:next w:val="Normal"/>
    <w:qFormat/>
    <w:rsid w:val="006F6E73"/>
    <w:pPr>
      <w:numPr>
        <w:numId w:val="30"/>
      </w:numPr>
      <w:ind w:left="360"/>
      <w:outlineLvl w:val="4"/>
    </w:pPr>
    <w:rPr>
      <w:color w:val="E2001C"/>
      <w:sz w:val="24"/>
      <w:szCs w:val="24"/>
    </w:rPr>
  </w:style>
  <w:style w:type="paragraph" w:styleId="Heading6">
    <w:name w:val="heading 6"/>
    <w:basedOn w:val="Normal"/>
    <w:next w:val="Normal"/>
    <w:qFormat/>
    <w:rsid w:val="003419B5"/>
    <w:pPr>
      <w:numPr>
        <w:ilvl w:val="5"/>
        <w:numId w:val="1"/>
      </w:numPr>
      <w:spacing w:before="240" w:after="60"/>
      <w:outlineLvl w:val="5"/>
    </w:pPr>
    <w:rPr>
      <w:b/>
      <w:bCs/>
      <w:sz w:val="22"/>
      <w:szCs w:val="22"/>
    </w:rPr>
  </w:style>
  <w:style w:type="paragraph" w:styleId="Heading7">
    <w:name w:val="heading 7"/>
    <w:basedOn w:val="Normal"/>
    <w:next w:val="Normal"/>
    <w:qFormat/>
    <w:rsid w:val="003419B5"/>
    <w:pPr>
      <w:numPr>
        <w:ilvl w:val="6"/>
        <w:numId w:val="1"/>
      </w:numPr>
      <w:spacing w:before="240" w:after="60"/>
      <w:outlineLvl w:val="6"/>
    </w:pPr>
  </w:style>
  <w:style w:type="paragraph" w:styleId="Heading8">
    <w:name w:val="heading 8"/>
    <w:basedOn w:val="Normal"/>
    <w:next w:val="Normal"/>
    <w:qFormat/>
    <w:rsid w:val="003419B5"/>
    <w:pPr>
      <w:numPr>
        <w:ilvl w:val="7"/>
        <w:numId w:val="1"/>
      </w:numPr>
      <w:spacing w:before="240" w:after="60"/>
      <w:outlineLvl w:val="7"/>
    </w:pPr>
    <w:rPr>
      <w:i/>
      <w:iCs/>
    </w:rPr>
  </w:style>
  <w:style w:type="paragraph" w:styleId="Heading9">
    <w:name w:val="heading 9"/>
    <w:basedOn w:val="Normal"/>
    <w:next w:val="Normal"/>
    <w:qFormat/>
    <w:rsid w:val="003419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CC"/>
    <w:rPr>
      <w:rFonts w:ascii="Tahoma" w:hAnsi="Tahoma" w:cs="Tahoma"/>
      <w:sz w:val="16"/>
      <w:szCs w:val="16"/>
    </w:rPr>
  </w:style>
  <w:style w:type="paragraph" w:styleId="Footer">
    <w:name w:val="footer"/>
    <w:basedOn w:val="Normal"/>
    <w:rsid w:val="007C6DCC"/>
    <w:pPr>
      <w:tabs>
        <w:tab w:val="center" w:pos="4536"/>
        <w:tab w:val="right" w:pos="9072"/>
      </w:tabs>
    </w:pPr>
  </w:style>
  <w:style w:type="character" w:styleId="PageNumber">
    <w:name w:val="page number"/>
    <w:basedOn w:val="DefaultParagraphFont"/>
    <w:rsid w:val="007C6DCC"/>
  </w:style>
  <w:style w:type="character" w:styleId="Hyperlink">
    <w:name w:val="Hyperlink"/>
    <w:basedOn w:val="DefaultParagraphFont"/>
    <w:uiPriority w:val="99"/>
    <w:rsid w:val="007C6DCC"/>
    <w:rPr>
      <w:color w:val="0000FF"/>
      <w:u w:val="single"/>
    </w:rPr>
  </w:style>
  <w:style w:type="paragraph" w:styleId="TOC1">
    <w:name w:val="toc 1"/>
    <w:basedOn w:val="Normal"/>
    <w:next w:val="Normal"/>
    <w:autoRedefine/>
    <w:uiPriority w:val="39"/>
    <w:rsid w:val="008D1E82"/>
    <w:pPr>
      <w:tabs>
        <w:tab w:val="left" w:pos="480"/>
        <w:tab w:val="right" w:leader="dot" w:pos="9062"/>
      </w:tabs>
    </w:pPr>
    <w:rPr>
      <w:b/>
      <w:noProof/>
      <w:lang w:val="en-GB"/>
    </w:rPr>
  </w:style>
  <w:style w:type="paragraph" w:styleId="TOC2">
    <w:name w:val="toc 2"/>
    <w:basedOn w:val="Normal"/>
    <w:next w:val="Normal"/>
    <w:autoRedefine/>
    <w:uiPriority w:val="39"/>
    <w:rsid w:val="007C64FB"/>
    <w:pPr>
      <w:ind w:left="240"/>
    </w:pPr>
  </w:style>
  <w:style w:type="paragraph" w:styleId="TOC3">
    <w:name w:val="toc 3"/>
    <w:basedOn w:val="Normal"/>
    <w:next w:val="Normal"/>
    <w:autoRedefine/>
    <w:uiPriority w:val="39"/>
    <w:rsid w:val="00E116AB"/>
    <w:pPr>
      <w:ind w:left="480"/>
    </w:pPr>
  </w:style>
  <w:style w:type="paragraph" w:styleId="NormalWeb">
    <w:name w:val="Normal (Web)"/>
    <w:basedOn w:val="Normal"/>
    <w:link w:val="NormalWebChar"/>
    <w:rsid w:val="00940A50"/>
  </w:style>
  <w:style w:type="character" w:customStyle="1" w:styleId="NormalWebChar">
    <w:name w:val="Normal (Web) Char"/>
    <w:basedOn w:val="DefaultParagraphFont"/>
    <w:link w:val="NormalWeb"/>
    <w:rsid w:val="007A5006"/>
    <w:rPr>
      <w:sz w:val="24"/>
      <w:szCs w:val="24"/>
      <w:lang w:val="cs-CZ" w:eastAsia="cs-CZ" w:bidi="ar-SA"/>
    </w:rPr>
  </w:style>
  <w:style w:type="character" w:styleId="Strong">
    <w:name w:val="Strong"/>
    <w:basedOn w:val="DefaultParagraphFont"/>
    <w:qFormat/>
    <w:rsid w:val="00940A50"/>
    <w:rPr>
      <w:b/>
      <w:bCs/>
    </w:rPr>
  </w:style>
  <w:style w:type="character" w:styleId="Emphasis">
    <w:name w:val="Emphasis"/>
    <w:basedOn w:val="DefaultParagraphFont"/>
    <w:qFormat/>
    <w:rsid w:val="00940A50"/>
    <w:rPr>
      <w:i/>
      <w:iCs/>
    </w:rPr>
  </w:style>
  <w:style w:type="paragraph" w:styleId="FootnoteText">
    <w:name w:val="footnote text"/>
    <w:basedOn w:val="Normal"/>
    <w:link w:val="FootnoteTextChar"/>
    <w:semiHidden/>
    <w:rsid w:val="00940A50"/>
    <w:rPr>
      <w:sz w:val="20"/>
      <w:szCs w:val="20"/>
    </w:rPr>
  </w:style>
  <w:style w:type="character" w:styleId="FootnoteReference">
    <w:name w:val="footnote reference"/>
    <w:basedOn w:val="DefaultParagraphFont"/>
    <w:semiHidden/>
    <w:rsid w:val="00940A50"/>
    <w:rPr>
      <w:vertAlign w:val="superscript"/>
    </w:rPr>
  </w:style>
  <w:style w:type="table" w:styleId="TableGrid">
    <w:name w:val="Table Grid"/>
    <w:basedOn w:val="TableNormal"/>
    <w:rsid w:val="0010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al"/>
    <w:link w:val="AODocTxtCharCharChar"/>
    <w:rsid w:val="00B05EA2"/>
    <w:pPr>
      <w:numPr>
        <w:numId w:val="2"/>
      </w:numPr>
      <w:spacing w:before="240" w:line="260" w:lineRule="atLeast"/>
    </w:pPr>
    <w:rPr>
      <w:rFonts w:eastAsia="SimSun"/>
      <w:sz w:val="22"/>
      <w:szCs w:val="22"/>
      <w:lang w:val="en-GB" w:eastAsia="en-US"/>
    </w:rPr>
  </w:style>
  <w:style w:type="character" w:customStyle="1" w:styleId="AODocTxtCharCharChar">
    <w:name w:val="AODocTxt Char Char Char"/>
    <w:basedOn w:val="DefaultParagraphFont"/>
    <w:link w:val="AODocTxtCharChar"/>
    <w:rsid w:val="00B05EA2"/>
    <w:rPr>
      <w:rFonts w:eastAsia="SimSun"/>
      <w:sz w:val="22"/>
      <w:szCs w:val="22"/>
      <w:lang w:val="en-GB" w:eastAsia="en-US"/>
    </w:rPr>
  </w:style>
  <w:style w:type="paragraph" w:customStyle="1" w:styleId="AODocTxtL1">
    <w:name w:val="AODocTxtL1"/>
    <w:basedOn w:val="AODocTxtCharChar"/>
    <w:rsid w:val="00B05EA2"/>
    <w:pPr>
      <w:numPr>
        <w:ilvl w:val="1"/>
      </w:numPr>
      <w:tabs>
        <w:tab w:val="num" w:pos="643"/>
      </w:tabs>
      <w:ind w:left="643" w:hanging="360"/>
    </w:pPr>
  </w:style>
  <w:style w:type="paragraph" w:customStyle="1" w:styleId="AODocTxtL2">
    <w:name w:val="AODocTxtL2"/>
    <w:basedOn w:val="AODocTxtCharChar"/>
    <w:rsid w:val="00B05EA2"/>
    <w:pPr>
      <w:numPr>
        <w:ilvl w:val="2"/>
      </w:numPr>
      <w:tabs>
        <w:tab w:val="num" w:pos="643"/>
      </w:tabs>
      <w:ind w:left="643" w:hanging="360"/>
    </w:pPr>
  </w:style>
  <w:style w:type="paragraph" w:customStyle="1" w:styleId="AODocTxtL3">
    <w:name w:val="AODocTxtL3"/>
    <w:basedOn w:val="AODocTxtCharChar"/>
    <w:rsid w:val="00B05EA2"/>
    <w:pPr>
      <w:numPr>
        <w:numId w:val="0"/>
      </w:numPr>
      <w:tabs>
        <w:tab w:val="num" w:pos="643"/>
      </w:tabs>
      <w:ind w:left="643" w:hanging="360"/>
    </w:pPr>
  </w:style>
  <w:style w:type="paragraph" w:customStyle="1" w:styleId="AODocTxtL4">
    <w:name w:val="AODocTxtL4"/>
    <w:basedOn w:val="AODocTxtCharChar"/>
    <w:rsid w:val="00B05EA2"/>
    <w:pPr>
      <w:numPr>
        <w:numId w:val="0"/>
      </w:numPr>
      <w:tabs>
        <w:tab w:val="num" w:pos="643"/>
      </w:tabs>
      <w:ind w:left="643" w:hanging="360"/>
    </w:pPr>
  </w:style>
  <w:style w:type="paragraph" w:customStyle="1" w:styleId="AODocTxtL5">
    <w:name w:val="AODocTxtL5"/>
    <w:basedOn w:val="AODocTxtCharChar"/>
    <w:rsid w:val="00B05EA2"/>
    <w:pPr>
      <w:numPr>
        <w:numId w:val="0"/>
      </w:numPr>
      <w:tabs>
        <w:tab w:val="num" w:pos="643"/>
      </w:tabs>
      <w:ind w:left="643" w:hanging="360"/>
    </w:pPr>
  </w:style>
  <w:style w:type="paragraph" w:customStyle="1" w:styleId="AODocTxtL6">
    <w:name w:val="AODocTxtL6"/>
    <w:basedOn w:val="AODocTxtCharChar"/>
    <w:rsid w:val="00B05EA2"/>
    <w:pPr>
      <w:numPr>
        <w:numId w:val="0"/>
      </w:numPr>
      <w:tabs>
        <w:tab w:val="num" w:pos="643"/>
      </w:tabs>
      <w:ind w:left="643" w:hanging="360"/>
    </w:pPr>
  </w:style>
  <w:style w:type="paragraph" w:customStyle="1" w:styleId="AODocTxtL7">
    <w:name w:val="AODocTxtL7"/>
    <w:basedOn w:val="AODocTxtCharChar"/>
    <w:rsid w:val="00B05EA2"/>
    <w:pPr>
      <w:numPr>
        <w:numId w:val="0"/>
      </w:numPr>
      <w:tabs>
        <w:tab w:val="num" w:pos="643"/>
      </w:tabs>
      <w:ind w:left="643" w:hanging="360"/>
    </w:pPr>
  </w:style>
  <w:style w:type="paragraph" w:customStyle="1" w:styleId="AODocTxtL8">
    <w:name w:val="AODocTxtL8"/>
    <w:basedOn w:val="AODocTxtCharChar"/>
    <w:rsid w:val="00B05EA2"/>
    <w:pPr>
      <w:numPr>
        <w:numId w:val="0"/>
      </w:numPr>
      <w:tabs>
        <w:tab w:val="num" w:pos="643"/>
      </w:tabs>
      <w:ind w:left="643" w:hanging="360"/>
    </w:pPr>
  </w:style>
  <w:style w:type="paragraph" w:customStyle="1" w:styleId="AOHeading2">
    <w:name w:val="AOHeading2"/>
    <w:basedOn w:val="Normal"/>
    <w:next w:val="Normal"/>
    <w:rsid w:val="00133FEF"/>
    <w:pPr>
      <w:keepNext/>
      <w:spacing w:before="240" w:line="260" w:lineRule="atLeast"/>
      <w:outlineLvl w:val="1"/>
    </w:pPr>
    <w:rPr>
      <w:rFonts w:eastAsia="SimSun"/>
      <w:b/>
      <w:sz w:val="22"/>
      <w:szCs w:val="22"/>
      <w:lang w:val="en-GB" w:eastAsia="en-US"/>
    </w:rPr>
  </w:style>
  <w:style w:type="paragraph" w:customStyle="1" w:styleId="AOHeading6">
    <w:name w:val="AOHeading6"/>
    <w:basedOn w:val="Normal"/>
    <w:next w:val="Normal"/>
    <w:rsid w:val="00133FEF"/>
    <w:pPr>
      <w:keepNext/>
      <w:spacing w:before="240" w:line="260" w:lineRule="atLeast"/>
      <w:outlineLvl w:val="5"/>
    </w:pPr>
    <w:rPr>
      <w:rFonts w:eastAsia="SimSun"/>
      <w:b/>
      <w:i/>
      <w:sz w:val="22"/>
      <w:szCs w:val="22"/>
      <w:lang w:val="en-GB" w:eastAsia="en-US"/>
    </w:rPr>
  </w:style>
  <w:style w:type="paragraph" w:customStyle="1" w:styleId="AODocTxt">
    <w:name w:val="AODocTxt"/>
    <w:basedOn w:val="Normal"/>
    <w:rsid w:val="00963AA8"/>
    <w:pPr>
      <w:spacing w:before="240" w:line="260" w:lineRule="atLeast"/>
    </w:pPr>
    <w:rPr>
      <w:rFonts w:eastAsia="SimSun"/>
      <w:sz w:val="22"/>
      <w:szCs w:val="22"/>
      <w:lang w:val="en-GB" w:eastAsia="en-US"/>
    </w:rPr>
  </w:style>
  <w:style w:type="paragraph" w:customStyle="1" w:styleId="AONormal">
    <w:name w:val="AONormal"/>
    <w:rsid w:val="00A37475"/>
    <w:pPr>
      <w:spacing w:line="260" w:lineRule="atLeast"/>
    </w:pPr>
    <w:rPr>
      <w:rFonts w:eastAsia="SimSun"/>
      <w:sz w:val="22"/>
      <w:szCs w:val="22"/>
      <w:lang w:val="en-GB" w:eastAsia="en-US"/>
    </w:rPr>
  </w:style>
  <w:style w:type="paragraph" w:customStyle="1" w:styleId="AOListNumber">
    <w:name w:val="AOListNumber"/>
    <w:basedOn w:val="Normal"/>
    <w:rsid w:val="002478FB"/>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al"/>
    <w:rsid w:val="00317ACD"/>
    <w:pPr>
      <w:numPr>
        <w:numId w:val="4"/>
      </w:numPr>
      <w:spacing w:before="240" w:line="260" w:lineRule="atLeast"/>
    </w:pPr>
    <w:rPr>
      <w:rFonts w:eastAsia="SimSun"/>
      <w:sz w:val="22"/>
      <w:szCs w:val="22"/>
      <w:lang w:val="en-GB" w:eastAsia="en-US"/>
    </w:rPr>
  </w:style>
  <w:style w:type="paragraph" w:customStyle="1" w:styleId="AOHeading4">
    <w:name w:val="AOHeading4"/>
    <w:basedOn w:val="Normal"/>
    <w:next w:val="AODocTxt"/>
    <w:rsid w:val="00317ACD"/>
    <w:pPr>
      <w:keepNext/>
      <w:spacing w:before="240" w:line="260" w:lineRule="atLeast"/>
      <w:outlineLvl w:val="3"/>
    </w:pPr>
    <w:rPr>
      <w:rFonts w:eastAsia="SimSun"/>
      <w:i/>
      <w:sz w:val="22"/>
      <w:szCs w:val="22"/>
      <w:lang w:val="en-GB" w:eastAsia="en-US"/>
    </w:rPr>
  </w:style>
  <w:style w:type="paragraph" w:styleId="TOC4">
    <w:name w:val="toc 4"/>
    <w:basedOn w:val="Normal"/>
    <w:next w:val="Normal"/>
    <w:autoRedefine/>
    <w:uiPriority w:val="39"/>
    <w:rsid w:val="003C4C6F"/>
    <w:pPr>
      <w:ind w:left="720"/>
    </w:pPr>
  </w:style>
  <w:style w:type="character" w:customStyle="1" w:styleId="platne1">
    <w:name w:val="platne1"/>
    <w:basedOn w:val="DefaultParagraphFont"/>
    <w:rsid w:val="00374B50"/>
  </w:style>
  <w:style w:type="paragraph" w:styleId="BodyText">
    <w:name w:val="Body Text"/>
    <w:basedOn w:val="Normal"/>
    <w:rsid w:val="00131B3A"/>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paragraph" w:customStyle="1" w:styleId="euroheading">
    <w:name w:val="euro heading"/>
    <w:basedOn w:val="Normal"/>
    <w:rsid w:val="003322AB"/>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al"/>
    <w:rsid w:val="003322AB"/>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al"/>
    <w:rsid w:val="003322AB"/>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al"/>
    <w:rsid w:val="003322AB"/>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al"/>
    <w:rsid w:val="003322AB"/>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Header">
    <w:name w:val="header"/>
    <w:basedOn w:val="Normal"/>
    <w:link w:val="HeaderChar"/>
    <w:rsid w:val="003322AB"/>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paragraph" w:styleId="BodyTextIndent">
    <w:name w:val="Body Text Indent"/>
    <w:basedOn w:val="Normal"/>
    <w:rsid w:val="00FF3348"/>
    <w:pPr>
      <w:spacing w:after="120"/>
      <w:ind w:left="283"/>
    </w:pPr>
  </w:style>
  <w:style w:type="paragraph" w:customStyle="1" w:styleId="Ne1">
    <w:name w:val="Ne1"/>
    <w:basedOn w:val="Normal"/>
    <w:next w:val="Ne2"/>
    <w:autoRedefine/>
    <w:rsid w:val="00FF3348"/>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FF3348"/>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FF3348"/>
    <w:pPr>
      <w:tabs>
        <w:tab w:val="clear" w:pos="851"/>
        <w:tab w:val="left" w:pos="-108"/>
      </w:tabs>
      <w:ind w:left="851"/>
    </w:pPr>
  </w:style>
  <w:style w:type="character" w:customStyle="1" w:styleId="Ne2Char">
    <w:name w:val="Ne2 Char"/>
    <w:basedOn w:val="DefaultParagraphFont"/>
    <w:link w:val="Ne2"/>
    <w:rsid w:val="00FF3348"/>
    <w:rPr>
      <w:rFonts w:cs="Arial"/>
      <w:sz w:val="22"/>
      <w:szCs w:val="24"/>
      <w:lang w:val="cs-CZ" w:eastAsia="en-US" w:bidi="ar-SA"/>
    </w:rPr>
  </w:style>
  <w:style w:type="paragraph" w:customStyle="1" w:styleId="Ne4">
    <w:name w:val="Ne4"/>
    <w:basedOn w:val="Ne2"/>
    <w:next w:val="Ne2"/>
    <w:rsid w:val="00FF3348"/>
    <w:pPr>
      <w:spacing w:before="240"/>
    </w:pPr>
    <w:rPr>
      <w:i/>
      <w:iCs/>
    </w:rPr>
  </w:style>
  <w:style w:type="paragraph" w:customStyle="1" w:styleId="Ne0">
    <w:name w:val="Ne 0"/>
    <w:basedOn w:val="Ne1"/>
    <w:next w:val="Ne2"/>
    <w:autoRedefine/>
    <w:rsid w:val="00FF3348"/>
    <w:pPr>
      <w:keepNext w:val="0"/>
      <w:keepLines w:val="0"/>
      <w:tabs>
        <w:tab w:val="clear" w:pos="540"/>
        <w:tab w:val="left" w:pos="480"/>
      </w:tabs>
      <w:spacing w:before="120"/>
    </w:pPr>
    <w:rPr>
      <w:bCs/>
    </w:rPr>
  </w:style>
  <w:style w:type="paragraph" w:styleId="BodyTextIndent2">
    <w:name w:val="Body Text Indent 2"/>
    <w:basedOn w:val="Normal"/>
    <w:rsid w:val="00FF3348"/>
    <w:pPr>
      <w:overflowPunct w:val="0"/>
      <w:autoSpaceDE w:val="0"/>
      <w:autoSpaceDN w:val="0"/>
      <w:adjustRightInd w:val="0"/>
      <w:spacing w:before="120"/>
      <w:ind w:left="425"/>
      <w:textAlignment w:val="baseline"/>
    </w:pPr>
    <w:rPr>
      <w:rFonts w:ascii="Times" w:hAnsi="Times"/>
      <w:sz w:val="22"/>
      <w:szCs w:val="20"/>
      <w:lang w:val="en-GB" w:eastAsia="en-US"/>
    </w:rPr>
  </w:style>
  <w:style w:type="paragraph" w:styleId="BodyTextIndent3">
    <w:name w:val="Body Text Indent 3"/>
    <w:basedOn w:val="Normal"/>
    <w:rsid w:val="00FF3348"/>
    <w:pPr>
      <w:spacing w:before="120" w:line="240" w:lineRule="atLeast"/>
      <w:ind w:left="426"/>
    </w:pPr>
    <w:rPr>
      <w:szCs w:val="20"/>
      <w:lang w:eastAsia="en-US"/>
    </w:rPr>
  </w:style>
  <w:style w:type="paragraph" w:customStyle="1" w:styleId="CVtextheader1">
    <w:name w:val="CV text  header 1"/>
    <w:link w:val="CVtextheader1Char"/>
    <w:rsid w:val="00FF3348"/>
    <w:pPr>
      <w:spacing w:before="120" w:line="280" w:lineRule="atLeast"/>
      <w:ind w:left="567"/>
      <w:jc w:val="both"/>
    </w:pPr>
    <w:rPr>
      <w:sz w:val="22"/>
      <w:szCs w:val="24"/>
      <w:lang w:eastAsia="en-US"/>
    </w:rPr>
  </w:style>
  <w:style w:type="character" w:customStyle="1" w:styleId="CVtextheader1Char">
    <w:name w:val="CV text  header 1 Char"/>
    <w:basedOn w:val="DefaultParagraphFont"/>
    <w:link w:val="CVtextheader1"/>
    <w:rsid w:val="00FF3348"/>
    <w:rPr>
      <w:sz w:val="22"/>
      <w:szCs w:val="24"/>
      <w:lang w:val="cs-CZ" w:eastAsia="en-US" w:bidi="ar-SA"/>
    </w:rPr>
  </w:style>
  <w:style w:type="table" w:customStyle="1" w:styleId="CVtable1header1">
    <w:name w:val="CV table 1 header 1"/>
    <w:basedOn w:val="TableNormal"/>
    <w:rsid w:val="00FF3348"/>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FF3348"/>
    <w:rPr>
      <w:sz w:val="18"/>
      <w:szCs w:val="18"/>
      <w:lang w:eastAsia="en-US"/>
    </w:rPr>
  </w:style>
  <w:style w:type="paragraph" w:customStyle="1" w:styleId="CVbodytablerowheader">
    <w:name w:val="CV body table row header"/>
    <w:rsid w:val="00FF3348"/>
    <w:pPr>
      <w:jc w:val="right"/>
    </w:pPr>
    <w:rPr>
      <w:sz w:val="18"/>
      <w:szCs w:val="18"/>
      <w:lang w:eastAsia="en-US"/>
    </w:rPr>
  </w:style>
  <w:style w:type="paragraph" w:styleId="CommentText">
    <w:name w:val="annotation text"/>
    <w:basedOn w:val="Normal"/>
    <w:semiHidden/>
    <w:rsid w:val="00FF3348"/>
    <w:rPr>
      <w:sz w:val="20"/>
      <w:szCs w:val="20"/>
    </w:rPr>
  </w:style>
  <w:style w:type="paragraph" w:customStyle="1" w:styleId="SPPbasic">
    <w:name w:val="SPP_basic"/>
    <w:basedOn w:val="Normal"/>
    <w:rsid w:val="00FF3348"/>
    <w:pPr>
      <w:suppressAutoHyphens/>
      <w:spacing w:before="240"/>
      <w:ind w:left="567"/>
    </w:pPr>
    <w:rPr>
      <w:sz w:val="22"/>
      <w:szCs w:val="22"/>
      <w:lang w:eastAsia="en-US"/>
    </w:rPr>
  </w:style>
  <w:style w:type="paragraph" w:customStyle="1" w:styleId="BodyText31">
    <w:name w:val="Body Text 31"/>
    <w:basedOn w:val="Normal"/>
    <w:link w:val="BodyText31Char"/>
    <w:rsid w:val="00FF3348"/>
    <w:pPr>
      <w:overflowPunct w:val="0"/>
      <w:autoSpaceDE w:val="0"/>
      <w:autoSpaceDN w:val="0"/>
      <w:adjustRightInd w:val="0"/>
      <w:spacing w:before="120" w:line="240" w:lineRule="atLeast"/>
      <w:textAlignment w:val="baseline"/>
    </w:pPr>
    <w:rPr>
      <w:rFonts w:ascii="Arial" w:hAnsi="Arial"/>
    </w:rPr>
  </w:style>
  <w:style w:type="character" w:customStyle="1" w:styleId="BodyText31Char">
    <w:name w:val="Body Text 31 Char"/>
    <w:basedOn w:val="DefaultParagraphFont"/>
    <w:link w:val="BodyText31"/>
    <w:rsid w:val="00FF3348"/>
    <w:rPr>
      <w:rFonts w:ascii="Arial" w:hAnsi="Arial"/>
      <w:sz w:val="24"/>
      <w:szCs w:val="24"/>
      <w:lang w:val="cs-CZ" w:eastAsia="cs-CZ" w:bidi="ar-SA"/>
    </w:rPr>
  </w:style>
  <w:style w:type="character" w:styleId="CommentReference">
    <w:name w:val="annotation reference"/>
    <w:basedOn w:val="DefaultParagraphFont"/>
    <w:semiHidden/>
    <w:rsid w:val="00FF3348"/>
    <w:rPr>
      <w:sz w:val="16"/>
      <w:szCs w:val="16"/>
    </w:rPr>
  </w:style>
  <w:style w:type="character" w:customStyle="1" w:styleId="editace2">
    <w:name w:val="editace2"/>
    <w:basedOn w:val="DefaultParagraphFont"/>
    <w:rsid w:val="00FF3348"/>
    <w:rPr>
      <w:b/>
      <w:bCs/>
      <w:strike/>
      <w:dstrike w:val="0"/>
      <w:color w:val="FF0000"/>
      <w:vertAlign w:val="baseline"/>
      <w:lang w:val="en-GB"/>
    </w:rPr>
  </w:style>
  <w:style w:type="paragraph" w:customStyle="1" w:styleId="Style1">
    <w:name w:val="Style1"/>
    <w:basedOn w:val="Normal"/>
    <w:next w:val="Normal"/>
    <w:rsid w:val="00FF3348"/>
    <w:pPr>
      <w:ind w:left="600"/>
    </w:pPr>
    <w:rPr>
      <w:rFonts w:cs="Arial"/>
      <w:color w:val="000080"/>
      <w:u w:val="single"/>
      <w:lang w:val="en-GB" w:eastAsia="en-US"/>
    </w:rPr>
  </w:style>
  <w:style w:type="paragraph" w:customStyle="1" w:styleId="CVtextheader2italics">
    <w:name w:val="CV text header 2 italics"/>
    <w:rsid w:val="00FF3348"/>
    <w:pPr>
      <w:spacing w:before="120" w:line="280" w:lineRule="atLeast"/>
      <w:ind w:left="1134"/>
      <w:jc w:val="both"/>
    </w:pPr>
    <w:rPr>
      <w:i/>
      <w:sz w:val="22"/>
      <w:lang w:eastAsia="en-US"/>
    </w:rPr>
  </w:style>
  <w:style w:type="paragraph" w:styleId="CommentSubject">
    <w:name w:val="annotation subject"/>
    <w:basedOn w:val="CommentText"/>
    <w:next w:val="CommentText"/>
    <w:semiHidden/>
    <w:rsid w:val="00BD690A"/>
    <w:rPr>
      <w:b/>
      <w:bCs/>
      <w:lang w:val="en-US" w:eastAsia="en-US"/>
    </w:rPr>
  </w:style>
  <w:style w:type="paragraph" w:customStyle="1" w:styleId="AODocTxtChar">
    <w:name w:val="AODocTxt Char"/>
    <w:basedOn w:val="Normal"/>
    <w:rsid w:val="00D27E52"/>
    <w:pPr>
      <w:spacing w:before="240" w:line="260" w:lineRule="atLeast"/>
    </w:pPr>
    <w:rPr>
      <w:rFonts w:eastAsia="SimSun"/>
      <w:sz w:val="22"/>
      <w:szCs w:val="22"/>
      <w:lang w:val="en-GB" w:eastAsia="en-US"/>
    </w:rPr>
  </w:style>
  <w:style w:type="table" w:styleId="TableGrid8">
    <w:name w:val="Table Grid 8"/>
    <w:basedOn w:val="TableNormal"/>
    <w:rsid w:val="00B520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al"/>
    <w:next w:val="AODocTxt"/>
    <w:rsid w:val="00DD5D2E"/>
    <w:pPr>
      <w:numPr>
        <w:numId w:val="6"/>
      </w:numPr>
      <w:spacing w:before="240" w:line="260" w:lineRule="atLeast"/>
    </w:pPr>
    <w:rPr>
      <w:rFonts w:eastAsia="SimSun"/>
      <w:sz w:val="22"/>
      <w:szCs w:val="22"/>
      <w:lang w:val="fr-FR" w:eastAsia="en-US"/>
    </w:rPr>
  </w:style>
  <w:style w:type="paragraph" w:customStyle="1" w:styleId="AOHead1">
    <w:name w:val="AOHead1"/>
    <w:basedOn w:val="Normal"/>
    <w:next w:val="AODocTxtL1"/>
    <w:rsid w:val="004863AD"/>
    <w:pPr>
      <w:keepNext/>
      <w:numPr>
        <w:numId w:val="7"/>
      </w:numPr>
      <w:spacing w:before="240" w:line="260" w:lineRule="atLeast"/>
      <w:outlineLvl w:val="0"/>
    </w:pPr>
    <w:rPr>
      <w:rFonts w:eastAsia="SimSun"/>
      <w:b/>
      <w:caps/>
      <w:kern w:val="28"/>
      <w:sz w:val="22"/>
      <w:szCs w:val="22"/>
      <w:lang w:val="fr-FR" w:eastAsia="en-US"/>
    </w:rPr>
  </w:style>
  <w:style w:type="paragraph" w:customStyle="1" w:styleId="AOHead2">
    <w:name w:val="AOHead2"/>
    <w:basedOn w:val="Normal"/>
    <w:next w:val="AODocTxtL1"/>
    <w:rsid w:val="004863AD"/>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al"/>
    <w:next w:val="AODocTxtL2"/>
    <w:rsid w:val="004863AD"/>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al"/>
    <w:next w:val="AODocTxtL3"/>
    <w:rsid w:val="004863AD"/>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al"/>
    <w:next w:val="AODocTxtL4"/>
    <w:rsid w:val="004863AD"/>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al"/>
    <w:next w:val="AODocTxtL5"/>
    <w:rsid w:val="004863AD"/>
    <w:pPr>
      <w:tabs>
        <w:tab w:val="num" w:pos="3600"/>
      </w:tabs>
      <w:spacing w:before="240" w:line="260" w:lineRule="atLeast"/>
      <w:ind w:left="3600" w:hanging="720"/>
      <w:outlineLvl w:val="5"/>
    </w:pPr>
    <w:rPr>
      <w:rFonts w:eastAsia="SimSun"/>
      <w:sz w:val="22"/>
      <w:szCs w:val="22"/>
      <w:lang w:val="fr-FR" w:eastAsia="en-US"/>
    </w:rPr>
  </w:style>
  <w:style w:type="paragraph" w:styleId="DocumentMap">
    <w:name w:val="Document Map"/>
    <w:basedOn w:val="Normal"/>
    <w:semiHidden/>
    <w:rsid w:val="00A219DB"/>
    <w:pPr>
      <w:shd w:val="clear" w:color="auto" w:fill="000080"/>
    </w:pPr>
    <w:rPr>
      <w:rFonts w:ascii="Tahoma" w:hAnsi="Tahoma" w:cs="Tahoma"/>
    </w:rPr>
  </w:style>
  <w:style w:type="paragraph" w:customStyle="1" w:styleId="aodoctxt0">
    <w:name w:val="aodoctxt"/>
    <w:basedOn w:val="Normal"/>
    <w:rsid w:val="007D3921"/>
  </w:style>
  <w:style w:type="paragraph" w:styleId="z-TopofForm">
    <w:name w:val="HTML Top of Form"/>
    <w:basedOn w:val="Normal"/>
    <w:next w:val="Normal"/>
    <w:hidden/>
    <w:rsid w:val="00046C4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046C4B"/>
    <w:pPr>
      <w:pBdr>
        <w:top w:val="single" w:sz="6" w:space="1" w:color="auto"/>
      </w:pBdr>
      <w:jc w:val="center"/>
    </w:pPr>
    <w:rPr>
      <w:rFonts w:ascii="Arial" w:hAnsi="Arial" w:cs="Arial"/>
      <w:vanish/>
      <w:sz w:val="16"/>
      <w:szCs w:val="16"/>
    </w:rPr>
  </w:style>
  <w:style w:type="character" w:customStyle="1" w:styleId="vcblt1">
    <w:name w:val="vcb_lt1"/>
    <w:basedOn w:val="DefaultParagraphFont"/>
    <w:rsid w:val="00967059"/>
    <w:rPr>
      <w:rFonts w:ascii="Arial" w:hAnsi="Arial" w:cs="Arial" w:hint="default"/>
      <w:b w:val="0"/>
      <w:bCs w:val="0"/>
      <w:strike w:val="0"/>
      <w:dstrike w:val="0"/>
      <w:color w:val="0000FF"/>
      <w:sz w:val="20"/>
      <w:szCs w:val="20"/>
      <w:u w:val="none"/>
      <w:effect w:val="none"/>
    </w:rPr>
  </w:style>
  <w:style w:type="character" w:customStyle="1" w:styleId="vcbrt1">
    <w:name w:val="vcb_rt1"/>
    <w:basedOn w:val="DefaultParagraphFont"/>
    <w:rsid w:val="00967059"/>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284831"/>
    <w:rPr>
      <w:color w:val="0000FF"/>
      <w:spacing w:val="0"/>
      <w:u w:val="double"/>
    </w:rPr>
  </w:style>
  <w:style w:type="paragraph" w:customStyle="1" w:styleId="CM38">
    <w:name w:val="CM38"/>
    <w:basedOn w:val="Normal"/>
    <w:next w:val="Normal"/>
    <w:uiPriority w:val="99"/>
    <w:rsid w:val="008E60DA"/>
    <w:pPr>
      <w:widowControl w:val="0"/>
      <w:autoSpaceDE w:val="0"/>
      <w:autoSpaceDN w:val="0"/>
      <w:adjustRightInd w:val="0"/>
    </w:pPr>
    <w:rPr>
      <w:rFonts w:ascii="EurostileTEEBla" w:hAnsi="EurostileTEEBla"/>
    </w:rPr>
  </w:style>
  <w:style w:type="paragraph" w:customStyle="1" w:styleId="CM42">
    <w:name w:val="CM42"/>
    <w:basedOn w:val="Normal"/>
    <w:next w:val="Normal"/>
    <w:uiPriority w:val="99"/>
    <w:rsid w:val="008E60DA"/>
    <w:pPr>
      <w:widowControl w:val="0"/>
      <w:autoSpaceDE w:val="0"/>
      <w:autoSpaceDN w:val="0"/>
      <w:adjustRightInd w:val="0"/>
    </w:pPr>
    <w:rPr>
      <w:rFonts w:ascii="EurostileTEEBla" w:hAnsi="EurostileTEEBla"/>
    </w:rPr>
  </w:style>
  <w:style w:type="character" w:styleId="FollowedHyperlink">
    <w:name w:val="FollowedHyperlink"/>
    <w:basedOn w:val="DefaultParagraphFont"/>
    <w:rsid w:val="00875F2A"/>
    <w:rPr>
      <w:color w:val="800080"/>
      <w:u w:val="single"/>
    </w:rPr>
  </w:style>
  <w:style w:type="paragraph" w:customStyle="1" w:styleId="Odstavecseseznamem1">
    <w:name w:val="Odstavec se seznamem1"/>
    <w:basedOn w:val="Normal"/>
    <w:rsid w:val="008F2F2C"/>
    <w:pPr>
      <w:spacing w:after="200" w:line="276" w:lineRule="auto"/>
      <w:ind w:left="720"/>
      <w:contextualSpacing/>
    </w:pPr>
    <w:rPr>
      <w:rFonts w:ascii="Calibri" w:hAnsi="Calibri"/>
      <w:sz w:val="22"/>
      <w:szCs w:val="22"/>
      <w:lang w:eastAsia="en-US"/>
    </w:rPr>
  </w:style>
  <w:style w:type="paragraph" w:styleId="TOCHeading">
    <w:name w:val="TOC Heading"/>
    <w:basedOn w:val="Heading1"/>
    <w:next w:val="Normal"/>
    <w:uiPriority w:val="39"/>
    <w:unhideWhenUsed/>
    <w:qFormat/>
    <w:rsid w:val="009843D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NoSpacing">
    <w:name w:val="No Spacing"/>
    <w:link w:val="NoSpacingChar"/>
    <w:uiPriority w:val="1"/>
    <w:qFormat/>
    <w:rsid w:val="009843D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9843DC"/>
    <w:rPr>
      <w:rFonts w:asciiTheme="minorHAnsi" w:eastAsiaTheme="minorEastAsia" w:hAnsiTheme="minorHAnsi" w:cstheme="minorBidi"/>
      <w:sz w:val="22"/>
      <w:szCs w:val="22"/>
      <w:lang w:eastAsia="en-US"/>
    </w:rPr>
  </w:style>
  <w:style w:type="paragraph" w:styleId="ListParagraph">
    <w:name w:val="List Paragraph"/>
    <w:basedOn w:val="Normal"/>
    <w:uiPriority w:val="34"/>
    <w:qFormat/>
    <w:rsid w:val="00E825A9"/>
    <w:pPr>
      <w:ind w:left="720"/>
      <w:contextualSpacing/>
    </w:pPr>
  </w:style>
  <w:style w:type="character" w:customStyle="1" w:styleId="HeaderChar">
    <w:name w:val="Header Char"/>
    <w:basedOn w:val="DefaultParagraphFont"/>
    <w:link w:val="Header"/>
    <w:rsid w:val="00A33834"/>
    <w:rPr>
      <w:lang w:val="en-GB" w:eastAsia="en-US"/>
    </w:rPr>
  </w:style>
  <w:style w:type="character" w:customStyle="1" w:styleId="FootnoteTextChar">
    <w:name w:val="Footnote Text Char"/>
    <w:basedOn w:val="DefaultParagraphFont"/>
    <w:link w:val="FootnoteText"/>
    <w:semiHidden/>
    <w:rsid w:val="00A33834"/>
  </w:style>
  <w:style w:type="paragraph" w:styleId="Revision">
    <w:name w:val="Revision"/>
    <w:hidden/>
    <w:uiPriority w:val="99"/>
    <w:semiHidden/>
    <w:rsid w:val="00014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5764">
      <w:bodyDiv w:val="1"/>
      <w:marLeft w:val="0"/>
      <w:marRight w:val="0"/>
      <w:marTop w:val="0"/>
      <w:marBottom w:val="0"/>
      <w:divBdr>
        <w:top w:val="none" w:sz="0" w:space="0" w:color="auto"/>
        <w:left w:val="none" w:sz="0" w:space="0" w:color="auto"/>
        <w:bottom w:val="none" w:sz="0" w:space="0" w:color="auto"/>
        <w:right w:val="none" w:sz="0" w:space="0" w:color="auto"/>
      </w:divBdr>
    </w:div>
    <w:div w:id="136847958">
      <w:bodyDiv w:val="1"/>
      <w:marLeft w:val="0"/>
      <w:marRight w:val="0"/>
      <w:marTop w:val="0"/>
      <w:marBottom w:val="0"/>
      <w:divBdr>
        <w:top w:val="none" w:sz="0" w:space="0" w:color="auto"/>
        <w:left w:val="none" w:sz="0" w:space="0" w:color="auto"/>
        <w:bottom w:val="none" w:sz="0" w:space="0" w:color="auto"/>
        <w:right w:val="none" w:sz="0" w:space="0" w:color="auto"/>
      </w:divBdr>
    </w:div>
    <w:div w:id="150415169">
      <w:bodyDiv w:val="1"/>
      <w:marLeft w:val="0"/>
      <w:marRight w:val="0"/>
      <w:marTop w:val="0"/>
      <w:marBottom w:val="0"/>
      <w:divBdr>
        <w:top w:val="none" w:sz="0" w:space="0" w:color="auto"/>
        <w:left w:val="none" w:sz="0" w:space="0" w:color="auto"/>
        <w:bottom w:val="none" w:sz="0" w:space="0" w:color="auto"/>
        <w:right w:val="none" w:sz="0" w:space="0" w:color="auto"/>
      </w:divBdr>
    </w:div>
    <w:div w:id="269241097">
      <w:bodyDiv w:val="1"/>
      <w:marLeft w:val="0"/>
      <w:marRight w:val="0"/>
      <w:marTop w:val="0"/>
      <w:marBottom w:val="0"/>
      <w:divBdr>
        <w:top w:val="none" w:sz="0" w:space="0" w:color="auto"/>
        <w:left w:val="none" w:sz="0" w:space="0" w:color="auto"/>
        <w:bottom w:val="none" w:sz="0" w:space="0" w:color="auto"/>
        <w:right w:val="none" w:sz="0" w:space="0" w:color="auto"/>
      </w:divBdr>
    </w:div>
    <w:div w:id="292752752">
      <w:bodyDiv w:val="1"/>
      <w:marLeft w:val="0"/>
      <w:marRight w:val="0"/>
      <w:marTop w:val="0"/>
      <w:marBottom w:val="0"/>
      <w:divBdr>
        <w:top w:val="none" w:sz="0" w:space="0" w:color="auto"/>
        <w:left w:val="none" w:sz="0" w:space="0" w:color="auto"/>
        <w:bottom w:val="none" w:sz="0" w:space="0" w:color="auto"/>
        <w:right w:val="none" w:sz="0" w:space="0" w:color="auto"/>
      </w:divBdr>
    </w:div>
    <w:div w:id="351345142">
      <w:bodyDiv w:val="1"/>
      <w:marLeft w:val="0"/>
      <w:marRight w:val="0"/>
      <w:marTop w:val="0"/>
      <w:marBottom w:val="0"/>
      <w:divBdr>
        <w:top w:val="none" w:sz="0" w:space="0" w:color="auto"/>
        <w:left w:val="none" w:sz="0" w:space="0" w:color="auto"/>
        <w:bottom w:val="none" w:sz="0" w:space="0" w:color="auto"/>
        <w:right w:val="none" w:sz="0" w:space="0" w:color="auto"/>
      </w:divBdr>
    </w:div>
    <w:div w:id="470757466">
      <w:bodyDiv w:val="1"/>
      <w:marLeft w:val="0"/>
      <w:marRight w:val="0"/>
      <w:marTop w:val="0"/>
      <w:marBottom w:val="0"/>
      <w:divBdr>
        <w:top w:val="none" w:sz="0" w:space="0" w:color="auto"/>
        <w:left w:val="none" w:sz="0" w:space="0" w:color="auto"/>
        <w:bottom w:val="none" w:sz="0" w:space="0" w:color="auto"/>
        <w:right w:val="none" w:sz="0" w:space="0" w:color="auto"/>
      </w:divBdr>
    </w:div>
    <w:div w:id="490291527">
      <w:bodyDiv w:val="1"/>
      <w:marLeft w:val="0"/>
      <w:marRight w:val="0"/>
      <w:marTop w:val="0"/>
      <w:marBottom w:val="0"/>
      <w:divBdr>
        <w:top w:val="none" w:sz="0" w:space="0" w:color="auto"/>
        <w:left w:val="none" w:sz="0" w:space="0" w:color="auto"/>
        <w:bottom w:val="none" w:sz="0" w:space="0" w:color="auto"/>
        <w:right w:val="none" w:sz="0" w:space="0" w:color="auto"/>
      </w:divBdr>
    </w:div>
    <w:div w:id="496379762">
      <w:bodyDiv w:val="1"/>
      <w:marLeft w:val="0"/>
      <w:marRight w:val="0"/>
      <w:marTop w:val="0"/>
      <w:marBottom w:val="0"/>
      <w:divBdr>
        <w:top w:val="none" w:sz="0" w:space="0" w:color="auto"/>
        <w:left w:val="none" w:sz="0" w:space="0" w:color="auto"/>
        <w:bottom w:val="none" w:sz="0" w:space="0" w:color="auto"/>
        <w:right w:val="none" w:sz="0" w:space="0" w:color="auto"/>
      </w:divBdr>
    </w:div>
    <w:div w:id="501167855">
      <w:bodyDiv w:val="1"/>
      <w:marLeft w:val="0"/>
      <w:marRight w:val="0"/>
      <w:marTop w:val="0"/>
      <w:marBottom w:val="0"/>
      <w:divBdr>
        <w:top w:val="none" w:sz="0" w:space="0" w:color="auto"/>
        <w:left w:val="none" w:sz="0" w:space="0" w:color="auto"/>
        <w:bottom w:val="none" w:sz="0" w:space="0" w:color="auto"/>
        <w:right w:val="none" w:sz="0" w:space="0" w:color="auto"/>
      </w:divBdr>
    </w:div>
    <w:div w:id="593365886">
      <w:bodyDiv w:val="1"/>
      <w:marLeft w:val="0"/>
      <w:marRight w:val="0"/>
      <w:marTop w:val="0"/>
      <w:marBottom w:val="0"/>
      <w:divBdr>
        <w:top w:val="none" w:sz="0" w:space="0" w:color="auto"/>
        <w:left w:val="none" w:sz="0" w:space="0" w:color="auto"/>
        <w:bottom w:val="none" w:sz="0" w:space="0" w:color="auto"/>
        <w:right w:val="none" w:sz="0" w:space="0" w:color="auto"/>
      </w:divBdr>
    </w:div>
    <w:div w:id="610010471">
      <w:bodyDiv w:val="1"/>
      <w:marLeft w:val="0"/>
      <w:marRight w:val="0"/>
      <w:marTop w:val="0"/>
      <w:marBottom w:val="0"/>
      <w:divBdr>
        <w:top w:val="none" w:sz="0" w:space="0" w:color="auto"/>
        <w:left w:val="none" w:sz="0" w:space="0" w:color="auto"/>
        <w:bottom w:val="none" w:sz="0" w:space="0" w:color="auto"/>
        <w:right w:val="none" w:sz="0" w:space="0" w:color="auto"/>
      </w:divBdr>
    </w:div>
    <w:div w:id="654727847">
      <w:bodyDiv w:val="1"/>
      <w:marLeft w:val="0"/>
      <w:marRight w:val="0"/>
      <w:marTop w:val="0"/>
      <w:marBottom w:val="0"/>
      <w:divBdr>
        <w:top w:val="none" w:sz="0" w:space="0" w:color="auto"/>
        <w:left w:val="none" w:sz="0" w:space="0" w:color="auto"/>
        <w:bottom w:val="none" w:sz="0" w:space="0" w:color="auto"/>
        <w:right w:val="none" w:sz="0" w:space="0" w:color="auto"/>
      </w:divBdr>
      <w:divsChild>
        <w:div w:id="2111974067">
          <w:marLeft w:val="0"/>
          <w:marRight w:val="0"/>
          <w:marTop w:val="0"/>
          <w:marBottom w:val="0"/>
          <w:divBdr>
            <w:top w:val="none" w:sz="0" w:space="0" w:color="auto"/>
            <w:left w:val="none" w:sz="0" w:space="0" w:color="auto"/>
            <w:bottom w:val="none" w:sz="0" w:space="0" w:color="auto"/>
            <w:right w:val="none" w:sz="0" w:space="0" w:color="auto"/>
          </w:divBdr>
        </w:div>
      </w:divsChild>
    </w:div>
    <w:div w:id="667557110">
      <w:bodyDiv w:val="1"/>
      <w:marLeft w:val="0"/>
      <w:marRight w:val="0"/>
      <w:marTop w:val="0"/>
      <w:marBottom w:val="0"/>
      <w:divBdr>
        <w:top w:val="none" w:sz="0" w:space="0" w:color="auto"/>
        <w:left w:val="none" w:sz="0" w:space="0" w:color="auto"/>
        <w:bottom w:val="none" w:sz="0" w:space="0" w:color="auto"/>
        <w:right w:val="none" w:sz="0" w:space="0" w:color="auto"/>
      </w:divBdr>
      <w:divsChild>
        <w:div w:id="1828285932">
          <w:marLeft w:val="0"/>
          <w:marRight w:val="0"/>
          <w:marTop w:val="100"/>
          <w:marBottom w:val="100"/>
          <w:divBdr>
            <w:top w:val="none" w:sz="0" w:space="0" w:color="auto"/>
            <w:left w:val="none" w:sz="0" w:space="0" w:color="auto"/>
            <w:bottom w:val="none" w:sz="0" w:space="0" w:color="auto"/>
            <w:right w:val="none" w:sz="0" w:space="0" w:color="auto"/>
          </w:divBdr>
          <w:divsChild>
            <w:div w:id="2039768684">
              <w:marLeft w:val="0"/>
              <w:marRight w:val="0"/>
              <w:marTop w:val="0"/>
              <w:marBottom w:val="0"/>
              <w:divBdr>
                <w:top w:val="none" w:sz="0" w:space="0" w:color="auto"/>
                <w:left w:val="none" w:sz="0" w:space="0" w:color="auto"/>
                <w:bottom w:val="none" w:sz="0" w:space="0" w:color="auto"/>
                <w:right w:val="none" w:sz="0" w:space="0" w:color="auto"/>
              </w:divBdr>
              <w:divsChild>
                <w:div w:id="2073889879">
                  <w:marLeft w:val="0"/>
                  <w:marRight w:val="0"/>
                  <w:marTop w:val="153"/>
                  <w:marBottom w:val="0"/>
                  <w:divBdr>
                    <w:top w:val="single" w:sz="6" w:space="4" w:color="CCCCCC"/>
                    <w:left w:val="none" w:sz="0" w:space="0" w:color="auto"/>
                    <w:bottom w:val="none" w:sz="0" w:space="0" w:color="auto"/>
                    <w:right w:val="none" w:sz="0" w:space="0" w:color="auto"/>
                  </w:divBdr>
                  <w:divsChild>
                    <w:div w:id="171202551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8664">
      <w:bodyDiv w:val="1"/>
      <w:marLeft w:val="0"/>
      <w:marRight w:val="0"/>
      <w:marTop w:val="0"/>
      <w:marBottom w:val="0"/>
      <w:divBdr>
        <w:top w:val="none" w:sz="0" w:space="0" w:color="auto"/>
        <w:left w:val="none" w:sz="0" w:space="0" w:color="auto"/>
        <w:bottom w:val="none" w:sz="0" w:space="0" w:color="auto"/>
        <w:right w:val="none" w:sz="0" w:space="0" w:color="auto"/>
      </w:divBdr>
    </w:div>
    <w:div w:id="674381215">
      <w:bodyDiv w:val="1"/>
      <w:marLeft w:val="0"/>
      <w:marRight w:val="0"/>
      <w:marTop w:val="0"/>
      <w:marBottom w:val="0"/>
      <w:divBdr>
        <w:top w:val="none" w:sz="0" w:space="0" w:color="auto"/>
        <w:left w:val="none" w:sz="0" w:space="0" w:color="auto"/>
        <w:bottom w:val="none" w:sz="0" w:space="0" w:color="auto"/>
        <w:right w:val="none" w:sz="0" w:space="0" w:color="auto"/>
      </w:divBdr>
    </w:div>
    <w:div w:id="769471078">
      <w:bodyDiv w:val="1"/>
      <w:marLeft w:val="0"/>
      <w:marRight w:val="0"/>
      <w:marTop w:val="0"/>
      <w:marBottom w:val="0"/>
      <w:divBdr>
        <w:top w:val="none" w:sz="0" w:space="0" w:color="auto"/>
        <w:left w:val="none" w:sz="0" w:space="0" w:color="auto"/>
        <w:bottom w:val="none" w:sz="0" w:space="0" w:color="auto"/>
        <w:right w:val="none" w:sz="0" w:space="0" w:color="auto"/>
      </w:divBdr>
    </w:div>
    <w:div w:id="806975629">
      <w:bodyDiv w:val="1"/>
      <w:marLeft w:val="0"/>
      <w:marRight w:val="0"/>
      <w:marTop w:val="0"/>
      <w:marBottom w:val="0"/>
      <w:divBdr>
        <w:top w:val="none" w:sz="0" w:space="0" w:color="auto"/>
        <w:left w:val="none" w:sz="0" w:space="0" w:color="auto"/>
        <w:bottom w:val="none" w:sz="0" w:space="0" w:color="auto"/>
        <w:right w:val="none" w:sz="0" w:space="0" w:color="auto"/>
      </w:divBdr>
    </w:div>
    <w:div w:id="844247088">
      <w:bodyDiv w:val="1"/>
      <w:marLeft w:val="0"/>
      <w:marRight w:val="0"/>
      <w:marTop w:val="0"/>
      <w:marBottom w:val="0"/>
      <w:divBdr>
        <w:top w:val="none" w:sz="0" w:space="0" w:color="auto"/>
        <w:left w:val="none" w:sz="0" w:space="0" w:color="auto"/>
        <w:bottom w:val="none" w:sz="0" w:space="0" w:color="auto"/>
        <w:right w:val="none" w:sz="0" w:space="0" w:color="auto"/>
      </w:divBdr>
    </w:div>
    <w:div w:id="928927109">
      <w:bodyDiv w:val="1"/>
      <w:marLeft w:val="0"/>
      <w:marRight w:val="0"/>
      <w:marTop w:val="0"/>
      <w:marBottom w:val="0"/>
      <w:divBdr>
        <w:top w:val="none" w:sz="0" w:space="0" w:color="auto"/>
        <w:left w:val="none" w:sz="0" w:space="0" w:color="auto"/>
        <w:bottom w:val="none" w:sz="0" w:space="0" w:color="auto"/>
        <w:right w:val="none" w:sz="0" w:space="0" w:color="auto"/>
      </w:divBdr>
    </w:div>
    <w:div w:id="969823056">
      <w:bodyDiv w:val="1"/>
      <w:marLeft w:val="0"/>
      <w:marRight w:val="0"/>
      <w:marTop w:val="0"/>
      <w:marBottom w:val="0"/>
      <w:divBdr>
        <w:top w:val="none" w:sz="0" w:space="0" w:color="auto"/>
        <w:left w:val="none" w:sz="0" w:space="0" w:color="auto"/>
        <w:bottom w:val="none" w:sz="0" w:space="0" w:color="auto"/>
        <w:right w:val="none" w:sz="0" w:space="0" w:color="auto"/>
      </w:divBdr>
    </w:div>
    <w:div w:id="1019621467">
      <w:bodyDiv w:val="1"/>
      <w:marLeft w:val="0"/>
      <w:marRight w:val="0"/>
      <w:marTop w:val="0"/>
      <w:marBottom w:val="0"/>
      <w:divBdr>
        <w:top w:val="none" w:sz="0" w:space="0" w:color="auto"/>
        <w:left w:val="none" w:sz="0" w:space="0" w:color="auto"/>
        <w:bottom w:val="none" w:sz="0" w:space="0" w:color="auto"/>
        <w:right w:val="none" w:sz="0" w:space="0" w:color="auto"/>
      </w:divBdr>
      <w:divsChild>
        <w:div w:id="339743043">
          <w:marLeft w:val="0"/>
          <w:marRight w:val="0"/>
          <w:marTop w:val="0"/>
          <w:marBottom w:val="0"/>
          <w:divBdr>
            <w:top w:val="none" w:sz="0" w:space="0" w:color="auto"/>
            <w:left w:val="none" w:sz="0" w:space="0" w:color="auto"/>
            <w:bottom w:val="none" w:sz="0" w:space="0" w:color="auto"/>
            <w:right w:val="none" w:sz="0" w:space="0" w:color="auto"/>
          </w:divBdr>
        </w:div>
      </w:divsChild>
    </w:div>
    <w:div w:id="1117410336">
      <w:bodyDiv w:val="1"/>
      <w:marLeft w:val="0"/>
      <w:marRight w:val="0"/>
      <w:marTop w:val="0"/>
      <w:marBottom w:val="0"/>
      <w:divBdr>
        <w:top w:val="none" w:sz="0" w:space="0" w:color="auto"/>
        <w:left w:val="none" w:sz="0" w:space="0" w:color="auto"/>
        <w:bottom w:val="none" w:sz="0" w:space="0" w:color="auto"/>
        <w:right w:val="none" w:sz="0" w:space="0" w:color="auto"/>
      </w:divBdr>
    </w:div>
    <w:div w:id="1144396698">
      <w:bodyDiv w:val="1"/>
      <w:marLeft w:val="0"/>
      <w:marRight w:val="0"/>
      <w:marTop w:val="0"/>
      <w:marBottom w:val="0"/>
      <w:divBdr>
        <w:top w:val="none" w:sz="0" w:space="0" w:color="auto"/>
        <w:left w:val="none" w:sz="0" w:space="0" w:color="auto"/>
        <w:bottom w:val="none" w:sz="0" w:space="0" w:color="auto"/>
        <w:right w:val="none" w:sz="0" w:space="0" w:color="auto"/>
      </w:divBdr>
    </w:div>
    <w:div w:id="1154561477">
      <w:bodyDiv w:val="1"/>
      <w:marLeft w:val="0"/>
      <w:marRight w:val="0"/>
      <w:marTop w:val="0"/>
      <w:marBottom w:val="0"/>
      <w:divBdr>
        <w:top w:val="none" w:sz="0" w:space="0" w:color="auto"/>
        <w:left w:val="none" w:sz="0" w:space="0" w:color="auto"/>
        <w:bottom w:val="none" w:sz="0" w:space="0" w:color="auto"/>
        <w:right w:val="none" w:sz="0" w:space="0" w:color="auto"/>
      </w:divBdr>
    </w:div>
    <w:div w:id="1223641580">
      <w:bodyDiv w:val="1"/>
      <w:marLeft w:val="0"/>
      <w:marRight w:val="0"/>
      <w:marTop w:val="0"/>
      <w:marBottom w:val="0"/>
      <w:divBdr>
        <w:top w:val="none" w:sz="0" w:space="0" w:color="auto"/>
        <w:left w:val="none" w:sz="0" w:space="0" w:color="auto"/>
        <w:bottom w:val="none" w:sz="0" w:space="0" w:color="auto"/>
        <w:right w:val="none" w:sz="0" w:space="0" w:color="auto"/>
      </w:divBdr>
    </w:div>
    <w:div w:id="1259025532">
      <w:bodyDiv w:val="1"/>
      <w:marLeft w:val="0"/>
      <w:marRight w:val="0"/>
      <w:marTop w:val="0"/>
      <w:marBottom w:val="0"/>
      <w:divBdr>
        <w:top w:val="none" w:sz="0" w:space="0" w:color="auto"/>
        <w:left w:val="none" w:sz="0" w:space="0" w:color="auto"/>
        <w:bottom w:val="none" w:sz="0" w:space="0" w:color="auto"/>
        <w:right w:val="none" w:sz="0" w:space="0" w:color="auto"/>
      </w:divBdr>
    </w:div>
    <w:div w:id="1314143329">
      <w:bodyDiv w:val="1"/>
      <w:marLeft w:val="0"/>
      <w:marRight w:val="0"/>
      <w:marTop w:val="0"/>
      <w:marBottom w:val="0"/>
      <w:divBdr>
        <w:top w:val="none" w:sz="0" w:space="0" w:color="auto"/>
        <w:left w:val="none" w:sz="0" w:space="0" w:color="auto"/>
        <w:bottom w:val="none" w:sz="0" w:space="0" w:color="auto"/>
        <w:right w:val="none" w:sz="0" w:space="0" w:color="auto"/>
      </w:divBdr>
      <w:divsChild>
        <w:div w:id="1525820941">
          <w:marLeft w:val="0"/>
          <w:marRight w:val="0"/>
          <w:marTop w:val="0"/>
          <w:marBottom w:val="0"/>
          <w:divBdr>
            <w:top w:val="none" w:sz="0" w:space="0" w:color="auto"/>
            <w:left w:val="none" w:sz="0" w:space="0" w:color="auto"/>
            <w:bottom w:val="none" w:sz="0" w:space="0" w:color="auto"/>
            <w:right w:val="none" w:sz="0" w:space="0" w:color="auto"/>
          </w:divBdr>
        </w:div>
      </w:divsChild>
    </w:div>
    <w:div w:id="1337732009">
      <w:bodyDiv w:val="1"/>
      <w:marLeft w:val="0"/>
      <w:marRight w:val="0"/>
      <w:marTop w:val="0"/>
      <w:marBottom w:val="0"/>
      <w:divBdr>
        <w:top w:val="none" w:sz="0" w:space="0" w:color="auto"/>
        <w:left w:val="none" w:sz="0" w:space="0" w:color="auto"/>
        <w:bottom w:val="none" w:sz="0" w:space="0" w:color="auto"/>
        <w:right w:val="none" w:sz="0" w:space="0" w:color="auto"/>
      </w:divBdr>
    </w:div>
    <w:div w:id="1472669413">
      <w:bodyDiv w:val="1"/>
      <w:marLeft w:val="0"/>
      <w:marRight w:val="0"/>
      <w:marTop w:val="0"/>
      <w:marBottom w:val="0"/>
      <w:divBdr>
        <w:top w:val="none" w:sz="0" w:space="0" w:color="auto"/>
        <w:left w:val="none" w:sz="0" w:space="0" w:color="auto"/>
        <w:bottom w:val="none" w:sz="0" w:space="0" w:color="auto"/>
        <w:right w:val="none" w:sz="0" w:space="0" w:color="auto"/>
      </w:divBdr>
    </w:div>
    <w:div w:id="1574047700">
      <w:bodyDiv w:val="1"/>
      <w:marLeft w:val="0"/>
      <w:marRight w:val="0"/>
      <w:marTop w:val="0"/>
      <w:marBottom w:val="0"/>
      <w:divBdr>
        <w:top w:val="none" w:sz="0" w:space="0" w:color="auto"/>
        <w:left w:val="none" w:sz="0" w:space="0" w:color="auto"/>
        <w:bottom w:val="none" w:sz="0" w:space="0" w:color="auto"/>
        <w:right w:val="none" w:sz="0" w:space="0" w:color="auto"/>
      </w:divBdr>
    </w:div>
    <w:div w:id="1587376844">
      <w:bodyDiv w:val="1"/>
      <w:marLeft w:val="0"/>
      <w:marRight w:val="0"/>
      <w:marTop w:val="0"/>
      <w:marBottom w:val="0"/>
      <w:divBdr>
        <w:top w:val="none" w:sz="0" w:space="0" w:color="auto"/>
        <w:left w:val="none" w:sz="0" w:space="0" w:color="auto"/>
        <w:bottom w:val="none" w:sz="0" w:space="0" w:color="auto"/>
        <w:right w:val="none" w:sz="0" w:space="0" w:color="auto"/>
      </w:divBdr>
    </w:div>
    <w:div w:id="1690375886">
      <w:bodyDiv w:val="1"/>
      <w:marLeft w:val="0"/>
      <w:marRight w:val="0"/>
      <w:marTop w:val="0"/>
      <w:marBottom w:val="0"/>
      <w:divBdr>
        <w:top w:val="none" w:sz="0" w:space="0" w:color="auto"/>
        <w:left w:val="none" w:sz="0" w:space="0" w:color="auto"/>
        <w:bottom w:val="none" w:sz="0" w:space="0" w:color="auto"/>
        <w:right w:val="none" w:sz="0" w:space="0" w:color="auto"/>
      </w:divBdr>
    </w:div>
    <w:div w:id="1744373126">
      <w:bodyDiv w:val="1"/>
      <w:marLeft w:val="0"/>
      <w:marRight w:val="0"/>
      <w:marTop w:val="0"/>
      <w:marBottom w:val="0"/>
      <w:divBdr>
        <w:top w:val="none" w:sz="0" w:space="0" w:color="auto"/>
        <w:left w:val="none" w:sz="0" w:space="0" w:color="auto"/>
        <w:bottom w:val="none" w:sz="0" w:space="0" w:color="auto"/>
        <w:right w:val="none" w:sz="0" w:space="0" w:color="auto"/>
      </w:divBdr>
      <w:divsChild>
        <w:div w:id="189489285">
          <w:marLeft w:val="0"/>
          <w:marRight w:val="0"/>
          <w:marTop w:val="0"/>
          <w:marBottom w:val="0"/>
          <w:divBdr>
            <w:top w:val="none" w:sz="0" w:space="0" w:color="auto"/>
            <w:left w:val="none" w:sz="0" w:space="0" w:color="auto"/>
            <w:bottom w:val="none" w:sz="0" w:space="0" w:color="auto"/>
            <w:right w:val="none" w:sz="0" w:space="0" w:color="auto"/>
          </w:divBdr>
          <w:divsChild>
            <w:div w:id="20001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5242">
      <w:bodyDiv w:val="1"/>
      <w:marLeft w:val="0"/>
      <w:marRight w:val="0"/>
      <w:marTop w:val="0"/>
      <w:marBottom w:val="0"/>
      <w:divBdr>
        <w:top w:val="none" w:sz="0" w:space="0" w:color="auto"/>
        <w:left w:val="none" w:sz="0" w:space="0" w:color="auto"/>
        <w:bottom w:val="none" w:sz="0" w:space="0" w:color="auto"/>
        <w:right w:val="none" w:sz="0" w:space="0" w:color="auto"/>
      </w:divBdr>
    </w:div>
    <w:div w:id="1866362439">
      <w:bodyDiv w:val="1"/>
      <w:marLeft w:val="0"/>
      <w:marRight w:val="0"/>
      <w:marTop w:val="0"/>
      <w:marBottom w:val="0"/>
      <w:divBdr>
        <w:top w:val="none" w:sz="0" w:space="0" w:color="auto"/>
        <w:left w:val="none" w:sz="0" w:space="0" w:color="auto"/>
        <w:bottom w:val="none" w:sz="0" w:space="0" w:color="auto"/>
        <w:right w:val="none" w:sz="0" w:space="0" w:color="auto"/>
      </w:divBdr>
    </w:div>
    <w:div w:id="1874420904">
      <w:bodyDiv w:val="1"/>
      <w:marLeft w:val="0"/>
      <w:marRight w:val="0"/>
      <w:marTop w:val="0"/>
      <w:marBottom w:val="0"/>
      <w:divBdr>
        <w:top w:val="none" w:sz="0" w:space="0" w:color="auto"/>
        <w:left w:val="none" w:sz="0" w:space="0" w:color="auto"/>
        <w:bottom w:val="none" w:sz="0" w:space="0" w:color="auto"/>
        <w:right w:val="none" w:sz="0" w:space="0" w:color="auto"/>
      </w:divBdr>
    </w:div>
    <w:div w:id="1988509228">
      <w:bodyDiv w:val="1"/>
      <w:marLeft w:val="0"/>
      <w:marRight w:val="0"/>
      <w:marTop w:val="0"/>
      <w:marBottom w:val="0"/>
      <w:divBdr>
        <w:top w:val="none" w:sz="0" w:space="0" w:color="auto"/>
        <w:left w:val="none" w:sz="0" w:space="0" w:color="auto"/>
        <w:bottom w:val="none" w:sz="0" w:space="0" w:color="auto"/>
        <w:right w:val="none" w:sz="0" w:space="0" w:color="auto"/>
      </w:divBdr>
    </w:div>
    <w:div w:id="1997538056">
      <w:bodyDiv w:val="1"/>
      <w:marLeft w:val="0"/>
      <w:marRight w:val="0"/>
      <w:marTop w:val="0"/>
      <w:marBottom w:val="0"/>
      <w:divBdr>
        <w:top w:val="none" w:sz="0" w:space="0" w:color="auto"/>
        <w:left w:val="none" w:sz="0" w:space="0" w:color="auto"/>
        <w:bottom w:val="none" w:sz="0" w:space="0" w:color="auto"/>
        <w:right w:val="none" w:sz="0" w:space="0" w:color="auto"/>
      </w:divBdr>
    </w:div>
    <w:div w:id="2002418099">
      <w:bodyDiv w:val="1"/>
      <w:marLeft w:val="0"/>
      <w:marRight w:val="0"/>
      <w:marTop w:val="0"/>
      <w:marBottom w:val="0"/>
      <w:divBdr>
        <w:top w:val="none" w:sz="0" w:space="0" w:color="auto"/>
        <w:left w:val="none" w:sz="0" w:space="0" w:color="auto"/>
        <w:bottom w:val="none" w:sz="0" w:space="0" w:color="auto"/>
        <w:right w:val="none" w:sz="0" w:space="0" w:color="auto"/>
      </w:divBdr>
    </w:div>
    <w:div w:id="2011592577">
      <w:bodyDiv w:val="1"/>
      <w:marLeft w:val="0"/>
      <w:marRight w:val="0"/>
      <w:marTop w:val="0"/>
      <w:marBottom w:val="0"/>
      <w:divBdr>
        <w:top w:val="none" w:sz="0" w:space="0" w:color="auto"/>
        <w:left w:val="none" w:sz="0" w:space="0" w:color="auto"/>
        <w:bottom w:val="none" w:sz="0" w:space="0" w:color="auto"/>
        <w:right w:val="none" w:sz="0" w:space="0" w:color="auto"/>
      </w:divBdr>
    </w:div>
    <w:div w:id="2066445018">
      <w:bodyDiv w:val="1"/>
      <w:marLeft w:val="0"/>
      <w:marRight w:val="0"/>
      <w:marTop w:val="0"/>
      <w:marBottom w:val="0"/>
      <w:divBdr>
        <w:top w:val="none" w:sz="0" w:space="0" w:color="auto"/>
        <w:left w:val="none" w:sz="0" w:space="0" w:color="auto"/>
        <w:bottom w:val="none" w:sz="0" w:space="0" w:color="auto"/>
        <w:right w:val="none" w:sz="0" w:space="0" w:color="auto"/>
      </w:divBdr>
    </w:div>
    <w:div w:id="2135519289">
      <w:bodyDiv w:val="1"/>
      <w:marLeft w:val="0"/>
      <w:marRight w:val="0"/>
      <w:marTop w:val="0"/>
      <w:marBottom w:val="0"/>
      <w:divBdr>
        <w:top w:val="none" w:sz="0" w:space="0" w:color="auto"/>
        <w:left w:val="none" w:sz="0" w:space="0" w:color="auto"/>
        <w:bottom w:val="none" w:sz="0" w:space="0" w:color="auto"/>
        <w:right w:val="none" w:sz="0" w:space="0" w:color="auto"/>
      </w:divBdr>
      <w:divsChild>
        <w:div w:id="1524435032">
          <w:marLeft w:val="0"/>
          <w:marRight w:val="0"/>
          <w:marTop w:val="0"/>
          <w:marBottom w:val="0"/>
          <w:divBdr>
            <w:top w:val="none" w:sz="0" w:space="0" w:color="auto"/>
            <w:left w:val="none" w:sz="0" w:space="0" w:color="auto"/>
            <w:bottom w:val="none" w:sz="0" w:space="0" w:color="auto"/>
            <w:right w:val="none" w:sz="0" w:space="0" w:color="auto"/>
          </w:divBdr>
        </w:div>
        <w:div w:id="707025641">
          <w:marLeft w:val="0"/>
          <w:marRight w:val="0"/>
          <w:marTop w:val="0"/>
          <w:marBottom w:val="0"/>
          <w:divBdr>
            <w:top w:val="none" w:sz="0" w:space="0" w:color="auto"/>
            <w:left w:val="none" w:sz="0" w:space="0" w:color="auto"/>
            <w:bottom w:val="none" w:sz="0" w:space="0" w:color="auto"/>
            <w:right w:val="none" w:sz="0" w:space="0" w:color="auto"/>
          </w:divBdr>
        </w:div>
        <w:div w:id="1375351377">
          <w:marLeft w:val="0"/>
          <w:marRight w:val="0"/>
          <w:marTop w:val="0"/>
          <w:marBottom w:val="0"/>
          <w:divBdr>
            <w:top w:val="none" w:sz="0" w:space="0" w:color="auto"/>
            <w:left w:val="none" w:sz="0" w:space="0" w:color="auto"/>
            <w:bottom w:val="none" w:sz="0" w:space="0" w:color="auto"/>
            <w:right w:val="none" w:sz="0" w:space="0" w:color="auto"/>
          </w:divBdr>
        </w:div>
        <w:div w:id="1464350216">
          <w:marLeft w:val="0"/>
          <w:marRight w:val="0"/>
          <w:marTop w:val="0"/>
          <w:marBottom w:val="0"/>
          <w:divBdr>
            <w:top w:val="none" w:sz="0" w:space="0" w:color="auto"/>
            <w:left w:val="none" w:sz="0" w:space="0" w:color="auto"/>
            <w:bottom w:val="none" w:sz="0" w:space="0" w:color="auto"/>
            <w:right w:val="none" w:sz="0" w:space="0" w:color="auto"/>
          </w:divBdr>
        </w:div>
        <w:div w:id="1504006943">
          <w:marLeft w:val="0"/>
          <w:marRight w:val="0"/>
          <w:marTop w:val="0"/>
          <w:marBottom w:val="0"/>
          <w:divBdr>
            <w:top w:val="none" w:sz="0" w:space="0" w:color="auto"/>
            <w:left w:val="none" w:sz="0" w:space="0" w:color="auto"/>
            <w:bottom w:val="none" w:sz="0" w:space="0" w:color="auto"/>
            <w:right w:val="none" w:sz="0" w:space="0" w:color="auto"/>
          </w:divBdr>
        </w:div>
        <w:div w:id="2041127688">
          <w:marLeft w:val="0"/>
          <w:marRight w:val="0"/>
          <w:marTop w:val="0"/>
          <w:marBottom w:val="0"/>
          <w:divBdr>
            <w:top w:val="none" w:sz="0" w:space="0" w:color="auto"/>
            <w:left w:val="none" w:sz="0" w:space="0" w:color="auto"/>
            <w:bottom w:val="none" w:sz="0" w:space="0" w:color="auto"/>
            <w:right w:val="none" w:sz="0" w:space="0" w:color="auto"/>
          </w:divBdr>
        </w:div>
        <w:div w:id="2071003789">
          <w:marLeft w:val="0"/>
          <w:marRight w:val="0"/>
          <w:marTop w:val="0"/>
          <w:marBottom w:val="0"/>
          <w:divBdr>
            <w:top w:val="none" w:sz="0" w:space="0" w:color="auto"/>
            <w:left w:val="none" w:sz="0" w:space="0" w:color="auto"/>
            <w:bottom w:val="none" w:sz="0" w:space="0" w:color="auto"/>
            <w:right w:val="none" w:sz="0" w:space="0" w:color="auto"/>
          </w:divBdr>
        </w:div>
        <w:div w:id="1554999034">
          <w:marLeft w:val="0"/>
          <w:marRight w:val="0"/>
          <w:marTop w:val="0"/>
          <w:marBottom w:val="0"/>
          <w:divBdr>
            <w:top w:val="none" w:sz="0" w:space="0" w:color="auto"/>
            <w:left w:val="none" w:sz="0" w:space="0" w:color="auto"/>
            <w:bottom w:val="none" w:sz="0" w:space="0" w:color="auto"/>
            <w:right w:val="none" w:sz="0" w:space="0" w:color="auto"/>
          </w:divBdr>
        </w:div>
        <w:div w:id="459227578">
          <w:marLeft w:val="0"/>
          <w:marRight w:val="0"/>
          <w:marTop w:val="0"/>
          <w:marBottom w:val="0"/>
          <w:divBdr>
            <w:top w:val="none" w:sz="0" w:space="0" w:color="auto"/>
            <w:left w:val="none" w:sz="0" w:space="0" w:color="auto"/>
            <w:bottom w:val="none" w:sz="0" w:space="0" w:color="auto"/>
            <w:right w:val="none" w:sz="0" w:space="0" w:color="auto"/>
          </w:divBdr>
        </w:div>
        <w:div w:id="468591065">
          <w:marLeft w:val="0"/>
          <w:marRight w:val="0"/>
          <w:marTop w:val="0"/>
          <w:marBottom w:val="0"/>
          <w:divBdr>
            <w:top w:val="none" w:sz="0" w:space="0" w:color="auto"/>
            <w:left w:val="none" w:sz="0" w:space="0" w:color="auto"/>
            <w:bottom w:val="none" w:sz="0" w:space="0" w:color="auto"/>
            <w:right w:val="none" w:sz="0" w:space="0" w:color="auto"/>
          </w:divBdr>
        </w:div>
        <w:div w:id="75979224">
          <w:marLeft w:val="0"/>
          <w:marRight w:val="0"/>
          <w:marTop w:val="0"/>
          <w:marBottom w:val="0"/>
          <w:divBdr>
            <w:top w:val="none" w:sz="0" w:space="0" w:color="auto"/>
            <w:left w:val="none" w:sz="0" w:space="0" w:color="auto"/>
            <w:bottom w:val="none" w:sz="0" w:space="0" w:color="auto"/>
            <w:right w:val="none" w:sz="0" w:space="0" w:color="auto"/>
          </w:divBdr>
        </w:div>
        <w:div w:id="1549024110">
          <w:marLeft w:val="0"/>
          <w:marRight w:val="0"/>
          <w:marTop w:val="0"/>
          <w:marBottom w:val="0"/>
          <w:divBdr>
            <w:top w:val="none" w:sz="0" w:space="0" w:color="auto"/>
            <w:left w:val="none" w:sz="0" w:space="0" w:color="auto"/>
            <w:bottom w:val="none" w:sz="0" w:space="0" w:color="auto"/>
            <w:right w:val="none" w:sz="0" w:space="0" w:color="auto"/>
          </w:divBdr>
        </w:div>
        <w:div w:id="1927104849">
          <w:marLeft w:val="0"/>
          <w:marRight w:val="0"/>
          <w:marTop w:val="0"/>
          <w:marBottom w:val="0"/>
          <w:divBdr>
            <w:top w:val="none" w:sz="0" w:space="0" w:color="auto"/>
            <w:left w:val="none" w:sz="0" w:space="0" w:color="auto"/>
            <w:bottom w:val="none" w:sz="0" w:space="0" w:color="auto"/>
            <w:right w:val="none" w:sz="0" w:space="0" w:color="auto"/>
          </w:divBdr>
        </w:div>
        <w:div w:id="1201627908">
          <w:marLeft w:val="0"/>
          <w:marRight w:val="0"/>
          <w:marTop w:val="0"/>
          <w:marBottom w:val="0"/>
          <w:divBdr>
            <w:top w:val="none" w:sz="0" w:space="0" w:color="auto"/>
            <w:left w:val="none" w:sz="0" w:space="0" w:color="auto"/>
            <w:bottom w:val="none" w:sz="0" w:space="0" w:color="auto"/>
            <w:right w:val="none" w:sz="0" w:space="0" w:color="auto"/>
          </w:divBdr>
        </w:div>
        <w:div w:id="1037505465">
          <w:marLeft w:val="0"/>
          <w:marRight w:val="0"/>
          <w:marTop w:val="0"/>
          <w:marBottom w:val="0"/>
          <w:divBdr>
            <w:top w:val="none" w:sz="0" w:space="0" w:color="auto"/>
            <w:left w:val="none" w:sz="0" w:space="0" w:color="auto"/>
            <w:bottom w:val="none" w:sz="0" w:space="0" w:color="auto"/>
            <w:right w:val="none" w:sz="0" w:space="0" w:color="auto"/>
          </w:divBdr>
        </w:div>
        <w:div w:id="659892108">
          <w:marLeft w:val="0"/>
          <w:marRight w:val="0"/>
          <w:marTop w:val="0"/>
          <w:marBottom w:val="0"/>
          <w:divBdr>
            <w:top w:val="none" w:sz="0" w:space="0" w:color="auto"/>
            <w:left w:val="none" w:sz="0" w:space="0" w:color="auto"/>
            <w:bottom w:val="none" w:sz="0" w:space="0" w:color="auto"/>
            <w:right w:val="none" w:sz="0" w:space="0" w:color="auto"/>
          </w:divBdr>
        </w:div>
        <w:div w:id="939409306">
          <w:marLeft w:val="0"/>
          <w:marRight w:val="0"/>
          <w:marTop w:val="0"/>
          <w:marBottom w:val="0"/>
          <w:divBdr>
            <w:top w:val="none" w:sz="0" w:space="0" w:color="auto"/>
            <w:left w:val="none" w:sz="0" w:space="0" w:color="auto"/>
            <w:bottom w:val="none" w:sz="0" w:space="0" w:color="auto"/>
            <w:right w:val="none" w:sz="0" w:space="0" w:color="auto"/>
          </w:divBdr>
        </w:div>
        <w:div w:id="413236746">
          <w:marLeft w:val="0"/>
          <w:marRight w:val="0"/>
          <w:marTop w:val="0"/>
          <w:marBottom w:val="0"/>
          <w:divBdr>
            <w:top w:val="none" w:sz="0" w:space="0" w:color="auto"/>
            <w:left w:val="none" w:sz="0" w:space="0" w:color="auto"/>
            <w:bottom w:val="none" w:sz="0" w:space="0" w:color="auto"/>
            <w:right w:val="none" w:sz="0" w:space="0" w:color="auto"/>
          </w:divBdr>
        </w:div>
        <w:div w:id="1879733193">
          <w:marLeft w:val="0"/>
          <w:marRight w:val="0"/>
          <w:marTop w:val="0"/>
          <w:marBottom w:val="0"/>
          <w:divBdr>
            <w:top w:val="none" w:sz="0" w:space="0" w:color="auto"/>
            <w:left w:val="none" w:sz="0" w:space="0" w:color="auto"/>
            <w:bottom w:val="none" w:sz="0" w:space="0" w:color="auto"/>
            <w:right w:val="none" w:sz="0" w:space="0" w:color="auto"/>
          </w:divBdr>
        </w:div>
        <w:div w:id="421030334">
          <w:marLeft w:val="0"/>
          <w:marRight w:val="0"/>
          <w:marTop w:val="0"/>
          <w:marBottom w:val="0"/>
          <w:divBdr>
            <w:top w:val="none" w:sz="0" w:space="0" w:color="auto"/>
            <w:left w:val="none" w:sz="0" w:space="0" w:color="auto"/>
            <w:bottom w:val="none" w:sz="0" w:space="0" w:color="auto"/>
            <w:right w:val="none" w:sz="0" w:space="0" w:color="auto"/>
          </w:divBdr>
        </w:div>
        <w:div w:id="962999499">
          <w:marLeft w:val="0"/>
          <w:marRight w:val="0"/>
          <w:marTop w:val="0"/>
          <w:marBottom w:val="0"/>
          <w:divBdr>
            <w:top w:val="none" w:sz="0" w:space="0" w:color="auto"/>
            <w:left w:val="none" w:sz="0" w:space="0" w:color="auto"/>
            <w:bottom w:val="none" w:sz="0" w:space="0" w:color="auto"/>
            <w:right w:val="none" w:sz="0" w:space="0" w:color="auto"/>
          </w:divBdr>
        </w:div>
        <w:div w:id="1781728780">
          <w:marLeft w:val="0"/>
          <w:marRight w:val="0"/>
          <w:marTop w:val="0"/>
          <w:marBottom w:val="0"/>
          <w:divBdr>
            <w:top w:val="none" w:sz="0" w:space="0" w:color="auto"/>
            <w:left w:val="none" w:sz="0" w:space="0" w:color="auto"/>
            <w:bottom w:val="none" w:sz="0" w:space="0" w:color="auto"/>
            <w:right w:val="none" w:sz="0" w:space="0" w:color="auto"/>
          </w:divBdr>
        </w:div>
        <w:div w:id="2014141677">
          <w:marLeft w:val="0"/>
          <w:marRight w:val="0"/>
          <w:marTop w:val="0"/>
          <w:marBottom w:val="0"/>
          <w:divBdr>
            <w:top w:val="none" w:sz="0" w:space="0" w:color="auto"/>
            <w:left w:val="none" w:sz="0" w:space="0" w:color="auto"/>
            <w:bottom w:val="none" w:sz="0" w:space="0" w:color="auto"/>
            <w:right w:val="none" w:sz="0" w:space="0" w:color="auto"/>
          </w:divBdr>
        </w:div>
        <w:div w:id="243224968">
          <w:marLeft w:val="0"/>
          <w:marRight w:val="0"/>
          <w:marTop w:val="0"/>
          <w:marBottom w:val="0"/>
          <w:divBdr>
            <w:top w:val="none" w:sz="0" w:space="0" w:color="auto"/>
            <w:left w:val="none" w:sz="0" w:space="0" w:color="auto"/>
            <w:bottom w:val="none" w:sz="0" w:space="0" w:color="auto"/>
            <w:right w:val="none" w:sz="0" w:space="0" w:color="auto"/>
          </w:divBdr>
        </w:div>
        <w:div w:id="1987778470">
          <w:marLeft w:val="0"/>
          <w:marRight w:val="0"/>
          <w:marTop w:val="0"/>
          <w:marBottom w:val="0"/>
          <w:divBdr>
            <w:top w:val="none" w:sz="0" w:space="0" w:color="auto"/>
            <w:left w:val="none" w:sz="0" w:space="0" w:color="auto"/>
            <w:bottom w:val="none" w:sz="0" w:space="0" w:color="auto"/>
            <w:right w:val="none" w:sz="0" w:space="0" w:color="auto"/>
          </w:divBdr>
        </w:div>
        <w:div w:id="1280649440">
          <w:marLeft w:val="0"/>
          <w:marRight w:val="0"/>
          <w:marTop w:val="0"/>
          <w:marBottom w:val="0"/>
          <w:divBdr>
            <w:top w:val="none" w:sz="0" w:space="0" w:color="auto"/>
            <w:left w:val="none" w:sz="0" w:space="0" w:color="auto"/>
            <w:bottom w:val="none" w:sz="0" w:space="0" w:color="auto"/>
            <w:right w:val="none" w:sz="0" w:space="0" w:color="auto"/>
          </w:divBdr>
        </w:div>
        <w:div w:id="644512422">
          <w:marLeft w:val="0"/>
          <w:marRight w:val="0"/>
          <w:marTop w:val="0"/>
          <w:marBottom w:val="0"/>
          <w:divBdr>
            <w:top w:val="none" w:sz="0" w:space="0" w:color="auto"/>
            <w:left w:val="none" w:sz="0" w:space="0" w:color="auto"/>
            <w:bottom w:val="none" w:sz="0" w:space="0" w:color="auto"/>
            <w:right w:val="none" w:sz="0" w:space="0" w:color="auto"/>
          </w:divBdr>
        </w:div>
        <w:div w:id="1870140174">
          <w:marLeft w:val="0"/>
          <w:marRight w:val="0"/>
          <w:marTop w:val="0"/>
          <w:marBottom w:val="0"/>
          <w:divBdr>
            <w:top w:val="none" w:sz="0" w:space="0" w:color="auto"/>
            <w:left w:val="none" w:sz="0" w:space="0" w:color="auto"/>
            <w:bottom w:val="none" w:sz="0" w:space="0" w:color="auto"/>
            <w:right w:val="none" w:sz="0" w:space="0" w:color="auto"/>
          </w:divBdr>
        </w:div>
        <w:div w:id="219096457">
          <w:marLeft w:val="0"/>
          <w:marRight w:val="0"/>
          <w:marTop w:val="0"/>
          <w:marBottom w:val="0"/>
          <w:divBdr>
            <w:top w:val="none" w:sz="0" w:space="0" w:color="auto"/>
            <w:left w:val="none" w:sz="0" w:space="0" w:color="auto"/>
            <w:bottom w:val="none" w:sz="0" w:space="0" w:color="auto"/>
            <w:right w:val="none" w:sz="0" w:space="0" w:color="auto"/>
          </w:divBdr>
        </w:div>
        <w:div w:id="518202612">
          <w:marLeft w:val="0"/>
          <w:marRight w:val="0"/>
          <w:marTop w:val="0"/>
          <w:marBottom w:val="0"/>
          <w:divBdr>
            <w:top w:val="none" w:sz="0" w:space="0" w:color="auto"/>
            <w:left w:val="none" w:sz="0" w:space="0" w:color="auto"/>
            <w:bottom w:val="none" w:sz="0" w:space="0" w:color="auto"/>
            <w:right w:val="none" w:sz="0" w:space="0" w:color="auto"/>
          </w:divBdr>
        </w:div>
        <w:div w:id="1199659673">
          <w:marLeft w:val="0"/>
          <w:marRight w:val="0"/>
          <w:marTop w:val="0"/>
          <w:marBottom w:val="0"/>
          <w:divBdr>
            <w:top w:val="none" w:sz="0" w:space="0" w:color="auto"/>
            <w:left w:val="none" w:sz="0" w:space="0" w:color="auto"/>
            <w:bottom w:val="none" w:sz="0" w:space="0" w:color="auto"/>
            <w:right w:val="none" w:sz="0" w:space="0" w:color="auto"/>
          </w:divBdr>
        </w:div>
        <w:div w:id="1432044798">
          <w:marLeft w:val="0"/>
          <w:marRight w:val="0"/>
          <w:marTop w:val="0"/>
          <w:marBottom w:val="0"/>
          <w:divBdr>
            <w:top w:val="none" w:sz="0" w:space="0" w:color="auto"/>
            <w:left w:val="none" w:sz="0" w:space="0" w:color="auto"/>
            <w:bottom w:val="none" w:sz="0" w:space="0" w:color="auto"/>
            <w:right w:val="none" w:sz="0" w:space="0" w:color="auto"/>
          </w:divBdr>
        </w:div>
        <w:div w:id="1357584744">
          <w:marLeft w:val="0"/>
          <w:marRight w:val="0"/>
          <w:marTop w:val="0"/>
          <w:marBottom w:val="0"/>
          <w:divBdr>
            <w:top w:val="none" w:sz="0" w:space="0" w:color="auto"/>
            <w:left w:val="none" w:sz="0" w:space="0" w:color="auto"/>
            <w:bottom w:val="none" w:sz="0" w:space="0" w:color="auto"/>
            <w:right w:val="none" w:sz="0" w:space="0" w:color="auto"/>
          </w:divBdr>
        </w:div>
        <w:div w:id="920483346">
          <w:marLeft w:val="0"/>
          <w:marRight w:val="0"/>
          <w:marTop w:val="0"/>
          <w:marBottom w:val="0"/>
          <w:divBdr>
            <w:top w:val="none" w:sz="0" w:space="0" w:color="auto"/>
            <w:left w:val="none" w:sz="0" w:space="0" w:color="auto"/>
            <w:bottom w:val="none" w:sz="0" w:space="0" w:color="auto"/>
            <w:right w:val="none" w:sz="0" w:space="0" w:color="auto"/>
          </w:divBdr>
        </w:div>
        <w:div w:id="727534359">
          <w:marLeft w:val="0"/>
          <w:marRight w:val="0"/>
          <w:marTop w:val="0"/>
          <w:marBottom w:val="0"/>
          <w:divBdr>
            <w:top w:val="none" w:sz="0" w:space="0" w:color="auto"/>
            <w:left w:val="none" w:sz="0" w:space="0" w:color="auto"/>
            <w:bottom w:val="none" w:sz="0" w:space="0" w:color="auto"/>
            <w:right w:val="none" w:sz="0" w:space="0" w:color="auto"/>
          </w:divBdr>
        </w:div>
        <w:div w:id="1104762711">
          <w:marLeft w:val="0"/>
          <w:marRight w:val="0"/>
          <w:marTop w:val="0"/>
          <w:marBottom w:val="0"/>
          <w:divBdr>
            <w:top w:val="none" w:sz="0" w:space="0" w:color="auto"/>
            <w:left w:val="none" w:sz="0" w:space="0" w:color="auto"/>
            <w:bottom w:val="none" w:sz="0" w:space="0" w:color="auto"/>
            <w:right w:val="none" w:sz="0" w:space="0" w:color="auto"/>
          </w:divBdr>
        </w:div>
        <w:div w:id="1333609061">
          <w:marLeft w:val="0"/>
          <w:marRight w:val="0"/>
          <w:marTop w:val="0"/>
          <w:marBottom w:val="0"/>
          <w:divBdr>
            <w:top w:val="none" w:sz="0" w:space="0" w:color="auto"/>
            <w:left w:val="none" w:sz="0" w:space="0" w:color="auto"/>
            <w:bottom w:val="none" w:sz="0" w:space="0" w:color="auto"/>
            <w:right w:val="none" w:sz="0" w:space="0" w:color="auto"/>
          </w:divBdr>
        </w:div>
        <w:div w:id="914166444">
          <w:marLeft w:val="0"/>
          <w:marRight w:val="0"/>
          <w:marTop w:val="0"/>
          <w:marBottom w:val="0"/>
          <w:divBdr>
            <w:top w:val="none" w:sz="0" w:space="0" w:color="auto"/>
            <w:left w:val="none" w:sz="0" w:space="0" w:color="auto"/>
            <w:bottom w:val="none" w:sz="0" w:space="0" w:color="auto"/>
            <w:right w:val="none" w:sz="0" w:space="0" w:color="auto"/>
          </w:divBdr>
        </w:div>
        <w:div w:id="1432893594">
          <w:marLeft w:val="0"/>
          <w:marRight w:val="0"/>
          <w:marTop w:val="0"/>
          <w:marBottom w:val="0"/>
          <w:divBdr>
            <w:top w:val="none" w:sz="0" w:space="0" w:color="auto"/>
            <w:left w:val="none" w:sz="0" w:space="0" w:color="auto"/>
            <w:bottom w:val="none" w:sz="0" w:space="0" w:color="auto"/>
            <w:right w:val="none" w:sz="0" w:space="0" w:color="auto"/>
          </w:divBdr>
        </w:div>
        <w:div w:id="1947611103">
          <w:marLeft w:val="0"/>
          <w:marRight w:val="0"/>
          <w:marTop w:val="0"/>
          <w:marBottom w:val="0"/>
          <w:divBdr>
            <w:top w:val="none" w:sz="0" w:space="0" w:color="auto"/>
            <w:left w:val="none" w:sz="0" w:space="0" w:color="auto"/>
            <w:bottom w:val="none" w:sz="0" w:space="0" w:color="auto"/>
            <w:right w:val="none" w:sz="0" w:space="0" w:color="auto"/>
          </w:divBdr>
        </w:div>
        <w:div w:id="500464358">
          <w:marLeft w:val="0"/>
          <w:marRight w:val="0"/>
          <w:marTop w:val="0"/>
          <w:marBottom w:val="0"/>
          <w:divBdr>
            <w:top w:val="none" w:sz="0" w:space="0" w:color="auto"/>
            <w:left w:val="none" w:sz="0" w:space="0" w:color="auto"/>
            <w:bottom w:val="none" w:sz="0" w:space="0" w:color="auto"/>
            <w:right w:val="none" w:sz="0" w:space="0" w:color="auto"/>
          </w:divBdr>
        </w:div>
        <w:div w:id="1910655027">
          <w:marLeft w:val="0"/>
          <w:marRight w:val="0"/>
          <w:marTop w:val="0"/>
          <w:marBottom w:val="0"/>
          <w:divBdr>
            <w:top w:val="none" w:sz="0" w:space="0" w:color="auto"/>
            <w:left w:val="none" w:sz="0" w:space="0" w:color="auto"/>
            <w:bottom w:val="none" w:sz="0" w:space="0" w:color="auto"/>
            <w:right w:val="none" w:sz="0" w:space="0" w:color="auto"/>
          </w:divBdr>
        </w:div>
        <w:div w:id="1727140817">
          <w:marLeft w:val="0"/>
          <w:marRight w:val="0"/>
          <w:marTop w:val="0"/>
          <w:marBottom w:val="0"/>
          <w:divBdr>
            <w:top w:val="none" w:sz="0" w:space="0" w:color="auto"/>
            <w:left w:val="none" w:sz="0" w:space="0" w:color="auto"/>
            <w:bottom w:val="none" w:sz="0" w:space="0" w:color="auto"/>
            <w:right w:val="none" w:sz="0" w:space="0" w:color="auto"/>
          </w:divBdr>
        </w:div>
        <w:div w:id="1071737653">
          <w:marLeft w:val="0"/>
          <w:marRight w:val="0"/>
          <w:marTop w:val="0"/>
          <w:marBottom w:val="0"/>
          <w:divBdr>
            <w:top w:val="none" w:sz="0" w:space="0" w:color="auto"/>
            <w:left w:val="none" w:sz="0" w:space="0" w:color="auto"/>
            <w:bottom w:val="none" w:sz="0" w:space="0" w:color="auto"/>
            <w:right w:val="none" w:sz="0" w:space="0" w:color="auto"/>
          </w:divBdr>
        </w:div>
        <w:div w:id="1932396022">
          <w:marLeft w:val="0"/>
          <w:marRight w:val="0"/>
          <w:marTop w:val="0"/>
          <w:marBottom w:val="0"/>
          <w:divBdr>
            <w:top w:val="none" w:sz="0" w:space="0" w:color="auto"/>
            <w:left w:val="none" w:sz="0" w:space="0" w:color="auto"/>
            <w:bottom w:val="none" w:sz="0" w:space="0" w:color="auto"/>
            <w:right w:val="none" w:sz="0" w:space="0" w:color="auto"/>
          </w:divBdr>
        </w:div>
        <w:div w:id="1014964654">
          <w:marLeft w:val="0"/>
          <w:marRight w:val="0"/>
          <w:marTop w:val="0"/>
          <w:marBottom w:val="0"/>
          <w:divBdr>
            <w:top w:val="none" w:sz="0" w:space="0" w:color="auto"/>
            <w:left w:val="none" w:sz="0" w:space="0" w:color="auto"/>
            <w:bottom w:val="none" w:sz="0" w:space="0" w:color="auto"/>
            <w:right w:val="none" w:sz="0" w:space="0" w:color="auto"/>
          </w:divBdr>
        </w:div>
        <w:div w:id="361397594">
          <w:marLeft w:val="0"/>
          <w:marRight w:val="0"/>
          <w:marTop w:val="0"/>
          <w:marBottom w:val="0"/>
          <w:divBdr>
            <w:top w:val="none" w:sz="0" w:space="0" w:color="auto"/>
            <w:left w:val="none" w:sz="0" w:space="0" w:color="auto"/>
            <w:bottom w:val="none" w:sz="0" w:space="0" w:color="auto"/>
            <w:right w:val="none" w:sz="0" w:space="0" w:color="auto"/>
          </w:divBdr>
        </w:div>
        <w:div w:id="180125587">
          <w:marLeft w:val="0"/>
          <w:marRight w:val="0"/>
          <w:marTop w:val="0"/>
          <w:marBottom w:val="0"/>
          <w:divBdr>
            <w:top w:val="none" w:sz="0" w:space="0" w:color="auto"/>
            <w:left w:val="none" w:sz="0" w:space="0" w:color="auto"/>
            <w:bottom w:val="none" w:sz="0" w:space="0" w:color="auto"/>
            <w:right w:val="none" w:sz="0" w:space="0" w:color="auto"/>
          </w:divBdr>
        </w:div>
        <w:div w:id="1321689411">
          <w:marLeft w:val="0"/>
          <w:marRight w:val="0"/>
          <w:marTop w:val="0"/>
          <w:marBottom w:val="0"/>
          <w:divBdr>
            <w:top w:val="none" w:sz="0" w:space="0" w:color="auto"/>
            <w:left w:val="none" w:sz="0" w:space="0" w:color="auto"/>
            <w:bottom w:val="none" w:sz="0" w:space="0" w:color="auto"/>
            <w:right w:val="none" w:sz="0" w:space="0" w:color="auto"/>
          </w:divBdr>
        </w:div>
        <w:div w:id="1934821871">
          <w:marLeft w:val="0"/>
          <w:marRight w:val="0"/>
          <w:marTop w:val="0"/>
          <w:marBottom w:val="0"/>
          <w:divBdr>
            <w:top w:val="none" w:sz="0" w:space="0" w:color="auto"/>
            <w:left w:val="none" w:sz="0" w:space="0" w:color="auto"/>
            <w:bottom w:val="none" w:sz="0" w:space="0" w:color="auto"/>
            <w:right w:val="none" w:sz="0" w:space="0" w:color="auto"/>
          </w:divBdr>
        </w:div>
        <w:div w:id="524515067">
          <w:marLeft w:val="0"/>
          <w:marRight w:val="0"/>
          <w:marTop w:val="0"/>
          <w:marBottom w:val="0"/>
          <w:divBdr>
            <w:top w:val="none" w:sz="0" w:space="0" w:color="auto"/>
            <w:left w:val="none" w:sz="0" w:space="0" w:color="auto"/>
            <w:bottom w:val="none" w:sz="0" w:space="0" w:color="auto"/>
            <w:right w:val="none" w:sz="0" w:space="0" w:color="auto"/>
          </w:divBdr>
        </w:div>
        <w:div w:id="835919819">
          <w:marLeft w:val="0"/>
          <w:marRight w:val="0"/>
          <w:marTop w:val="0"/>
          <w:marBottom w:val="0"/>
          <w:divBdr>
            <w:top w:val="none" w:sz="0" w:space="0" w:color="auto"/>
            <w:left w:val="none" w:sz="0" w:space="0" w:color="auto"/>
            <w:bottom w:val="none" w:sz="0" w:space="0" w:color="auto"/>
            <w:right w:val="none" w:sz="0" w:space="0" w:color="auto"/>
          </w:divBdr>
        </w:div>
        <w:div w:id="1096100767">
          <w:marLeft w:val="0"/>
          <w:marRight w:val="0"/>
          <w:marTop w:val="0"/>
          <w:marBottom w:val="0"/>
          <w:divBdr>
            <w:top w:val="none" w:sz="0" w:space="0" w:color="auto"/>
            <w:left w:val="none" w:sz="0" w:space="0" w:color="auto"/>
            <w:bottom w:val="none" w:sz="0" w:space="0" w:color="auto"/>
            <w:right w:val="none" w:sz="0" w:space="0" w:color="auto"/>
          </w:divBdr>
        </w:div>
        <w:div w:id="2063282816">
          <w:marLeft w:val="0"/>
          <w:marRight w:val="0"/>
          <w:marTop w:val="0"/>
          <w:marBottom w:val="0"/>
          <w:divBdr>
            <w:top w:val="none" w:sz="0" w:space="0" w:color="auto"/>
            <w:left w:val="none" w:sz="0" w:space="0" w:color="auto"/>
            <w:bottom w:val="none" w:sz="0" w:space="0" w:color="auto"/>
            <w:right w:val="none" w:sz="0" w:space="0" w:color="auto"/>
          </w:divBdr>
        </w:div>
        <w:div w:id="1745300451">
          <w:marLeft w:val="0"/>
          <w:marRight w:val="0"/>
          <w:marTop w:val="0"/>
          <w:marBottom w:val="0"/>
          <w:divBdr>
            <w:top w:val="none" w:sz="0" w:space="0" w:color="auto"/>
            <w:left w:val="none" w:sz="0" w:space="0" w:color="auto"/>
            <w:bottom w:val="none" w:sz="0" w:space="0" w:color="auto"/>
            <w:right w:val="none" w:sz="0" w:space="0" w:color="auto"/>
          </w:divBdr>
        </w:div>
        <w:div w:id="1104420279">
          <w:marLeft w:val="0"/>
          <w:marRight w:val="0"/>
          <w:marTop w:val="0"/>
          <w:marBottom w:val="0"/>
          <w:divBdr>
            <w:top w:val="none" w:sz="0" w:space="0" w:color="auto"/>
            <w:left w:val="none" w:sz="0" w:space="0" w:color="auto"/>
            <w:bottom w:val="none" w:sz="0" w:space="0" w:color="auto"/>
            <w:right w:val="none" w:sz="0" w:space="0" w:color="auto"/>
          </w:divBdr>
        </w:div>
        <w:div w:id="116418698">
          <w:marLeft w:val="0"/>
          <w:marRight w:val="0"/>
          <w:marTop w:val="0"/>
          <w:marBottom w:val="0"/>
          <w:divBdr>
            <w:top w:val="none" w:sz="0" w:space="0" w:color="auto"/>
            <w:left w:val="none" w:sz="0" w:space="0" w:color="auto"/>
            <w:bottom w:val="none" w:sz="0" w:space="0" w:color="auto"/>
            <w:right w:val="none" w:sz="0" w:space="0" w:color="auto"/>
          </w:divBdr>
        </w:div>
        <w:div w:id="188029735">
          <w:marLeft w:val="0"/>
          <w:marRight w:val="0"/>
          <w:marTop w:val="0"/>
          <w:marBottom w:val="0"/>
          <w:divBdr>
            <w:top w:val="none" w:sz="0" w:space="0" w:color="auto"/>
            <w:left w:val="none" w:sz="0" w:space="0" w:color="auto"/>
            <w:bottom w:val="none" w:sz="0" w:space="0" w:color="auto"/>
            <w:right w:val="none" w:sz="0" w:space="0" w:color="auto"/>
          </w:divBdr>
        </w:div>
        <w:div w:id="739444680">
          <w:marLeft w:val="0"/>
          <w:marRight w:val="0"/>
          <w:marTop w:val="0"/>
          <w:marBottom w:val="0"/>
          <w:divBdr>
            <w:top w:val="none" w:sz="0" w:space="0" w:color="auto"/>
            <w:left w:val="none" w:sz="0" w:space="0" w:color="auto"/>
            <w:bottom w:val="none" w:sz="0" w:space="0" w:color="auto"/>
            <w:right w:val="none" w:sz="0" w:space="0" w:color="auto"/>
          </w:divBdr>
        </w:div>
        <w:div w:id="3274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63187-A42C-450F-A3C4-50CE8169A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40</Pages>
  <Words>10181</Words>
  <Characters>59055</Characters>
  <Application>Microsoft Office Word</Application>
  <DocSecurity>0</DocSecurity>
  <Lines>492</Lines>
  <Paragraphs>138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Pololetní zpráva 2015</vt:lpstr>
      <vt:lpstr>Pololetní zpráva 2015</vt:lpstr>
    </vt:vector>
  </TitlesOfParts>
  <Company>PEGAS NONWOVENS SA</Company>
  <LinksUpToDate>false</LinksUpToDate>
  <CharactersWithSpaces>69098</CharactersWithSpaces>
  <SharedDoc>false</SharedDoc>
  <HLinks>
    <vt:vector size="150" baseType="variant">
      <vt:variant>
        <vt:i4>6488146</vt:i4>
      </vt:variant>
      <vt:variant>
        <vt:i4>153</vt:i4>
      </vt:variant>
      <vt:variant>
        <vt:i4>0</vt:i4>
      </vt:variant>
      <vt:variant>
        <vt:i4>5</vt:i4>
      </vt:variant>
      <vt:variant>
        <vt:lpwstr>mailto:iro@pegas.cz</vt:lpwstr>
      </vt:variant>
      <vt:variant>
        <vt:lpwstr/>
      </vt:variant>
      <vt:variant>
        <vt:i4>2031678</vt:i4>
      </vt:variant>
      <vt:variant>
        <vt:i4>140</vt:i4>
      </vt:variant>
      <vt:variant>
        <vt:i4>0</vt:i4>
      </vt:variant>
      <vt:variant>
        <vt:i4>5</vt:i4>
      </vt:variant>
      <vt:variant>
        <vt:lpwstr/>
      </vt:variant>
      <vt:variant>
        <vt:lpwstr>_Toc269907507</vt:lpwstr>
      </vt:variant>
      <vt:variant>
        <vt:i4>2031678</vt:i4>
      </vt:variant>
      <vt:variant>
        <vt:i4>134</vt:i4>
      </vt:variant>
      <vt:variant>
        <vt:i4>0</vt:i4>
      </vt:variant>
      <vt:variant>
        <vt:i4>5</vt:i4>
      </vt:variant>
      <vt:variant>
        <vt:lpwstr/>
      </vt:variant>
      <vt:variant>
        <vt:lpwstr>_Toc269907506</vt:lpwstr>
      </vt:variant>
      <vt:variant>
        <vt:i4>2031678</vt:i4>
      </vt:variant>
      <vt:variant>
        <vt:i4>128</vt:i4>
      </vt:variant>
      <vt:variant>
        <vt:i4>0</vt:i4>
      </vt:variant>
      <vt:variant>
        <vt:i4>5</vt:i4>
      </vt:variant>
      <vt:variant>
        <vt:lpwstr/>
      </vt:variant>
      <vt:variant>
        <vt:lpwstr>_Toc269907505</vt:lpwstr>
      </vt:variant>
      <vt:variant>
        <vt:i4>2031678</vt:i4>
      </vt:variant>
      <vt:variant>
        <vt:i4>122</vt:i4>
      </vt:variant>
      <vt:variant>
        <vt:i4>0</vt:i4>
      </vt:variant>
      <vt:variant>
        <vt:i4>5</vt:i4>
      </vt:variant>
      <vt:variant>
        <vt:lpwstr/>
      </vt:variant>
      <vt:variant>
        <vt:lpwstr>_Toc269907504</vt:lpwstr>
      </vt:variant>
      <vt:variant>
        <vt:i4>2031678</vt:i4>
      </vt:variant>
      <vt:variant>
        <vt:i4>116</vt:i4>
      </vt:variant>
      <vt:variant>
        <vt:i4>0</vt:i4>
      </vt:variant>
      <vt:variant>
        <vt:i4>5</vt:i4>
      </vt:variant>
      <vt:variant>
        <vt:lpwstr/>
      </vt:variant>
      <vt:variant>
        <vt:lpwstr>_Toc269907503</vt:lpwstr>
      </vt:variant>
      <vt:variant>
        <vt:i4>2031678</vt:i4>
      </vt:variant>
      <vt:variant>
        <vt:i4>110</vt:i4>
      </vt:variant>
      <vt:variant>
        <vt:i4>0</vt:i4>
      </vt:variant>
      <vt:variant>
        <vt:i4>5</vt:i4>
      </vt:variant>
      <vt:variant>
        <vt:lpwstr/>
      </vt:variant>
      <vt:variant>
        <vt:lpwstr>_Toc269907502</vt:lpwstr>
      </vt:variant>
      <vt:variant>
        <vt:i4>2031678</vt:i4>
      </vt:variant>
      <vt:variant>
        <vt:i4>104</vt:i4>
      </vt:variant>
      <vt:variant>
        <vt:i4>0</vt:i4>
      </vt:variant>
      <vt:variant>
        <vt:i4>5</vt:i4>
      </vt:variant>
      <vt:variant>
        <vt:lpwstr/>
      </vt:variant>
      <vt:variant>
        <vt:lpwstr>_Toc269907501</vt:lpwstr>
      </vt:variant>
      <vt:variant>
        <vt:i4>2031678</vt:i4>
      </vt:variant>
      <vt:variant>
        <vt:i4>98</vt:i4>
      </vt:variant>
      <vt:variant>
        <vt:i4>0</vt:i4>
      </vt:variant>
      <vt:variant>
        <vt:i4>5</vt:i4>
      </vt:variant>
      <vt:variant>
        <vt:lpwstr/>
      </vt:variant>
      <vt:variant>
        <vt:lpwstr>_Toc269907500</vt:lpwstr>
      </vt:variant>
      <vt:variant>
        <vt:i4>1441855</vt:i4>
      </vt:variant>
      <vt:variant>
        <vt:i4>92</vt:i4>
      </vt:variant>
      <vt:variant>
        <vt:i4>0</vt:i4>
      </vt:variant>
      <vt:variant>
        <vt:i4>5</vt:i4>
      </vt:variant>
      <vt:variant>
        <vt:lpwstr/>
      </vt:variant>
      <vt:variant>
        <vt:lpwstr>_Toc269907499</vt:lpwstr>
      </vt:variant>
      <vt:variant>
        <vt:i4>1441855</vt:i4>
      </vt:variant>
      <vt:variant>
        <vt:i4>86</vt:i4>
      </vt:variant>
      <vt:variant>
        <vt:i4>0</vt:i4>
      </vt:variant>
      <vt:variant>
        <vt:i4>5</vt:i4>
      </vt:variant>
      <vt:variant>
        <vt:lpwstr/>
      </vt:variant>
      <vt:variant>
        <vt:lpwstr>_Toc269907498</vt:lpwstr>
      </vt:variant>
      <vt:variant>
        <vt:i4>1441855</vt:i4>
      </vt:variant>
      <vt:variant>
        <vt:i4>80</vt:i4>
      </vt:variant>
      <vt:variant>
        <vt:i4>0</vt:i4>
      </vt:variant>
      <vt:variant>
        <vt:i4>5</vt:i4>
      </vt:variant>
      <vt:variant>
        <vt:lpwstr/>
      </vt:variant>
      <vt:variant>
        <vt:lpwstr>_Toc269907497</vt:lpwstr>
      </vt:variant>
      <vt:variant>
        <vt:i4>1441855</vt:i4>
      </vt:variant>
      <vt:variant>
        <vt:i4>74</vt:i4>
      </vt:variant>
      <vt:variant>
        <vt:i4>0</vt:i4>
      </vt:variant>
      <vt:variant>
        <vt:i4>5</vt:i4>
      </vt:variant>
      <vt:variant>
        <vt:lpwstr/>
      </vt:variant>
      <vt:variant>
        <vt:lpwstr>_Toc269907496</vt:lpwstr>
      </vt:variant>
      <vt:variant>
        <vt:i4>1441855</vt:i4>
      </vt:variant>
      <vt:variant>
        <vt:i4>68</vt:i4>
      </vt:variant>
      <vt:variant>
        <vt:i4>0</vt:i4>
      </vt:variant>
      <vt:variant>
        <vt:i4>5</vt:i4>
      </vt:variant>
      <vt:variant>
        <vt:lpwstr/>
      </vt:variant>
      <vt:variant>
        <vt:lpwstr>_Toc269907495</vt:lpwstr>
      </vt:variant>
      <vt:variant>
        <vt:i4>1441855</vt:i4>
      </vt:variant>
      <vt:variant>
        <vt:i4>62</vt:i4>
      </vt:variant>
      <vt:variant>
        <vt:i4>0</vt:i4>
      </vt:variant>
      <vt:variant>
        <vt:i4>5</vt:i4>
      </vt:variant>
      <vt:variant>
        <vt:lpwstr/>
      </vt:variant>
      <vt:variant>
        <vt:lpwstr>_Toc269907494</vt:lpwstr>
      </vt:variant>
      <vt:variant>
        <vt:i4>1441855</vt:i4>
      </vt:variant>
      <vt:variant>
        <vt:i4>56</vt:i4>
      </vt:variant>
      <vt:variant>
        <vt:i4>0</vt:i4>
      </vt:variant>
      <vt:variant>
        <vt:i4>5</vt:i4>
      </vt:variant>
      <vt:variant>
        <vt:lpwstr/>
      </vt:variant>
      <vt:variant>
        <vt:lpwstr>_Toc269907493</vt:lpwstr>
      </vt:variant>
      <vt:variant>
        <vt:i4>1441855</vt:i4>
      </vt:variant>
      <vt:variant>
        <vt:i4>50</vt:i4>
      </vt:variant>
      <vt:variant>
        <vt:i4>0</vt:i4>
      </vt:variant>
      <vt:variant>
        <vt:i4>5</vt:i4>
      </vt:variant>
      <vt:variant>
        <vt:lpwstr/>
      </vt:variant>
      <vt:variant>
        <vt:lpwstr>_Toc269907492</vt:lpwstr>
      </vt:variant>
      <vt:variant>
        <vt:i4>1441855</vt:i4>
      </vt:variant>
      <vt:variant>
        <vt:i4>44</vt:i4>
      </vt:variant>
      <vt:variant>
        <vt:i4>0</vt:i4>
      </vt:variant>
      <vt:variant>
        <vt:i4>5</vt:i4>
      </vt:variant>
      <vt:variant>
        <vt:lpwstr/>
      </vt:variant>
      <vt:variant>
        <vt:lpwstr>_Toc269907491</vt:lpwstr>
      </vt:variant>
      <vt:variant>
        <vt:i4>1441855</vt:i4>
      </vt:variant>
      <vt:variant>
        <vt:i4>38</vt:i4>
      </vt:variant>
      <vt:variant>
        <vt:i4>0</vt:i4>
      </vt:variant>
      <vt:variant>
        <vt:i4>5</vt:i4>
      </vt:variant>
      <vt:variant>
        <vt:lpwstr/>
      </vt:variant>
      <vt:variant>
        <vt:lpwstr>_Toc269907490</vt:lpwstr>
      </vt:variant>
      <vt:variant>
        <vt:i4>1507391</vt:i4>
      </vt:variant>
      <vt:variant>
        <vt:i4>32</vt:i4>
      </vt:variant>
      <vt:variant>
        <vt:i4>0</vt:i4>
      </vt:variant>
      <vt:variant>
        <vt:i4>5</vt:i4>
      </vt:variant>
      <vt:variant>
        <vt:lpwstr/>
      </vt:variant>
      <vt:variant>
        <vt:lpwstr>_Toc269907489</vt:lpwstr>
      </vt:variant>
      <vt:variant>
        <vt:i4>1507391</vt:i4>
      </vt:variant>
      <vt:variant>
        <vt:i4>26</vt:i4>
      </vt:variant>
      <vt:variant>
        <vt:i4>0</vt:i4>
      </vt:variant>
      <vt:variant>
        <vt:i4>5</vt:i4>
      </vt:variant>
      <vt:variant>
        <vt:lpwstr/>
      </vt:variant>
      <vt:variant>
        <vt:lpwstr>_Toc269907488</vt:lpwstr>
      </vt:variant>
      <vt:variant>
        <vt:i4>1507391</vt:i4>
      </vt:variant>
      <vt:variant>
        <vt:i4>20</vt:i4>
      </vt:variant>
      <vt:variant>
        <vt:i4>0</vt:i4>
      </vt:variant>
      <vt:variant>
        <vt:i4>5</vt:i4>
      </vt:variant>
      <vt:variant>
        <vt:lpwstr/>
      </vt:variant>
      <vt:variant>
        <vt:lpwstr>_Toc269907487</vt:lpwstr>
      </vt:variant>
      <vt:variant>
        <vt:i4>1507391</vt:i4>
      </vt:variant>
      <vt:variant>
        <vt:i4>14</vt:i4>
      </vt:variant>
      <vt:variant>
        <vt:i4>0</vt:i4>
      </vt:variant>
      <vt:variant>
        <vt:i4>5</vt:i4>
      </vt:variant>
      <vt:variant>
        <vt:lpwstr/>
      </vt:variant>
      <vt:variant>
        <vt:lpwstr>_Toc269907486</vt:lpwstr>
      </vt:variant>
      <vt:variant>
        <vt:i4>1507391</vt:i4>
      </vt:variant>
      <vt:variant>
        <vt:i4>8</vt:i4>
      </vt:variant>
      <vt:variant>
        <vt:i4>0</vt:i4>
      </vt:variant>
      <vt:variant>
        <vt:i4>5</vt:i4>
      </vt:variant>
      <vt:variant>
        <vt:lpwstr/>
      </vt:variant>
      <vt:variant>
        <vt:lpwstr>_Toc269907485</vt:lpwstr>
      </vt:variant>
      <vt:variant>
        <vt:i4>1507391</vt:i4>
      </vt:variant>
      <vt:variant>
        <vt:i4>2</vt:i4>
      </vt:variant>
      <vt:variant>
        <vt:i4>0</vt:i4>
      </vt:variant>
      <vt:variant>
        <vt:i4>5</vt:i4>
      </vt:variant>
      <vt:variant>
        <vt:lpwstr/>
      </vt:variant>
      <vt:variant>
        <vt:lpwstr>_Toc269907484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Pololetní zpráva 2015</dc:title>
  <dc:subject>Draft</dc:subject>
  <dc:creator>Klára Klímová</dc:creator>
  <cp:lastModifiedBy>Jan Zidek</cp:lastModifiedBy>
  <cp:revision>101</cp:revision>
  <cp:lastPrinted>2016-08-24T11:34:00Z</cp:lastPrinted>
  <dcterms:created xsi:type="dcterms:W3CDTF">2015-08-21T08:58:00Z</dcterms:created>
  <dcterms:modified xsi:type="dcterms:W3CDTF">2016-08-25T05:39:00Z</dcterms:modified>
</cp:coreProperties>
</file>