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4"/>
          <w:szCs w:val="24"/>
          <w:lang w:eastAsia="cs-CZ"/>
        </w:rPr>
        <w:id w:val="14554255"/>
        <w:docPartObj>
          <w:docPartGallery w:val="Cover Pages"/>
          <w:docPartUnique/>
        </w:docPartObj>
      </w:sdtPr>
      <w:sdtEndPr>
        <w:rPr>
          <w:rFonts w:ascii="Times New Roman" w:eastAsia="Times New Roman" w:hAnsi="Times New Roman" w:cs="Times New Roman"/>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9843DC" w:rsidRPr="007A542A">
            <w:sdt>
              <w:sdtPr>
                <w:rPr>
                  <w:rFonts w:asciiTheme="majorHAnsi" w:eastAsiaTheme="majorEastAsia" w:hAnsiTheme="majorHAnsi" w:cstheme="majorBidi"/>
                  <w:sz w:val="24"/>
                  <w:szCs w:val="24"/>
                  <w:lang w:eastAsia="cs-CZ"/>
                </w:rPr>
                <w:alias w:val="Společnost"/>
                <w:id w:val="13406915"/>
                <w:dataBinding w:prefixMappings="xmlns:ns0='http://schemas.openxmlformats.org/officeDocument/2006/extended-properties'" w:xpath="/ns0:Properties[1]/ns0:Company[1]" w:storeItemID="{6668398D-A668-4E3E-A5EB-62B293D839F1}"/>
                <w:text/>
              </w:sdtPr>
              <w:sdtEndPr>
                <w:rPr>
                  <w:sz w:val="22"/>
                  <w:szCs w:val="22"/>
                  <w:lang w:eastAsia="en-US"/>
                </w:rPr>
              </w:sdtEndPr>
              <w:sdtContent>
                <w:tc>
                  <w:tcPr>
                    <w:tcW w:w="7672" w:type="dxa"/>
                    <w:tcMar>
                      <w:top w:w="216" w:type="dxa"/>
                      <w:left w:w="115" w:type="dxa"/>
                      <w:bottom w:w="216" w:type="dxa"/>
                      <w:right w:w="115" w:type="dxa"/>
                    </w:tcMar>
                  </w:tcPr>
                  <w:p w:rsidR="009843DC" w:rsidRPr="007A542A" w:rsidRDefault="00E67E65" w:rsidP="009843DC">
                    <w:pPr>
                      <w:pStyle w:val="NoSpacing"/>
                      <w:rPr>
                        <w:rFonts w:asciiTheme="majorHAnsi" w:eastAsiaTheme="majorEastAsia" w:hAnsiTheme="majorHAnsi" w:cstheme="majorBidi"/>
                      </w:rPr>
                    </w:pPr>
                    <w:r w:rsidRPr="007A542A">
                      <w:rPr>
                        <w:rFonts w:asciiTheme="majorHAnsi" w:eastAsiaTheme="majorEastAsia" w:hAnsiTheme="majorHAnsi" w:cstheme="majorBidi"/>
                        <w:sz w:val="24"/>
                        <w:szCs w:val="24"/>
                        <w:lang w:eastAsia="cs-CZ"/>
                      </w:rPr>
                      <w:t>PEGAS NONWOVENS SA</w:t>
                    </w:r>
                  </w:p>
                </w:tc>
              </w:sdtContent>
            </w:sdt>
          </w:tr>
          <w:tr w:rsidR="009843DC" w:rsidRPr="007A542A">
            <w:tc>
              <w:tcPr>
                <w:tcW w:w="7672" w:type="dxa"/>
              </w:tcPr>
              <w:sdt>
                <w:sdtPr>
                  <w:rPr>
                    <w:rFonts w:asciiTheme="majorHAnsi" w:eastAsiaTheme="majorEastAsia" w:hAnsiTheme="majorHAnsi" w:cstheme="majorBidi"/>
                    <w:color w:val="4F81BD" w:themeColor="accent1"/>
                    <w:sz w:val="80"/>
                    <w:szCs w:val="80"/>
                  </w:rPr>
                  <w:alias w:val="Název"/>
                  <w:id w:val="13406919"/>
                  <w:dataBinding w:prefixMappings="xmlns:ns0='http://schemas.openxmlformats.org/package/2006/metadata/core-properties' xmlns:ns1='http://purl.org/dc/elements/1.1/'" w:xpath="/ns0:coreProperties[1]/ns1:title[1]" w:storeItemID="{6C3C8BC8-F283-45AE-878A-BAB7291924A1}"/>
                  <w:text/>
                </w:sdtPr>
                <w:sdtEndPr/>
                <w:sdtContent>
                  <w:p w:rsidR="009843DC" w:rsidRPr="007A542A" w:rsidRDefault="00CB77A0" w:rsidP="00CB77A0">
                    <w:pPr>
                      <w:pStyle w:val="NoSpacing"/>
                      <w:rPr>
                        <w:rFonts w:asciiTheme="majorHAnsi" w:eastAsiaTheme="majorEastAsia" w:hAnsiTheme="majorHAnsi" w:cstheme="majorBidi"/>
                        <w:color w:val="4F81BD" w:themeColor="accent1"/>
                        <w:sz w:val="80"/>
                        <w:szCs w:val="80"/>
                      </w:rPr>
                    </w:pPr>
                    <w:r w:rsidRPr="007A542A">
                      <w:rPr>
                        <w:rFonts w:asciiTheme="majorHAnsi" w:eastAsiaTheme="majorEastAsia" w:hAnsiTheme="majorHAnsi" w:cstheme="majorBidi"/>
                        <w:color w:val="4F81BD" w:themeColor="accent1"/>
                        <w:sz w:val="80"/>
                        <w:szCs w:val="80"/>
                      </w:rPr>
                      <w:t>Pololetní zpráva 201</w:t>
                    </w:r>
                    <w:r>
                      <w:rPr>
                        <w:rFonts w:asciiTheme="majorHAnsi" w:eastAsiaTheme="majorEastAsia" w:hAnsiTheme="majorHAnsi" w:cstheme="majorBidi"/>
                        <w:color w:val="4F81BD" w:themeColor="accent1"/>
                        <w:sz w:val="80"/>
                        <w:szCs w:val="80"/>
                      </w:rPr>
                      <w:t>5</w:t>
                    </w:r>
                  </w:p>
                </w:sdtContent>
              </w:sdt>
            </w:tc>
          </w:tr>
          <w:tr w:rsidR="009843DC" w:rsidRPr="007A542A">
            <w:tc>
              <w:tcPr>
                <w:tcW w:w="7672" w:type="dxa"/>
                <w:tcMar>
                  <w:top w:w="216" w:type="dxa"/>
                  <w:left w:w="115" w:type="dxa"/>
                  <w:bottom w:w="216" w:type="dxa"/>
                  <w:right w:w="115" w:type="dxa"/>
                </w:tcMar>
              </w:tcPr>
              <w:p w:rsidR="009843DC" w:rsidRPr="007A542A" w:rsidRDefault="009843DC" w:rsidP="009843DC">
                <w:pPr>
                  <w:pStyle w:val="NoSpacing"/>
                  <w:rPr>
                    <w:rFonts w:asciiTheme="majorHAnsi" w:eastAsiaTheme="majorEastAsia" w:hAnsiTheme="majorHAnsi" w:cstheme="majorBidi"/>
                  </w:rPr>
                </w:pPr>
              </w:p>
            </w:tc>
          </w:tr>
        </w:tbl>
        <w:p w:rsidR="009843DC" w:rsidRPr="007A542A" w:rsidRDefault="009843DC"/>
        <w:p w:rsidR="009843DC" w:rsidRPr="007A542A" w:rsidRDefault="009843DC"/>
        <w:tbl>
          <w:tblPr>
            <w:tblpPr w:leftFromText="187" w:rightFromText="187" w:horzAnchor="margin" w:tblpXSpec="center" w:tblpYSpec="bottom"/>
            <w:tblW w:w="4000" w:type="pct"/>
            <w:tblLook w:val="04A0" w:firstRow="1" w:lastRow="0" w:firstColumn="1" w:lastColumn="0" w:noHBand="0" w:noVBand="1"/>
          </w:tblPr>
          <w:tblGrid>
            <w:gridCol w:w="7442"/>
          </w:tblGrid>
          <w:tr w:rsidR="009843DC" w:rsidRPr="007A542A">
            <w:tc>
              <w:tcPr>
                <w:tcW w:w="7672" w:type="dxa"/>
                <w:tcMar>
                  <w:top w:w="216" w:type="dxa"/>
                  <w:left w:w="115" w:type="dxa"/>
                  <w:bottom w:w="216" w:type="dxa"/>
                  <w:right w:w="115" w:type="dxa"/>
                </w:tcMar>
              </w:tcPr>
              <w:p w:rsidR="009843DC" w:rsidRPr="007A542A" w:rsidRDefault="009843DC">
                <w:pPr>
                  <w:pStyle w:val="NoSpacing"/>
                  <w:rPr>
                    <w:color w:val="4F81BD" w:themeColor="accent1"/>
                  </w:rPr>
                </w:pPr>
              </w:p>
              <w:sdt>
                <w:sdtPr>
                  <w:rPr>
                    <w:color w:val="4F81BD" w:themeColor="accent1"/>
                  </w:rPr>
                  <w:alias w:val="Datum"/>
                  <w:id w:val="13406932"/>
                  <w:dataBinding w:prefixMappings="xmlns:ns0='http://schemas.microsoft.com/office/2006/coverPageProps'" w:xpath="/ns0:CoverPageProperties[1]/ns0:PublishDate[1]" w:storeItemID="{55AF091B-3C7A-41E3-B477-F2FDAA23CFDA}"/>
                  <w:date w:fullDate="2015-08-27T00:00:00Z">
                    <w:dateFormat w:val="d.M.yyyy"/>
                    <w:lid w:val="cs-CZ"/>
                    <w:storeMappedDataAs w:val="dateTime"/>
                    <w:calendar w:val="gregorian"/>
                  </w:date>
                </w:sdtPr>
                <w:sdtEndPr/>
                <w:sdtContent>
                  <w:p w:rsidR="009843DC" w:rsidRPr="007A542A" w:rsidRDefault="00CB77A0">
                    <w:pPr>
                      <w:pStyle w:val="NoSpacing"/>
                      <w:rPr>
                        <w:color w:val="4F81BD" w:themeColor="accent1"/>
                      </w:rPr>
                    </w:pPr>
                    <w:r w:rsidRPr="007A542A">
                      <w:rPr>
                        <w:color w:val="4F81BD" w:themeColor="accent1"/>
                      </w:rPr>
                      <w:t>2</w:t>
                    </w:r>
                    <w:r>
                      <w:rPr>
                        <w:color w:val="4F81BD" w:themeColor="accent1"/>
                      </w:rPr>
                      <w:t>7</w:t>
                    </w:r>
                    <w:r w:rsidRPr="007A542A">
                      <w:rPr>
                        <w:color w:val="4F81BD" w:themeColor="accent1"/>
                      </w:rPr>
                      <w:t>.8.201</w:t>
                    </w:r>
                    <w:r>
                      <w:rPr>
                        <w:color w:val="4F81BD" w:themeColor="accent1"/>
                      </w:rPr>
                      <w:t>5</w:t>
                    </w:r>
                  </w:p>
                </w:sdtContent>
              </w:sdt>
              <w:p w:rsidR="009843DC" w:rsidRPr="007A542A" w:rsidRDefault="009843DC">
                <w:pPr>
                  <w:pStyle w:val="NoSpacing"/>
                  <w:rPr>
                    <w:color w:val="4F81BD" w:themeColor="accent1"/>
                  </w:rPr>
                </w:pPr>
              </w:p>
            </w:tc>
          </w:tr>
        </w:tbl>
        <w:p w:rsidR="009843DC" w:rsidRPr="007A542A" w:rsidRDefault="009843DC"/>
        <w:p w:rsidR="009843DC" w:rsidRPr="007A542A" w:rsidRDefault="009843DC">
          <w:r w:rsidRPr="007A542A">
            <w:br w:type="page"/>
          </w:r>
        </w:p>
      </w:sdtContent>
    </w:sdt>
    <w:p w:rsidR="001370D9" w:rsidRPr="007A542A" w:rsidRDefault="001370D9" w:rsidP="001370D9">
      <w:pPr>
        <w:ind w:left="-737" w:right="-680"/>
        <w:jc w:val="right"/>
        <w:rPr>
          <w:rFonts w:ascii="Verdana" w:hAnsi="Verdana"/>
          <w:b/>
          <w:sz w:val="20"/>
          <w:szCs w:val="20"/>
        </w:rPr>
      </w:pPr>
    </w:p>
    <w:sdt>
      <w:sdtPr>
        <w:rPr>
          <w:rFonts w:ascii="Times New Roman" w:eastAsia="Times New Roman" w:hAnsi="Times New Roman" w:cs="Times New Roman"/>
          <w:b w:val="0"/>
          <w:bCs w:val="0"/>
          <w:color w:val="auto"/>
          <w:sz w:val="24"/>
          <w:szCs w:val="24"/>
          <w:lang w:eastAsia="cs-CZ"/>
        </w:rPr>
        <w:id w:val="14554254"/>
        <w:docPartObj>
          <w:docPartGallery w:val="Table of Contents"/>
          <w:docPartUnique/>
        </w:docPartObj>
      </w:sdtPr>
      <w:sdtEndPr/>
      <w:sdtContent>
        <w:p w:rsidR="009843DC" w:rsidRPr="007A542A" w:rsidRDefault="009843DC">
          <w:pPr>
            <w:pStyle w:val="TOCHeading"/>
          </w:pPr>
          <w:r w:rsidRPr="007A542A">
            <w:t>Obsah</w:t>
          </w:r>
        </w:p>
        <w:p w:rsidR="00DA6584" w:rsidRDefault="001A3EBE">
          <w:pPr>
            <w:pStyle w:val="TOC1"/>
            <w:rPr>
              <w:rFonts w:asciiTheme="minorHAnsi" w:eastAsiaTheme="minorEastAsia" w:hAnsiTheme="minorHAnsi" w:cstheme="minorBidi"/>
              <w:b w:val="0"/>
              <w:sz w:val="22"/>
              <w:szCs w:val="22"/>
              <w:lang w:val="cs-CZ"/>
            </w:rPr>
          </w:pPr>
          <w:r w:rsidRPr="007A542A">
            <w:rPr>
              <w:lang w:val="cs-CZ"/>
            </w:rPr>
            <w:fldChar w:fldCharType="begin"/>
          </w:r>
          <w:r w:rsidR="009843DC" w:rsidRPr="007A542A">
            <w:rPr>
              <w:lang w:val="cs-CZ"/>
            </w:rPr>
            <w:instrText xml:space="preserve"> TOC \o "1-3" \h \z \u </w:instrText>
          </w:r>
          <w:r w:rsidRPr="007A542A">
            <w:rPr>
              <w:lang w:val="cs-CZ"/>
            </w:rPr>
            <w:fldChar w:fldCharType="separate"/>
          </w:r>
          <w:hyperlink w:anchor="_Toc427918107" w:history="1">
            <w:r w:rsidR="00DA6584" w:rsidRPr="008542A6">
              <w:rPr>
                <w:rStyle w:val="Hyperlink"/>
              </w:rPr>
              <w:t>1</w:t>
            </w:r>
            <w:r w:rsidR="00DA6584">
              <w:rPr>
                <w:rFonts w:asciiTheme="minorHAnsi" w:eastAsiaTheme="minorEastAsia" w:hAnsiTheme="minorHAnsi" w:cstheme="minorBidi"/>
                <w:b w:val="0"/>
                <w:sz w:val="22"/>
                <w:szCs w:val="22"/>
                <w:lang w:val="cs-CZ"/>
              </w:rPr>
              <w:tab/>
            </w:r>
            <w:r w:rsidR="00DA6584" w:rsidRPr="008542A6">
              <w:rPr>
                <w:rStyle w:val="Hyperlink"/>
              </w:rPr>
              <w:t>Úvod</w:t>
            </w:r>
            <w:r w:rsidR="00DA6584">
              <w:rPr>
                <w:webHidden/>
              </w:rPr>
              <w:tab/>
            </w:r>
            <w:r w:rsidR="00DA6584">
              <w:rPr>
                <w:webHidden/>
              </w:rPr>
              <w:fldChar w:fldCharType="begin"/>
            </w:r>
            <w:r w:rsidR="00DA6584">
              <w:rPr>
                <w:webHidden/>
              </w:rPr>
              <w:instrText xml:space="preserve"> PAGEREF _Toc427918107 \h </w:instrText>
            </w:r>
            <w:r w:rsidR="00DA6584">
              <w:rPr>
                <w:webHidden/>
              </w:rPr>
            </w:r>
            <w:r w:rsidR="00DA6584">
              <w:rPr>
                <w:webHidden/>
              </w:rPr>
              <w:fldChar w:fldCharType="separate"/>
            </w:r>
            <w:r w:rsidR="00DA6584">
              <w:rPr>
                <w:webHidden/>
              </w:rPr>
              <w:t>3</w:t>
            </w:r>
            <w:r w:rsidR="00DA6584">
              <w:rPr>
                <w:webHidden/>
              </w:rPr>
              <w:fldChar w:fldCharType="end"/>
            </w:r>
          </w:hyperlink>
        </w:p>
        <w:p w:rsidR="00DA6584" w:rsidRDefault="00E12826">
          <w:pPr>
            <w:pStyle w:val="TOC1"/>
            <w:rPr>
              <w:rFonts w:asciiTheme="minorHAnsi" w:eastAsiaTheme="minorEastAsia" w:hAnsiTheme="minorHAnsi" w:cstheme="minorBidi"/>
              <w:b w:val="0"/>
              <w:sz w:val="22"/>
              <w:szCs w:val="22"/>
              <w:lang w:val="cs-CZ"/>
            </w:rPr>
          </w:pPr>
          <w:hyperlink w:anchor="_Toc427918108" w:history="1">
            <w:r w:rsidR="00DA6584" w:rsidRPr="008542A6">
              <w:rPr>
                <w:rStyle w:val="Hyperlink"/>
              </w:rPr>
              <w:t>2</w:t>
            </w:r>
            <w:r w:rsidR="00DA6584">
              <w:rPr>
                <w:rFonts w:asciiTheme="minorHAnsi" w:eastAsiaTheme="minorEastAsia" w:hAnsiTheme="minorHAnsi" w:cstheme="minorBidi"/>
                <w:b w:val="0"/>
                <w:sz w:val="22"/>
                <w:szCs w:val="22"/>
                <w:lang w:val="cs-CZ"/>
              </w:rPr>
              <w:tab/>
            </w:r>
            <w:r w:rsidR="00DA6584" w:rsidRPr="008542A6">
              <w:rPr>
                <w:rStyle w:val="Hyperlink"/>
              </w:rPr>
              <w:t>Hlavní údaje za první pololetí 2015</w:t>
            </w:r>
            <w:r w:rsidR="00DA6584">
              <w:rPr>
                <w:webHidden/>
              </w:rPr>
              <w:tab/>
            </w:r>
            <w:r w:rsidR="00DA6584">
              <w:rPr>
                <w:webHidden/>
              </w:rPr>
              <w:fldChar w:fldCharType="begin"/>
            </w:r>
            <w:r w:rsidR="00DA6584">
              <w:rPr>
                <w:webHidden/>
              </w:rPr>
              <w:instrText xml:space="preserve"> PAGEREF _Toc427918108 \h </w:instrText>
            </w:r>
            <w:r w:rsidR="00DA6584">
              <w:rPr>
                <w:webHidden/>
              </w:rPr>
            </w:r>
            <w:r w:rsidR="00DA6584">
              <w:rPr>
                <w:webHidden/>
              </w:rPr>
              <w:fldChar w:fldCharType="separate"/>
            </w:r>
            <w:r w:rsidR="00DA6584">
              <w:rPr>
                <w:webHidden/>
              </w:rPr>
              <w:t>4</w:t>
            </w:r>
            <w:r w:rsidR="00DA6584">
              <w:rPr>
                <w:webHidden/>
              </w:rPr>
              <w:fldChar w:fldCharType="end"/>
            </w:r>
          </w:hyperlink>
        </w:p>
        <w:p w:rsidR="00DA6584" w:rsidRDefault="00E12826">
          <w:pPr>
            <w:pStyle w:val="TOC1"/>
            <w:rPr>
              <w:rFonts w:asciiTheme="minorHAnsi" w:eastAsiaTheme="minorEastAsia" w:hAnsiTheme="minorHAnsi" w:cstheme="minorBidi"/>
              <w:b w:val="0"/>
              <w:sz w:val="22"/>
              <w:szCs w:val="22"/>
              <w:lang w:val="cs-CZ"/>
            </w:rPr>
          </w:pPr>
          <w:hyperlink w:anchor="_Toc427918109" w:history="1">
            <w:r w:rsidR="00DA6584" w:rsidRPr="008542A6">
              <w:rPr>
                <w:rStyle w:val="Hyperlink"/>
              </w:rPr>
              <w:t>3</w:t>
            </w:r>
            <w:r w:rsidR="00DA6584">
              <w:rPr>
                <w:rFonts w:asciiTheme="minorHAnsi" w:eastAsiaTheme="minorEastAsia" w:hAnsiTheme="minorHAnsi" w:cstheme="minorBidi"/>
                <w:b w:val="0"/>
                <w:sz w:val="22"/>
                <w:szCs w:val="22"/>
                <w:lang w:val="cs-CZ"/>
              </w:rPr>
              <w:tab/>
            </w:r>
            <w:r w:rsidR="00DA6584" w:rsidRPr="008542A6">
              <w:rPr>
                <w:rStyle w:val="Hyperlink"/>
              </w:rPr>
              <w:t>Mezitímní zpráva o podnikání za první pololetí 2015</w:t>
            </w:r>
            <w:r w:rsidR="00DA6584">
              <w:rPr>
                <w:webHidden/>
              </w:rPr>
              <w:tab/>
            </w:r>
            <w:r w:rsidR="00DA6584">
              <w:rPr>
                <w:webHidden/>
              </w:rPr>
              <w:fldChar w:fldCharType="begin"/>
            </w:r>
            <w:r w:rsidR="00DA6584">
              <w:rPr>
                <w:webHidden/>
              </w:rPr>
              <w:instrText xml:space="preserve"> PAGEREF _Toc427918109 \h </w:instrText>
            </w:r>
            <w:r w:rsidR="00DA6584">
              <w:rPr>
                <w:webHidden/>
              </w:rPr>
            </w:r>
            <w:r w:rsidR="00DA6584">
              <w:rPr>
                <w:webHidden/>
              </w:rPr>
              <w:fldChar w:fldCharType="separate"/>
            </w:r>
            <w:r w:rsidR="00DA6584">
              <w:rPr>
                <w:webHidden/>
              </w:rPr>
              <w:t>6</w:t>
            </w:r>
            <w:r w:rsidR="00DA6584">
              <w:rPr>
                <w:webHidden/>
              </w:rPr>
              <w:fldChar w:fldCharType="end"/>
            </w:r>
          </w:hyperlink>
        </w:p>
        <w:p w:rsidR="00DA6584" w:rsidRDefault="00E12826">
          <w:pPr>
            <w:pStyle w:val="TOC2"/>
            <w:tabs>
              <w:tab w:val="left" w:pos="880"/>
              <w:tab w:val="right" w:leader="dot" w:pos="9062"/>
            </w:tabs>
            <w:rPr>
              <w:rFonts w:asciiTheme="minorHAnsi" w:eastAsiaTheme="minorEastAsia" w:hAnsiTheme="minorHAnsi" w:cstheme="minorBidi"/>
              <w:noProof/>
              <w:sz w:val="22"/>
              <w:szCs w:val="22"/>
            </w:rPr>
          </w:pPr>
          <w:hyperlink w:anchor="_Toc427918110" w:history="1">
            <w:r w:rsidR="00DA6584" w:rsidRPr="008542A6">
              <w:rPr>
                <w:rStyle w:val="Hyperlink"/>
                <w:noProof/>
              </w:rPr>
              <w:t>3.1</w:t>
            </w:r>
            <w:r w:rsidR="00DA6584">
              <w:rPr>
                <w:rFonts w:asciiTheme="minorHAnsi" w:eastAsiaTheme="minorEastAsia" w:hAnsiTheme="minorHAnsi" w:cstheme="minorBidi"/>
                <w:noProof/>
                <w:sz w:val="22"/>
                <w:szCs w:val="22"/>
              </w:rPr>
              <w:tab/>
            </w:r>
            <w:r w:rsidR="00DA6584" w:rsidRPr="008542A6">
              <w:rPr>
                <w:rStyle w:val="Hyperlink"/>
                <w:noProof/>
              </w:rPr>
              <w:t>Finanční výsledky za první pololetí 2015</w:t>
            </w:r>
            <w:r w:rsidR="00DA6584">
              <w:rPr>
                <w:noProof/>
                <w:webHidden/>
              </w:rPr>
              <w:tab/>
            </w:r>
            <w:r w:rsidR="00DA6584">
              <w:rPr>
                <w:noProof/>
                <w:webHidden/>
              </w:rPr>
              <w:fldChar w:fldCharType="begin"/>
            </w:r>
            <w:r w:rsidR="00DA6584">
              <w:rPr>
                <w:noProof/>
                <w:webHidden/>
              </w:rPr>
              <w:instrText xml:space="preserve"> PAGEREF _Toc427918110 \h </w:instrText>
            </w:r>
            <w:r w:rsidR="00DA6584">
              <w:rPr>
                <w:noProof/>
                <w:webHidden/>
              </w:rPr>
            </w:r>
            <w:r w:rsidR="00DA6584">
              <w:rPr>
                <w:noProof/>
                <w:webHidden/>
              </w:rPr>
              <w:fldChar w:fldCharType="separate"/>
            </w:r>
            <w:r w:rsidR="00DA6584">
              <w:rPr>
                <w:noProof/>
                <w:webHidden/>
              </w:rPr>
              <w:t>6</w:t>
            </w:r>
            <w:r w:rsidR="00DA6584">
              <w:rPr>
                <w:noProof/>
                <w:webHidden/>
              </w:rPr>
              <w:fldChar w:fldCharType="end"/>
            </w:r>
          </w:hyperlink>
        </w:p>
        <w:p w:rsidR="00DA6584" w:rsidRDefault="00E12826">
          <w:pPr>
            <w:pStyle w:val="TOC2"/>
            <w:tabs>
              <w:tab w:val="left" w:pos="880"/>
              <w:tab w:val="right" w:leader="dot" w:pos="9062"/>
            </w:tabs>
            <w:rPr>
              <w:rFonts w:asciiTheme="minorHAnsi" w:eastAsiaTheme="minorEastAsia" w:hAnsiTheme="minorHAnsi" w:cstheme="minorBidi"/>
              <w:noProof/>
              <w:sz w:val="22"/>
              <w:szCs w:val="22"/>
            </w:rPr>
          </w:pPr>
          <w:hyperlink w:anchor="_Toc427918111" w:history="1">
            <w:r w:rsidR="00DA6584" w:rsidRPr="008542A6">
              <w:rPr>
                <w:rStyle w:val="Hyperlink"/>
                <w:noProof/>
              </w:rPr>
              <w:t>3.2</w:t>
            </w:r>
            <w:r w:rsidR="00DA6584">
              <w:rPr>
                <w:rFonts w:asciiTheme="minorHAnsi" w:eastAsiaTheme="minorEastAsia" w:hAnsiTheme="minorHAnsi" w:cstheme="minorBidi"/>
                <w:noProof/>
                <w:sz w:val="22"/>
                <w:szCs w:val="22"/>
              </w:rPr>
              <w:tab/>
            </w:r>
            <w:r w:rsidR="00DA6584" w:rsidRPr="008542A6">
              <w:rPr>
                <w:rStyle w:val="Hyperlink"/>
                <w:noProof/>
              </w:rPr>
              <w:t>Pololetní přehled vývoje Společnosti</w:t>
            </w:r>
            <w:r w:rsidR="00DA6584">
              <w:rPr>
                <w:noProof/>
                <w:webHidden/>
              </w:rPr>
              <w:tab/>
            </w:r>
            <w:r w:rsidR="00DA6584">
              <w:rPr>
                <w:noProof/>
                <w:webHidden/>
              </w:rPr>
              <w:fldChar w:fldCharType="begin"/>
            </w:r>
            <w:r w:rsidR="00DA6584">
              <w:rPr>
                <w:noProof/>
                <w:webHidden/>
              </w:rPr>
              <w:instrText xml:space="preserve"> PAGEREF _Toc427918111 \h </w:instrText>
            </w:r>
            <w:r w:rsidR="00DA6584">
              <w:rPr>
                <w:noProof/>
                <w:webHidden/>
              </w:rPr>
            </w:r>
            <w:r w:rsidR="00DA6584">
              <w:rPr>
                <w:noProof/>
                <w:webHidden/>
              </w:rPr>
              <w:fldChar w:fldCharType="separate"/>
            </w:r>
            <w:r w:rsidR="00DA6584">
              <w:rPr>
                <w:noProof/>
                <w:webHidden/>
              </w:rPr>
              <w:t>9</w:t>
            </w:r>
            <w:r w:rsidR="00DA6584">
              <w:rPr>
                <w:noProof/>
                <w:webHidden/>
              </w:rPr>
              <w:fldChar w:fldCharType="end"/>
            </w:r>
          </w:hyperlink>
        </w:p>
        <w:p w:rsidR="00DA6584" w:rsidRDefault="00E12826">
          <w:pPr>
            <w:pStyle w:val="TOC2"/>
            <w:tabs>
              <w:tab w:val="left" w:pos="880"/>
              <w:tab w:val="right" w:leader="dot" w:pos="9062"/>
            </w:tabs>
            <w:rPr>
              <w:rFonts w:asciiTheme="minorHAnsi" w:eastAsiaTheme="minorEastAsia" w:hAnsiTheme="minorHAnsi" w:cstheme="minorBidi"/>
              <w:noProof/>
              <w:sz w:val="22"/>
              <w:szCs w:val="22"/>
            </w:rPr>
          </w:pPr>
          <w:hyperlink w:anchor="_Toc427918112" w:history="1">
            <w:r w:rsidR="00DA6584" w:rsidRPr="008542A6">
              <w:rPr>
                <w:rStyle w:val="Hyperlink"/>
                <w:noProof/>
              </w:rPr>
              <w:t>3.3</w:t>
            </w:r>
            <w:r w:rsidR="00DA6584">
              <w:rPr>
                <w:rFonts w:asciiTheme="minorHAnsi" w:eastAsiaTheme="minorEastAsia" w:hAnsiTheme="minorHAnsi" w:cstheme="minorBidi"/>
                <w:noProof/>
                <w:sz w:val="22"/>
                <w:szCs w:val="22"/>
              </w:rPr>
              <w:tab/>
            </w:r>
            <w:r w:rsidR="00DA6584" w:rsidRPr="008542A6">
              <w:rPr>
                <w:rStyle w:val="Hyperlink"/>
                <w:noProof/>
              </w:rPr>
              <w:t>Výzkum a vývoj</w:t>
            </w:r>
            <w:r w:rsidR="00DA6584">
              <w:rPr>
                <w:noProof/>
                <w:webHidden/>
              </w:rPr>
              <w:tab/>
            </w:r>
            <w:r w:rsidR="00DA6584">
              <w:rPr>
                <w:noProof/>
                <w:webHidden/>
              </w:rPr>
              <w:fldChar w:fldCharType="begin"/>
            </w:r>
            <w:r w:rsidR="00DA6584">
              <w:rPr>
                <w:noProof/>
                <w:webHidden/>
              </w:rPr>
              <w:instrText xml:space="preserve"> PAGEREF _Toc427918112 \h </w:instrText>
            </w:r>
            <w:r w:rsidR="00DA6584">
              <w:rPr>
                <w:noProof/>
                <w:webHidden/>
              </w:rPr>
            </w:r>
            <w:r w:rsidR="00DA6584">
              <w:rPr>
                <w:noProof/>
                <w:webHidden/>
              </w:rPr>
              <w:fldChar w:fldCharType="separate"/>
            </w:r>
            <w:r w:rsidR="00DA6584">
              <w:rPr>
                <w:noProof/>
                <w:webHidden/>
              </w:rPr>
              <w:t>9</w:t>
            </w:r>
            <w:r w:rsidR="00DA6584">
              <w:rPr>
                <w:noProof/>
                <w:webHidden/>
              </w:rPr>
              <w:fldChar w:fldCharType="end"/>
            </w:r>
          </w:hyperlink>
        </w:p>
        <w:p w:rsidR="00DA6584" w:rsidRDefault="00E12826">
          <w:pPr>
            <w:pStyle w:val="TOC2"/>
            <w:tabs>
              <w:tab w:val="left" w:pos="880"/>
              <w:tab w:val="right" w:leader="dot" w:pos="9062"/>
            </w:tabs>
            <w:rPr>
              <w:rFonts w:asciiTheme="minorHAnsi" w:eastAsiaTheme="minorEastAsia" w:hAnsiTheme="minorHAnsi" w:cstheme="minorBidi"/>
              <w:noProof/>
              <w:sz w:val="22"/>
              <w:szCs w:val="22"/>
            </w:rPr>
          </w:pPr>
          <w:hyperlink w:anchor="_Toc427918113" w:history="1">
            <w:r w:rsidR="00DA6584" w:rsidRPr="008542A6">
              <w:rPr>
                <w:rStyle w:val="Hyperlink"/>
                <w:noProof/>
              </w:rPr>
              <w:t>3.4</w:t>
            </w:r>
            <w:r w:rsidR="00DA6584">
              <w:rPr>
                <w:rFonts w:asciiTheme="minorHAnsi" w:eastAsiaTheme="minorEastAsia" w:hAnsiTheme="minorHAnsi" w:cstheme="minorBidi"/>
                <w:noProof/>
                <w:sz w:val="22"/>
                <w:szCs w:val="22"/>
              </w:rPr>
              <w:tab/>
            </w:r>
            <w:r w:rsidR="00DA6584" w:rsidRPr="008542A6">
              <w:rPr>
                <w:rStyle w:val="Hyperlink"/>
                <w:noProof/>
              </w:rPr>
              <w:t>Strategie</w:t>
            </w:r>
            <w:r w:rsidR="00DA6584">
              <w:rPr>
                <w:noProof/>
                <w:webHidden/>
              </w:rPr>
              <w:tab/>
            </w:r>
            <w:r w:rsidR="00DA6584">
              <w:rPr>
                <w:noProof/>
                <w:webHidden/>
              </w:rPr>
              <w:fldChar w:fldCharType="begin"/>
            </w:r>
            <w:r w:rsidR="00DA6584">
              <w:rPr>
                <w:noProof/>
                <w:webHidden/>
              </w:rPr>
              <w:instrText xml:space="preserve"> PAGEREF _Toc427918113 \h </w:instrText>
            </w:r>
            <w:r w:rsidR="00DA6584">
              <w:rPr>
                <w:noProof/>
                <w:webHidden/>
              </w:rPr>
            </w:r>
            <w:r w:rsidR="00DA6584">
              <w:rPr>
                <w:noProof/>
                <w:webHidden/>
              </w:rPr>
              <w:fldChar w:fldCharType="separate"/>
            </w:r>
            <w:r w:rsidR="00DA6584">
              <w:rPr>
                <w:noProof/>
                <w:webHidden/>
              </w:rPr>
              <w:t>10</w:t>
            </w:r>
            <w:r w:rsidR="00DA6584">
              <w:rPr>
                <w:noProof/>
                <w:webHidden/>
              </w:rPr>
              <w:fldChar w:fldCharType="end"/>
            </w:r>
          </w:hyperlink>
        </w:p>
        <w:p w:rsidR="00DA6584" w:rsidRDefault="00E12826">
          <w:pPr>
            <w:pStyle w:val="TOC2"/>
            <w:tabs>
              <w:tab w:val="left" w:pos="880"/>
              <w:tab w:val="right" w:leader="dot" w:pos="9062"/>
            </w:tabs>
            <w:rPr>
              <w:rFonts w:asciiTheme="minorHAnsi" w:eastAsiaTheme="minorEastAsia" w:hAnsiTheme="minorHAnsi" w:cstheme="minorBidi"/>
              <w:noProof/>
              <w:sz w:val="22"/>
              <w:szCs w:val="22"/>
            </w:rPr>
          </w:pPr>
          <w:hyperlink w:anchor="_Toc427918114" w:history="1">
            <w:r w:rsidR="00DA6584" w:rsidRPr="008542A6">
              <w:rPr>
                <w:rStyle w:val="Hyperlink"/>
                <w:noProof/>
              </w:rPr>
              <w:t>3.5</w:t>
            </w:r>
            <w:r w:rsidR="00DA6584">
              <w:rPr>
                <w:rFonts w:asciiTheme="minorHAnsi" w:eastAsiaTheme="minorEastAsia" w:hAnsiTheme="minorHAnsi" w:cstheme="minorBidi"/>
                <w:noProof/>
                <w:sz w:val="22"/>
                <w:szCs w:val="22"/>
              </w:rPr>
              <w:tab/>
            </w:r>
            <w:r w:rsidR="00DA6584" w:rsidRPr="008542A6">
              <w:rPr>
                <w:rStyle w:val="Hyperlink"/>
                <w:noProof/>
              </w:rPr>
              <w:t>Rizikové faktory</w:t>
            </w:r>
            <w:r w:rsidR="00DA6584">
              <w:rPr>
                <w:noProof/>
                <w:webHidden/>
              </w:rPr>
              <w:tab/>
            </w:r>
            <w:r w:rsidR="00DA6584">
              <w:rPr>
                <w:noProof/>
                <w:webHidden/>
              </w:rPr>
              <w:fldChar w:fldCharType="begin"/>
            </w:r>
            <w:r w:rsidR="00DA6584">
              <w:rPr>
                <w:noProof/>
                <w:webHidden/>
              </w:rPr>
              <w:instrText xml:space="preserve"> PAGEREF _Toc427918114 \h </w:instrText>
            </w:r>
            <w:r w:rsidR="00DA6584">
              <w:rPr>
                <w:noProof/>
                <w:webHidden/>
              </w:rPr>
            </w:r>
            <w:r w:rsidR="00DA6584">
              <w:rPr>
                <w:noProof/>
                <w:webHidden/>
              </w:rPr>
              <w:fldChar w:fldCharType="separate"/>
            </w:r>
            <w:r w:rsidR="00DA6584">
              <w:rPr>
                <w:noProof/>
                <w:webHidden/>
              </w:rPr>
              <w:t>11</w:t>
            </w:r>
            <w:r w:rsidR="00DA6584">
              <w:rPr>
                <w:noProof/>
                <w:webHidden/>
              </w:rPr>
              <w:fldChar w:fldCharType="end"/>
            </w:r>
          </w:hyperlink>
        </w:p>
        <w:p w:rsidR="00DA6584" w:rsidRDefault="00E12826">
          <w:pPr>
            <w:pStyle w:val="TOC1"/>
            <w:rPr>
              <w:rFonts w:asciiTheme="minorHAnsi" w:eastAsiaTheme="minorEastAsia" w:hAnsiTheme="minorHAnsi" w:cstheme="minorBidi"/>
              <w:b w:val="0"/>
              <w:sz w:val="22"/>
              <w:szCs w:val="22"/>
              <w:lang w:val="cs-CZ"/>
            </w:rPr>
          </w:pPr>
          <w:hyperlink w:anchor="_Toc427918115" w:history="1">
            <w:r w:rsidR="00DA6584" w:rsidRPr="008542A6">
              <w:rPr>
                <w:rStyle w:val="Hyperlink"/>
              </w:rPr>
              <w:t>4</w:t>
            </w:r>
            <w:r w:rsidR="00DA6584">
              <w:rPr>
                <w:rFonts w:asciiTheme="minorHAnsi" w:eastAsiaTheme="minorEastAsia" w:hAnsiTheme="minorHAnsi" w:cstheme="minorBidi"/>
                <w:b w:val="0"/>
                <w:sz w:val="22"/>
                <w:szCs w:val="22"/>
                <w:lang w:val="cs-CZ"/>
              </w:rPr>
              <w:tab/>
            </w:r>
            <w:r w:rsidR="00DA6584" w:rsidRPr="008542A6">
              <w:rPr>
                <w:rStyle w:val="Hyperlink"/>
              </w:rPr>
              <w:t>Akcie a akcionářská struktura</w:t>
            </w:r>
            <w:r w:rsidR="00DA6584">
              <w:rPr>
                <w:webHidden/>
              </w:rPr>
              <w:tab/>
            </w:r>
            <w:r w:rsidR="00DA6584">
              <w:rPr>
                <w:webHidden/>
              </w:rPr>
              <w:fldChar w:fldCharType="begin"/>
            </w:r>
            <w:r w:rsidR="00DA6584">
              <w:rPr>
                <w:webHidden/>
              </w:rPr>
              <w:instrText xml:space="preserve"> PAGEREF _Toc427918115 \h </w:instrText>
            </w:r>
            <w:r w:rsidR="00DA6584">
              <w:rPr>
                <w:webHidden/>
              </w:rPr>
            </w:r>
            <w:r w:rsidR="00DA6584">
              <w:rPr>
                <w:webHidden/>
              </w:rPr>
              <w:fldChar w:fldCharType="separate"/>
            </w:r>
            <w:r w:rsidR="00DA6584">
              <w:rPr>
                <w:webHidden/>
              </w:rPr>
              <w:t>14</w:t>
            </w:r>
            <w:r w:rsidR="00DA6584">
              <w:rPr>
                <w:webHidden/>
              </w:rPr>
              <w:fldChar w:fldCharType="end"/>
            </w:r>
          </w:hyperlink>
        </w:p>
        <w:p w:rsidR="00DA6584" w:rsidRDefault="00E12826">
          <w:pPr>
            <w:pStyle w:val="TOC1"/>
            <w:rPr>
              <w:rFonts w:asciiTheme="minorHAnsi" w:eastAsiaTheme="minorEastAsia" w:hAnsiTheme="minorHAnsi" w:cstheme="minorBidi"/>
              <w:b w:val="0"/>
              <w:sz w:val="22"/>
              <w:szCs w:val="22"/>
              <w:lang w:val="cs-CZ"/>
            </w:rPr>
          </w:pPr>
          <w:hyperlink w:anchor="_Toc427918116" w:history="1">
            <w:r w:rsidR="00DA6584" w:rsidRPr="008542A6">
              <w:rPr>
                <w:rStyle w:val="Hyperlink"/>
              </w:rPr>
              <w:t>5</w:t>
            </w:r>
            <w:r w:rsidR="00DA6584">
              <w:rPr>
                <w:rFonts w:asciiTheme="minorHAnsi" w:eastAsiaTheme="minorEastAsia" w:hAnsiTheme="minorHAnsi" w:cstheme="minorBidi"/>
                <w:b w:val="0"/>
                <w:sz w:val="22"/>
                <w:szCs w:val="22"/>
                <w:lang w:val="cs-CZ"/>
              </w:rPr>
              <w:tab/>
            </w:r>
            <w:r w:rsidR="00DA6584" w:rsidRPr="008542A6">
              <w:rPr>
                <w:rStyle w:val="Hyperlink"/>
              </w:rPr>
              <w:t>Dividendová politika a vyhlášení dividendy</w:t>
            </w:r>
            <w:r w:rsidR="00DA6584">
              <w:rPr>
                <w:webHidden/>
              </w:rPr>
              <w:tab/>
            </w:r>
            <w:r w:rsidR="00DA6584">
              <w:rPr>
                <w:webHidden/>
              </w:rPr>
              <w:fldChar w:fldCharType="begin"/>
            </w:r>
            <w:r w:rsidR="00DA6584">
              <w:rPr>
                <w:webHidden/>
              </w:rPr>
              <w:instrText xml:space="preserve"> PAGEREF _Toc427918116 \h </w:instrText>
            </w:r>
            <w:r w:rsidR="00DA6584">
              <w:rPr>
                <w:webHidden/>
              </w:rPr>
            </w:r>
            <w:r w:rsidR="00DA6584">
              <w:rPr>
                <w:webHidden/>
              </w:rPr>
              <w:fldChar w:fldCharType="separate"/>
            </w:r>
            <w:r w:rsidR="00DA6584">
              <w:rPr>
                <w:webHidden/>
              </w:rPr>
              <w:t>16</w:t>
            </w:r>
            <w:r w:rsidR="00DA6584">
              <w:rPr>
                <w:webHidden/>
              </w:rPr>
              <w:fldChar w:fldCharType="end"/>
            </w:r>
          </w:hyperlink>
        </w:p>
        <w:p w:rsidR="00DA6584" w:rsidRDefault="00E12826">
          <w:pPr>
            <w:pStyle w:val="TOC1"/>
            <w:rPr>
              <w:rFonts w:asciiTheme="minorHAnsi" w:eastAsiaTheme="minorEastAsia" w:hAnsiTheme="minorHAnsi" w:cstheme="minorBidi"/>
              <w:b w:val="0"/>
              <w:sz w:val="22"/>
              <w:szCs w:val="22"/>
              <w:lang w:val="cs-CZ"/>
            </w:rPr>
          </w:pPr>
          <w:hyperlink w:anchor="_Toc427918117" w:history="1">
            <w:r w:rsidR="00DA6584" w:rsidRPr="008542A6">
              <w:rPr>
                <w:rStyle w:val="Hyperlink"/>
              </w:rPr>
              <w:t>6</w:t>
            </w:r>
            <w:r w:rsidR="00DA6584">
              <w:rPr>
                <w:rFonts w:asciiTheme="minorHAnsi" w:eastAsiaTheme="minorEastAsia" w:hAnsiTheme="minorHAnsi" w:cstheme="minorBidi"/>
                <w:b w:val="0"/>
                <w:sz w:val="22"/>
                <w:szCs w:val="22"/>
                <w:lang w:val="cs-CZ"/>
              </w:rPr>
              <w:tab/>
            </w:r>
            <w:r w:rsidR="00DA6584" w:rsidRPr="008542A6">
              <w:rPr>
                <w:rStyle w:val="Hyperlink"/>
              </w:rPr>
              <w:t>Zpráva o vztazích</w:t>
            </w:r>
            <w:r w:rsidR="00DA6584">
              <w:rPr>
                <w:webHidden/>
              </w:rPr>
              <w:tab/>
            </w:r>
            <w:r w:rsidR="00DA6584">
              <w:rPr>
                <w:webHidden/>
              </w:rPr>
              <w:fldChar w:fldCharType="begin"/>
            </w:r>
            <w:r w:rsidR="00DA6584">
              <w:rPr>
                <w:webHidden/>
              </w:rPr>
              <w:instrText xml:space="preserve"> PAGEREF _Toc427918117 \h </w:instrText>
            </w:r>
            <w:r w:rsidR="00DA6584">
              <w:rPr>
                <w:webHidden/>
              </w:rPr>
            </w:r>
            <w:r w:rsidR="00DA6584">
              <w:rPr>
                <w:webHidden/>
              </w:rPr>
              <w:fldChar w:fldCharType="separate"/>
            </w:r>
            <w:r w:rsidR="00DA6584">
              <w:rPr>
                <w:webHidden/>
              </w:rPr>
              <w:t>16</w:t>
            </w:r>
            <w:r w:rsidR="00DA6584">
              <w:rPr>
                <w:webHidden/>
              </w:rPr>
              <w:fldChar w:fldCharType="end"/>
            </w:r>
          </w:hyperlink>
        </w:p>
        <w:p w:rsidR="00DA6584" w:rsidRDefault="00E12826">
          <w:pPr>
            <w:pStyle w:val="TOC1"/>
            <w:rPr>
              <w:rFonts w:asciiTheme="minorHAnsi" w:eastAsiaTheme="minorEastAsia" w:hAnsiTheme="minorHAnsi" w:cstheme="minorBidi"/>
              <w:b w:val="0"/>
              <w:sz w:val="22"/>
              <w:szCs w:val="22"/>
              <w:lang w:val="cs-CZ"/>
            </w:rPr>
          </w:pPr>
          <w:hyperlink w:anchor="_Toc427918118" w:history="1">
            <w:r w:rsidR="00DA6584" w:rsidRPr="008542A6">
              <w:rPr>
                <w:rStyle w:val="Hyperlink"/>
              </w:rPr>
              <w:t>7</w:t>
            </w:r>
            <w:r w:rsidR="00DA6584">
              <w:rPr>
                <w:rFonts w:asciiTheme="minorHAnsi" w:eastAsiaTheme="minorEastAsia" w:hAnsiTheme="minorHAnsi" w:cstheme="minorBidi"/>
                <w:b w:val="0"/>
                <w:sz w:val="22"/>
                <w:szCs w:val="22"/>
                <w:lang w:val="cs-CZ"/>
              </w:rPr>
              <w:tab/>
            </w:r>
            <w:r w:rsidR="00DA6584" w:rsidRPr="008542A6">
              <w:rPr>
                <w:rStyle w:val="Hyperlink"/>
              </w:rPr>
              <w:t>Správa a řízení Společnosti</w:t>
            </w:r>
            <w:r w:rsidR="00DA6584">
              <w:rPr>
                <w:webHidden/>
              </w:rPr>
              <w:tab/>
            </w:r>
            <w:r w:rsidR="00DA6584">
              <w:rPr>
                <w:webHidden/>
              </w:rPr>
              <w:fldChar w:fldCharType="begin"/>
            </w:r>
            <w:r w:rsidR="00DA6584">
              <w:rPr>
                <w:webHidden/>
              </w:rPr>
              <w:instrText xml:space="preserve"> PAGEREF _Toc427918118 \h </w:instrText>
            </w:r>
            <w:r w:rsidR="00DA6584">
              <w:rPr>
                <w:webHidden/>
              </w:rPr>
            </w:r>
            <w:r w:rsidR="00DA6584">
              <w:rPr>
                <w:webHidden/>
              </w:rPr>
              <w:fldChar w:fldCharType="separate"/>
            </w:r>
            <w:r w:rsidR="00DA6584">
              <w:rPr>
                <w:webHidden/>
              </w:rPr>
              <w:t>19</w:t>
            </w:r>
            <w:r w:rsidR="00DA6584">
              <w:rPr>
                <w:webHidden/>
              </w:rPr>
              <w:fldChar w:fldCharType="end"/>
            </w:r>
          </w:hyperlink>
        </w:p>
        <w:p w:rsidR="00DA6584" w:rsidRDefault="00E12826">
          <w:pPr>
            <w:pStyle w:val="TOC1"/>
            <w:rPr>
              <w:rFonts w:asciiTheme="minorHAnsi" w:eastAsiaTheme="minorEastAsia" w:hAnsiTheme="minorHAnsi" w:cstheme="minorBidi"/>
              <w:b w:val="0"/>
              <w:sz w:val="22"/>
              <w:szCs w:val="22"/>
              <w:lang w:val="cs-CZ"/>
            </w:rPr>
          </w:pPr>
          <w:hyperlink w:anchor="_Toc427918119" w:history="1">
            <w:r w:rsidR="00DA6584" w:rsidRPr="008542A6">
              <w:rPr>
                <w:rStyle w:val="Hyperlink"/>
              </w:rPr>
              <w:t>8</w:t>
            </w:r>
            <w:r w:rsidR="00DA6584">
              <w:rPr>
                <w:rFonts w:asciiTheme="minorHAnsi" w:eastAsiaTheme="minorEastAsia" w:hAnsiTheme="minorHAnsi" w:cstheme="minorBidi"/>
                <w:b w:val="0"/>
                <w:sz w:val="22"/>
                <w:szCs w:val="22"/>
                <w:lang w:val="cs-CZ"/>
              </w:rPr>
              <w:tab/>
            </w:r>
            <w:r w:rsidR="00DA6584" w:rsidRPr="008542A6">
              <w:rPr>
                <w:rStyle w:val="Hyperlink"/>
              </w:rPr>
              <w:t>Mezitímní konsolidovaná účetní závěrka společnosti PEGAS NONWOVENS SA za období šesti měsíců končících 30. červnem 2015</w:t>
            </w:r>
            <w:r w:rsidR="00DA6584">
              <w:rPr>
                <w:webHidden/>
              </w:rPr>
              <w:tab/>
            </w:r>
            <w:r w:rsidR="00DA6584">
              <w:rPr>
                <w:webHidden/>
              </w:rPr>
              <w:fldChar w:fldCharType="begin"/>
            </w:r>
            <w:r w:rsidR="00DA6584">
              <w:rPr>
                <w:webHidden/>
              </w:rPr>
              <w:instrText xml:space="preserve"> PAGEREF _Toc427918119 \h </w:instrText>
            </w:r>
            <w:r w:rsidR="00DA6584">
              <w:rPr>
                <w:webHidden/>
              </w:rPr>
            </w:r>
            <w:r w:rsidR="00DA6584">
              <w:rPr>
                <w:webHidden/>
              </w:rPr>
              <w:fldChar w:fldCharType="separate"/>
            </w:r>
            <w:r w:rsidR="00DA6584">
              <w:rPr>
                <w:webHidden/>
              </w:rPr>
              <w:t>22</w:t>
            </w:r>
            <w:r w:rsidR="00DA6584">
              <w:rPr>
                <w:webHidden/>
              </w:rPr>
              <w:fldChar w:fldCharType="end"/>
            </w:r>
          </w:hyperlink>
        </w:p>
        <w:p w:rsidR="00DA6584" w:rsidRDefault="00E12826">
          <w:pPr>
            <w:pStyle w:val="TOC2"/>
            <w:tabs>
              <w:tab w:val="left" w:pos="880"/>
              <w:tab w:val="right" w:leader="dot" w:pos="9062"/>
            </w:tabs>
            <w:rPr>
              <w:rFonts w:asciiTheme="minorHAnsi" w:eastAsiaTheme="minorEastAsia" w:hAnsiTheme="minorHAnsi" w:cstheme="minorBidi"/>
              <w:noProof/>
              <w:sz w:val="22"/>
              <w:szCs w:val="22"/>
            </w:rPr>
          </w:pPr>
          <w:hyperlink w:anchor="_Toc427918120" w:history="1">
            <w:r w:rsidR="00DA6584" w:rsidRPr="008542A6">
              <w:rPr>
                <w:rStyle w:val="Hyperlink"/>
                <w:noProof/>
              </w:rPr>
              <w:t>8.1</w:t>
            </w:r>
            <w:r w:rsidR="00DA6584">
              <w:rPr>
                <w:rFonts w:asciiTheme="minorHAnsi" w:eastAsiaTheme="minorEastAsia" w:hAnsiTheme="minorHAnsi" w:cstheme="minorBidi"/>
                <w:noProof/>
                <w:sz w:val="22"/>
                <w:szCs w:val="22"/>
              </w:rPr>
              <w:tab/>
            </w:r>
            <w:r w:rsidR="00DA6584" w:rsidRPr="008542A6">
              <w:rPr>
                <w:rStyle w:val="Hyperlink"/>
                <w:noProof/>
              </w:rPr>
              <w:t>Konsolidovaný výkaz o úplném výsledku za období šesti měsíců do 30. června 2015 a 30. června 2014 ve zkrácené podobě</w:t>
            </w:r>
            <w:r w:rsidR="00DA6584">
              <w:rPr>
                <w:noProof/>
                <w:webHidden/>
              </w:rPr>
              <w:tab/>
            </w:r>
            <w:r w:rsidR="00DA6584">
              <w:rPr>
                <w:noProof/>
                <w:webHidden/>
              </w:rPr>
              <w:fldChar w:fldCharType="begin"/>
            </w:r>
            <w:r w:rsidR="00DA6584">
              <w:rPr>
                <w:noProof/>
                <w:webHidden/>
              </w:rPr>
              <w:instrText xml:space="preserve"> PAGEREF _Toc427918120 \h </w:instrText>
            </w:r>
            <w:r w:rsidR="00DA6584">
              <w:rPr>
                <w:noProof/>
                <w:webHidden/>
              </w:rPr>
            </w:r>
            <w:r w:rsidR="00DA6584">
              <w:rPr>
                <w:noProof/>
                <w:webHidden/>
              </w:rPr>
              <w:fldChar w:fldCharType="separate"/>
            </w:r>
            <w:r w:rsidR="00DA6584">
              <w:rPr>
                <w:noProof/>
                <w:webHidden/>
              </w:rPr>
              <w:t>22</w:t>
            </w:r>
            <w:r w:rsidR="00DA6584">
              <w:rPr>
                <w:noProof/>
                <w:webHidden/>
              </w:rPr>
              <w:fldChar w:fldCharType="end"/>
            </w:r>
          </w:hyperlink>
        </w:p>
        <w:p w:rsidR="00DA6584" w:rsidRDefault="00E12826">
          <w:pPr>
            <w:pStyle w:val="TOC2"/>
            <w:tabs>
              <w:tab w:val="left" w:pos="880"/>
              <w:tab w:val="right" w:leader="dot" w:pos="9062"/>
            </w:tabs>
            <w:rPr>
              <w:rFonts w:asciiTheme="minorHAnsi" w:eastAsiaTheme="minorEastAsia" w:hAnsiTheme="minorHAnsi" w:cstheme="minorBidi"/>
              <w:noProof/>
              <w:sz w:val="22"/>
              <w:szCs w:val="22"/>
            </w:rPr>
          </w:pPr>
          <w:hyperlink w:anchor="_Toc427918121" w:history="1">
            <w:r w:rsidR="00DA6584" w:rsidRPr="008542A6">
              <w:rPr>
                <w:rStyle w:val="Hyperlink"/>
                <w:noProof/>
              </w:rPr>
              <w:t>8.2</w:t>
            </w:r>
            <w:r w:rsidR="00DA6584">
              <w:rPr>
                <w:rFonts w:asciiTheme="minorHAnsi" w:eastAsiaTheme="minorEastAsia" w:hAnsiTheme="minorHAnsi" w:cstheme="minorBidi"/>
                <w:noProof/>
                <w:sz w:val="22"/>
                <w:szCs w:val="22"/>
              </w:rPr>
              <w:tab/>
            </w:r>
            <w:r w:rsidR="00DA6584" w:rsidRPr="008542A6">
              <w:rPr>
                <w:rStyle w:val="Hyperlink"/>
                <w:noProof/>
              </w:rPr>
              <w:t>Konsolidovaný výkaz o úplném výsledku za období tří měsíců do 30. června 2015 a 30. června 2014 ve zkrácené podobě</w:t>
            </w:r>
            <w:r w:rsidR="00DA6584">
              <w:rPr>
                <w:noProof/>
                <w:webHidden/>
              </w:rPr>
              <w:tab/>
            </w:r>
            <w:r w:rsidR="00DA6584">
              <w:rPr>
                <w:noProof/>
                <w:webHidden/>
              </w:rPr>
              <w:fldChar w:fldCharType="begin"/>
            </w:r>
            <w:r w:rsidR="00DA6584">
              <w:rPr>
                <w:noProof/>
                <w:webHidden/>
              </w:rPr>
              <w:instrText xml:space="preserve"> PAGEREF _Toc427918121 \h </w:instrText>
            </w:r>
            <w:r w:rsidR="00DA6584">
              <w:rPr>
                <w:noProof/>
                <w:webHidden/>
              </w:rPr>
            </w:r>
            <w:r w:rsidR="00DA6584">
              <w:rPr>
                <w:noProof/>
                <w:webHidden/>
              </w:rPr>
              <w:fldChar w:fldCharType="separate"/>
            </w:r>
            <w:r w:rsidR="00DA6584">
              <w:rPr>
                <w:noProof/>
                <w:webHidden/>
              </w:rPr>
              <w:t>23</w:t>
            </w:r>
            <w:r w:rsidR="00DA6584">
              <w:rPr>
                <w:noProof/>
                <w:webHidden/>
              </w:rPr>
              <w:fldChar w:fldCharType="end"/>
            </w:r>
          </w:hyperlink>
        </w:p>
        <w:p w:rsidR="00DA6584" w:rsidRDefault="00E12826">
          <w:pPr>
            <w:pStyle w:val="TOC2"/>
            <w:tabs>
              <w:tab w:val="left" w:pos="880"/>
              <w:tab w:val="right" w:leader="dot" w:pos="9062"/>
            </w:tabs>
            <w:rPr>
              <w:rFonts w:asciiTheme="minorHAnsi" w:eastAsiaTheme="minorEastAsia" w:hAnsiTheme="minorHAnsi" w:cstheme="minorBidi"/>
              <w:noProof/>
              <w:sz w:val="22"/>
              <w:szCs w:val="22"/>
            </w:rPr>
          </w:pPr>
          <w:hyperlink w:anchor="_Toc427918122" w:history="1">
            <w:r w:rsidR="00DA6584" w:rsidRPr="008542A6">
              <w:rPr>
                <w:rStyle w:val="Hyperlink"/>
                <w:noProof/>
              </w:rPr>
              <w:t>8.3</w:t>
            </w:r>
            <w:r w:rsidR="00DA6584">
              <w:rPr>
                <w:rFonts w:asciiTheme="minorHAnsi" w:eastAsiaTheme="minorEastAsia" w:hAnsiTheme="minorHAnsi" w:cstheme="minorBidi"/>
                <w:noProof/>
                <w:sz w:val="22"/>
                <w:szCs w:val="22"/>
              </w:rPr>
              <w:tab/>
            </w:r>
            <w:r w:rsidR="00DA6584" w:rsidRPr="008542A6">
              <w:rPr>
                <w:rStyle w:val="Hyperlink"/>
                <w:noProof/>
              </w:rPr>
              <w:t>Konsolidovaný výkaz o finanční situaci k 30. červnu 2015, 31. prosinci 2014 a k 30. červnu 2014 ve zkrácené podobě</w:t>
            </w:r>
            <w:r w:rsidR="00DA6584">
              <w:rPr>
                <w:noProof/>
                <w:webHidden/>
              </w:rPr>
              <w:tab/>
            </w:r>
            <w:r w:rsidR="00DA6584">
              <w:rPr>
                <w:noProof/>
                <w:webHidden/>
              </w:rPr>
              <w:fldChar w:fldCharType="begin"/>
            </w:r>
            <w:r w:rsidR="00DA6584">
              <w:rPr>
                <w:noProof/>
                <w:webHidden/>
              </w:rPr>
              <w:instrText xml:space="preserve"> PAGEREF _Toc427918122 \h </w:instrText>
            </w:r>
            <w:r w:rsidR="00DA6584">
              <w:rPr>
                <w:noProof/>
                <w:webHidden/>
              </w:rPr>
            </w:r>
            <w:r w:rsidR="00DA6584">
              <w:rPr>
                <w:noProof/>
                <w:webHidden/>
              </w:rPr>
              <w:fldChar w:fldCharType="separate"/>
            </w:r>
            <w:r w:rsidR="00DA6584">
              <w:rPr>
                <w:noProof/>
                <w:webHidden/>
              </w:rPr>
              <w:t>24</w:t>
            </w:r>
            <w:r w:rsidR="00DA6584">
              <w:rPr>
                <w:noProof/>
                <w:webHidden/>
              </w:rPr>
              <w:fldChar w:fldCharType="end"/>
            </w:r>
          </w:hyperlink>
        </w:p>
        <w:p w:rsidR="00DA6584" w:rsidRDefault="00E12826">
          <w:pPr>
            <w:pStyle w:val="TOC2"/>
            <w:tabs>
              <w:tab w:val="left" w:pos="880"/>
              <w:tab w:val="right" w:leader="dot" w:pos="9062"/>
            </w:tabs>
            <w:rPr>
              <w:rFonts w:asciiTheme="minorHAnsi" w:eastAsiaTheme="minorEastAsia" w:hAnsiTheme="minorHAnsi" w:cstheme="minorBidi"/>
              <w:noProof/>
              <w:sz w:val="22"/>
              <w:szCs w:val="22"/>
            </w:rPr>
          </w:pPr>
          <w:hyperlink w:anchor="_Toc427918123" w:history="1">
            <w:r w:rsidR="00DA6584" w:rsidRPr="008542A6">
              <w:rPr>
                <w:rStyle w:val="Hyperlink"/>
                <w:noProof/>
              </w:rPr>
              <w:t>8.4</w:t>
            </w:r>
            <w:r w:rsidR="00DA6584">
              <w:rPr>
                <w:rFonts w:asciiTheme="minorHAnsi" w:eastAsiaTheme="minorEastAsia" w:hAnsiTheme="minorHAnsi" w:cstheme="minorBidi"/>
                <w:noProof/>
                <w:sz w:val="22"/>
                <w:szCs w:val="22"/>
              </w:rPr>
              <w:tab/>
            </w:r>
            <w:r w:rsidR="00DA6584" w:rsidRPr="008542A6">
              <w:rPr>
                <w:rStyle w:val="Hyperlink"/>
                <w:noProof/>
              </w:rPr>
              <w:t>Konsolidovaný přehled o peněžních tocích za období šesti měsíců do  30. června 2015 a do 30. června 2014 ve zkrácené podobě</w:t>
            </w:r>
            <w:r w:rsidR="00DA6584">
              <w:rPr>
                <w:noProof/>
                <w:webHidden/>
              </w:rPr>
              <w:tab/>
            </w:r>
            <w:r w:rsidR="00DA6584">
              <w:rPr>
                <w:noProof/>
                <w:webHidden/>
              </w:rPr>
              <w:fldChar w:fldCharType="begin"/>
            </w:r>
            <w:r w:rsidR="00DA6584">
              <w:rPr>
                <w:noProof/>
                <w:webHidden/>
              </w:rPr>
              <w:instrText xml:space="preserve"> PAGEREF _Toc427918123 \h </w:instrText>
            </w:r>
            <w:r w:rsidR="00DA6584">
              <w:rPr>
                <w:noProof/>
                <w:webHidden/>
              </w:rPr>
            </w:r>
            <w:r w:rsidR="00DA6584">
              <w:rPr>
                <w:noProof/>
                <w:webHidden/>
              </w:rPr>
              <w:fldChar w:fldCharType="separate"/>
            </w:r>
            <w:r w:rsidR="00DA6584">
              <w:rPr>
                <w:noProof/>
                <w:webHidden/>
              </w:rPr>
              <w:t>25</w:t>
            </w:r>
            <w:r w:rsidR="00DA6584">
              <w:rPr>
                <w:noProof/>
                <w:webHidden/>
              </w:rPr>
              <w:fldChar w:fldCharType="end"/>
            </w:r>
          </w:hyperlink>
        </w:p>
        <w:p w:rsidR="00DA6584" w:rsidRDefault="00E12826">
          <w:pPr>
            <w:pStyle w:val="TOC2"/>
            <w:tabs>
              <w:tab w:val="left" w:pos="880"/>
              <w:tab w:val="right" w:leader="dot" w:pos="9062"/>
            </w:tabs>
            <w:rPr>
              <w:rFonts w:asciiTheme="minorHAnsi" w:eastAsiaTheme="minorEastAsia" w:hAnsiTheme="minorHAnsi" w:cstheme="minorBidi"/>
              <w:noProof/>
              <w:sz w:val="22"/>
              <w:szCs w:val="22"/>
            </w:rPr>
          </w:pPr>
          <w:hyperlink w:anchor="_Toc427918124" w:history="1">
            <w:r w:rsidR="00DA6584" w:rsidRPr="008542A6">
              <w:rPr>
                <w:rStyle w:val="Hyperlink"/>
                <w:noProof/>
              </w:rPr>
              <w:t>8.5</w:t>
            </w:r>
            <w:r w:rsidR="00DA6584">
              <w:rPr>
                <w:rFonts w:asciiTheme="minorHAnsi" w:eastAsiaTheme="minorEastAsia" w:hAnsiTheme="minorHAnsi" w:cstheme="minorBidi"/>
                <w:noProof/>
                <w:sz w:val="22"/>
                <w:szCs w:val="22"/>
              </w:rPr>
              <w:tab/>
            </w:r>
            <w:r w:rsidR="00DA6584" w:rsidRPr="008542A6">
              <w:rPr>
                <w:rStyle w:val="Hyperlink"/>
                <w:noProof/>
              </w:rPr>
              <w:t>Konsolidovaný přehled o změnách vlastního kapitálu v prvních šesti měsících k 30. červnu 2015 a k  30. červnu 2014 ve zkrácené podobě</w:t>
            </w:r>
            <w:r w:rsidR="00DA6584">
              <w:rPr>
                <w:noProof/>
                <w:webHidden/>
              </w:rPr>
              <w:tab/>
            </w:r>
            <w:r w:rsidR="00DA6584">
              <w:rPr>
                <w:noProof/>
                <w:webHidden/>
              </w:rPr>
              <w:fldChar w:fldCharType="begin"/>
            </w:r>
            <w:r w:rsidR="00DA6584">
              <w:rPr>
                <w:noProof/>
                <w:webHidden/>
              </w:rPr>
              <w:instrText xml:space="preserve"> PAGEREF _Toc427918124 \h </w:instrText>
            </w:r>
            <w:r w:rsidR="00DA6584">
              <w:rPr>
                <w:noProof/>
                <w:webHidden/>
              </w:rPr>
            </w:r>
            <w:r w:rsidR="00DA6584">
              <w:rPr>
                <w:noProof/>
                <w:webHidden/>
              </w:rPr>
              <w:fldChar w:fldCharType="separate"/>
            </w:r>
            <w:r w:rsidR="00DA6584">
              <w:rPr>
                <w:noProof/>
                <w:webHidden/>
              </w:rPr>
              <w:t>26</w:t>
            </w:r>
            <w:r w:rsidR="00DA6584">
              <w:rPr>
                <w:noProof/>
                <w:webHidden/>
              </w:rPr>
              <w:fldChar w:fldCharType="end"/>
            </w:r>
          </w:hyperlink>
        </w:p>
        <w:p w:rsidR="00DA6584" w:rsidRDefault="00E12826">
          <w:pPr>
            <w:pStyle w:val="TOC2"/>
            <w:tabs>
              <w:tab w:val="left" w:pos="880"/>
              <w:tab w:val="right" w:leader="dot" w:pos="9062"/>
            </w:tabs>
            <w:rPr>
              <w:rFonts w:asciiTheme="minorHAnsi" w:eastAsiaTheme="minorEastAsia" w:hAnsiTheme="minorHAnsi" w:cstheme="minorBidi"/>
              <w:noProof/>
              <w:sz w:val="22"/>
              <w:szCs w:val="22"/>
            </w:rPr>
          </w:pPr>
          <w:hyperlink w:anchor="_Toc427918125" w:history="1">
            <w:r w:rsidR="00DA6584" w:rsidRPr="008542A6">
              <w:rPr>
                <w:rStyle w:val="Hyperlink"/>
                <w:noProof/>
              </w:rPr>
              <w:t>8.6</w:t>
            </w:r>
            <w:r w:rsidR="00DA6584">
              <w:rPr>
                <w:rFonts w:asciiTheme="minorHAnsi" w:eastAsiaTheme="minorEastAsia" w:hAnsiTheme="minorHAnsi" w:cstheme="minorBidi"/>
                <w:noProof/>
                <w:sz w:val="22"/>
                <w:szCs w:val="22"/>
              </w:rPr>
              <w:tab/>
            </w:r>
            <w:r w:rsidR="00DA6584" w:rsidRPr="008542A6">
              <w:rPr>
                <w:rStyle w:val="Hyperlink"/>
                <w:noProof/>
              </w:rPr>
              <w:t>Vybrané vysvětlující poznámky k mezitímní konsolidované účetní závěrce za období šesti měsíců končících 30. červnem 2015</w:t>
            </w:r>
            <w:r w:rsidR="00DA6584">
              <w:rPr>
                <w:noProof/>
                <w:webHidden/>
              </w:rPr>
              <w:tab/>
            </w:r>
            <w:r w:rsidR="00DA6584">
              <w:rPr>
                <w:noProof/>
                <w:webHidden/>
              </w:rPr>
              <w:fldChar w:fldCharType="begin"/>
            </w:r>
            <w:r w:rsidR="00DA6584">
              <w:rPr>
                <w:noProof/>
                <w:webHidden/>
              </w:rPr>
              <w:instrText xml:space="preserve"> PAGEREF _Toc427918125 \h </w:instrText>
            </w:r>
            <w:r w:rsidR="00DA6584">
              <w:rPr>
                <w:noProof/>
                <w:webHidden/>
              </w:rPr>
            </w:r>
            <w:r w:rsidR="00DA6584">
              <w:rPr>
                <w:noProof/>
                <w:webHidden/>
              </w:rPr>
              <w:fldChar w:fldCharType="separate"/>
            </w:r>
            <w:r w:rsidR="00DA6584">
              <w:rPr>
                <w:noProof/>
                <w:webHidden/>
              </w:rPr>
              <w:t>27</w:t>
            </w:r>
            <w:r w:rsidR="00DA6584">
              <w:rPr>
                <w:noProof/>
                <w:webHidden/>
              </w:rPr>
              <w:fldChar w:fldCharType="end"/>
            </w:r>
          </w:hyperlink>
        </w:p>
        <w:p w:rsidR="00DA6584" w:rsidRDefault="00E12826">
          <w:pPr>
            <w:pStyle w:val="TOC1"/>
            <w:rPr>
              <w:rFonts w:asciiTheme="minorHAnsi" w:eastAsiaTheme="minorEastAsia" w:hAnsiTheme="minorHAnsi" w:cstheme="minorBidi"/>
              <w:b w:val="0"/>
              <w:sz w:val="22"/>
              <w:szCs w:val="22"/>
              <w:lang w:val="cs-CZ"/>
            </w:rPr>
          </w:pPr>
          <w:hyperlink w:anchor="_Toc427918126" w:history="1">
            <w:r w:rsidR="00DA6584" w:rsidRPr="008542A6">
              <w:rPr>
                <w:rStyle w:val="Hyperlink"/>
              </w:rPr>
              <w:t>9</w:t>
            </w:r>
            <w:r w:rsidR="00DA6584">
              <w:rPr>
                <w:rFonts w:asciiTheme="minorHAnsi" w:eastAsiaTheme="minorEastAsia" w:hAnsiTheme="minorHAnsi" w:cstheme="minorBidi"/>
                <w:b w:val="0"/>
                <w:sz w:val="22"/>
                <w:szCs w:val="22"/>
                <w:lang w:val="cs-CZ"/>
              </w:rPr>
              <w:tab/>
            </w:r>
            <w:r w:rsidR="00DA6584" w:rsidRPr="008542A6">
              <w:rPr>
                <w:rStyle w:val="Hyperlink"/>
              </w:rPr>
              <w:t>Prohlášení</w:t>
            </w:r>
            <w:r w:rsidR="00DA6584">
              <w:rPr>
                <w:webHidden/>
              </w:rPr>
              <w:tab/>
            </w:r>
            <w:r w:rsidR="00DA6584">
              <w:rPr>
                <w:webHidden/>
              </w:rPr>
              <w:fldChar w:fldCharType="begin"/>
            </w:r>
            <w:r w:rsidR="00DA6584">
              <w:rPr>
                <w:webHidden/>
              </w:rPr>
              <w:instrText xml:space="preserve"> PAGEREF _Toc427918126 \h </w:instrText>
            </w:r>
            <w:r w:rsidR="00DA6584">
              <w:rPr>
                <w:webHidden/>
              </w:rPr>
            </w:r>
            <w:r w:rsidR="00DA6584">
              <w:rPr>
                <w:webHidden/>
              </w:rPr>
              <w:fldChar w:fldCharType="separate"/>
            </w:r>
            <w:r w:rsidR="00DA6584">
              <w:rPr>
                <w:webHidden/>
              </w:rPr>
              <w:t>33</w:t>
            </w:r>
            <w:r w:rsidR="00DA6584">
              <w:rPr>
                <w:webHidden/>
              </w:rPr>
              <w:fldChar w:fldCharType="end"/>
            </w:r>
          </w:hyperlink>
        </w:p>
        <w:p w:rsidR="00DA6584" w:rsidRDefault="00E12826">
          <w:pPr>
            <w:pStyle w:val="TOC1"/>
            <w:rPr>
              <w:rFonts w:asciiTheme="minorHAnsi" w:eastAsiaTheme="minorEastAsia" w:hAnsiTheme="minorHAnsi" w:cstheme="minorBidi"/>
              <w:b w:val="0"/>
              <w:sz w:val="22"/>
              <w:szCs w:val="22"/>
              <w:lang w:val="cs-CZ"/>
            </w:rPr>
          </w:pPr>
          <w:hyperlink w:anchor="_Toc427918127" w:history="1">
            <w:r w:rsidR="00DA6584" w:rsidRPr="008542A6">
              <w:rPr>
                <w:rStyle w:val="Hyperlink"/>
              </w:rPr>
              <w:t>10</w:t>
            </w:r>
            <w:r w:rsidR="00DA6584">
              <w:rPr>
                <w:rFonts w:asciiTheme="minorHAnsi" w:eastAsiaTheme="minorEastAsia" w:hAnsiTheme="minorHAnsi" w:cstheme="minorBidi"/>
                <w:b w:val="0"/>
                <w:sz w:val="22"/>
                <w:szCs w:val="22"/>
                <w:lang w:val="cs-CZ"/>
              </w:rPr>
              <w:tab/>
            </w:r>
            <w:r w:rsidR="00DA6584" w:rsidRPr="008542A6">
              <w:rPr>
                <w:rStyle w:val="Hyperlink"/>
              </w:rPr>
              <w:t>Kontakty</w:t>
            </w:r>
            <w:r w:rsidR="00DA6584">
              <w:rPr>
                <w:webHidden/>
              </w:rPr>
              <w:tab/>
            </w:r>
            <w:r w:rsidR="00DA6584">
              <w:rPr>
                <w:webHidden/>
              </w:rPr>
              <w:fldChar w:fldCharType="begin"/>
            </w:r>
            <w:r w:rsidR="00DA6584">
              <w:rPr>
                <w:webHidden/>
              </w:rPr>
              <w:instrText xml:space="preserve"> PAGEREF _Toc427918127 \h </w:instrText>
            </w:r>
            <w:r w:rsidR="00DA6584">
              <w:rPr>
                <w:webHidden/>
              </w:rPr>
            </w:r>
            <w:r w:rsidR="00DA6584">
              <w:rPr>
                <w:webHidden/>
              </w:rPr>
              <w:fldChar w:fldCharType="separate"/>
            </w:r>
            <w:r w:rsidR="00DA6584">
              <w:rPr>
                <w:webHidden/>
              </w:rPr>
              <w:t>34</w:t>
            </w:r>
            <w:r w:rsidR="00DA6584">
              <w:rPr>
                <w:webHidden/>
              </w:rPr>
              <w:fldChar w:fldCharType="end"/>
            </w:r>
          </w:hyperlink>
        </w:p>
        <w:p w:rsidR="00DA6584" w:rsidRDefault="00E12826">
          <w:pPr>
            <w:pStyle w:val="TOC1"/>
            <w:rPr>
              <w:rFonts w:asciiTheme="minorHAnsi" w:eastAsiaTheme="minorEastAsia" w:hAnsiTheme="minorHAnsi" w:cstheme="minorBidi"/>
              <w:b w:val="0"/>
              <w:sz w:val="22"/>
              <w:szCs w:val="22"/>
              <w:lang w:val="cs-CZ"/>
            </w:rPr>
          </w:pPr>
          <w:hyperlink w:anchor="_Toc427918128" w:history="1">
            <w:r w:rsidR="00DA6584" w:rsidRPr="008542A6">
              <w:rPr>
                <w:rStyle w:val="Hyperlink"/>
              </w:rPr>
              <w:t>11</w:t>
            </w:r>
            <w:r w:rsidR="00DA6584">
              <w:rPr>
                <w:rFonts w:asciiTheme="minorHAnsi" w:eastAsiaTheme="minorEastAsia" w:hAnsiTheme="minorHAnsi" w:cstheme="minorBidi"/>
                <w:b w:val="0"/>
                <w:sz w:val="22"/>
                <w:szCs w:val="22"/>
                <w:lang w:val="cs-CZ"/>
              </w:rPr>
              <w:tab/>
            </w:r>
            <w:r w:rsidR="00DA6584" w:rsidRPr="008542A6">
              <w:rPr>
                <w:rStyle w:val="Hyperlink"/>
              </w:rPr>
              <w:t>Výklad pojmů a zkratek</w:t>
            </w:r>
            <w:r w:rsidR="00DA6584">
              <w:rPr>
                <w:webHidden/>
              </w:rPr>
              <w:tab/>
            </w:r>
            <w:r w:rsidR="00DA6584">
              <w:rPr>
                <w:webHidden/>
              </w:rPr>
              <w:fldChar w:fldCharType="begin"/>
            </w:r>
            <w:r w:rsidR="00DA6584">
              <w:rPr>
                <w:webHidden/>
              </w:rPr>
              <w:instrText xml:space="preserve"> PAGEREF _Toc427918128 \h </w:instrText>
            </w:r>
            <w:r w:rsidR="00DA6584">
              <w:rPr>
                <w:webHidden/>
              </w:rPr>
            </w:r>
            <w:r w:rsidR="00DA6584">
              <w:rPr>
                <w:webHidden/>
              </w:rPr>
              <w:fldChar w:fldCharType="separate"/>
            </w:r>
            <w:r w:rsidR="00DA6584">
              <w:rPr>
                <w:webHidden/>
              </w:rPr>
              <w:t>35</w:t>
            </w:r>
            <w:r w:rsidR="00DA6584">
              <w:rPr>
                <w:webHidden/>
              </w:rPr>
              <w:fldChar w:fldCharType="end"/>
            </w:r>
          </w:hyperlink>
        </w:p>
        <w:p w:rsidR="00DA6584" w:rsidRDefault="00E12826">
          <w:pPr>
            <w:pStyle w:val="TOC1"/>
            <w:rPr>
              <w:rFonts w:asciiTheme="minorHAnsi" w:eastAsiaTheme="minorEastAsia" w:hAnsiTheme="minorHAnsi" w:cstheme="minorBidi"/>
              <w:b w:val="0"/>
              <w:sz w:val="22"/>
              <w:szCs w:val="22"/>
              <w:lang w:val="cs-CZ"/>
            </w:rPr>
          </w:pPr>
          <w:hyperlink w:anchor="_Toc427918129" w:history="1">
            <w:r w:rsidR="00DA6584" w:rsidRPr="008542A6">
              <w:rPr>
                <w:rStyle w:val="Hyperlink"/>
              </w:rPr>
              <w:t>12</w:t>
            </w:r>
            <w:r w:rsidR="00DA6584">
              <w:rPr>
                <w:rFonts w:asciiTheme="minorHAnsi" w:eastAsiaTheme="minorEastAsia" w:hAnsiTheme="minorHAnsi" w:cstheme="minorBidi"/>
                <w:b w:val="0"/>
                <w:sz w:val="22"/>
                <w:szCs w:val="22"/>
                <w:lang w:val="cs-CZ"/>
              </w:rPr>
              <w:tab/>
            </w:r>
            <w:r w:rsidR="00DA6584" w:rsidRPr="008542A6">
              <w:rPr>
                <w:rStyle w:val="Hyperlink"/>
              </w:rPr>
              <w:t>Ostatní informace</w:t>
            </w:r>
            <w:r w:rsidR="00DA6584">
              <w:rPr>
                <w:webHidden/>
              </w:rPr>
              <w:tab/>
            </w:r>
            <w:r w:rsidR="00DA6584">
              <w:rPr>
                <w:webHidden/>
              </w:rPr>
              <w:fldChar w:fldCharType="begin"/>
            </w:r>
            <w:r w:rsidR="00DA6584">
              <w:rPr>
                <w:webHidden/>
              </w:rPr>
              <w:instrText xml:space="preserve"> PAGEREF _Toc427918129 \h </w:instrText>
            </w:r>
            <w:r w:rsidR="00DA6584">
              <w:rPr>
                <w:webHidden/>
              </w:rPr>
            </w:r>
            <w:r w:rsidR="00DA6584">
              <w:rPr>
                <w:webHidden/>
              </w:rPr>
              <w:fldChar w:fldCharType="separate"/>
            </w:r>
            <w:r w:rsidR="00DA6584">
              <w:rPr>
                <w:webHidden/>
              </w:rPr>
              <w:t>37</w:t>
            </w:r>
            <w:r w:rsidR="00DA6584">
              <w:rPr>
                <w:webHidden/>
              </w:rPr>
              <w:fldChar w:fldCharType="end"/>
            </w:r>
          </w:hyperlink>
        </w:p>
        <w:p w:rsidR="009843DC" w:rsidRPr="007A542A" w:rsidRDefault="001A3EBE">
          <w:r w:rsidRPr="007A542A">
            <w:fldChar w:fldCharType="end"/>
          </w:r>
        </w:p>
      </w:sdtContent>
    </w:sdt>
    <w:p w:rsidR="007C6DCC" w:rsidRPr="007A542A" w:rsidRDefault="007C6DCC" w:rsidP="007C6DCC"/>
    <w:p w:rsidR="00EA5F21" w:rsidRPr="007A542A" w:rsidRDefault="00EA5F21" w:rsidP="007C6DCC"/>
    <w:p w:rsidR="007C6DCC" w:rsidRPr="007A542A" w:rsidRDefault="007C6DCC" w:rsidP="007C6DCC"/>
    <w:p w:rsidR="007C6DCC" w:rsidRPr="007A542A" w:rsidRDefault="007C6DCC" w:rsidP="007C6DCC"/>
    <w:p w:rsidR="007C6DCC" w:rsidRPr="007A542A" w:rsidRDefault="007C6DCC" w:rsidP="007C6DCC">
      <w:pPr>
        <w:sectPr w:rsidR="007C6DCC" w:rsidRPr="007A542A" w:rsidSect="009843DC">
          <w:footerReference w:type="even" r:id="rId10"/>
          <w:footerReference w:type="default" r:id="rId11"/>
          <w:pgSz w:w="11906" w:h="16838"/>
          <w:pgMar w:top="1417" w:right="1417" w:bottom="1417" w:left="1417" w:header="708" w:footer="708" w:gutter="0"/>
          <w:cols w:space="708"/>
          <w:titlePg/>
          <w:docGrid w:linePitch="360"/>
        </w:sectPr>
      </w:pPr>
    </w:p>
    <w:p w:rsidR="000F21E3" w:rsidRPr="002927CE" w:rsidRDefault="005838CC" w:rsidP="006A5A00">
      <w:pPr>
        <w:pStyle w:val="Heading1"/>
        <w:tabs>
          <w:tab w:val="num" w:pos="360"/>
        </w:tabs>
        <w:ind w:hanging="7092"/>
        <w:rPr>
          <w:rFonts w:ascii="Times New Roman" w:hAnsi="Times New Roman" w:cs="Times New Roman"/>
        </w:rPr>
      </w:pPr>
      <w:bookmarkStart w:id="0" w:name="_Toc269907484"/>
      <w:bookmarkStart w:id="1" w:name="_Toc427918107"/>
      <w:r w:rsidRPr="002927CE">
        <w:rPr>
          <w:rFonts w:ascii="Times New Roman" w:hAnsi="Times New Roman" w:cs="Times New Roman"/>
        </w:rPr>
        <w:lastRenderedPageBreak/>
        <w:t>Úvod</w:t>
      </w:r>
      <w:bookmarkEnd w:id="0"/>
      <w:bookmarkEnd w:id="1"/>
    </w:p>
    <w:p w:rsidR="00002E31" w:rsidRPr="007A542A" w:rsidRDefault="00002E31" w:rsidP="00002E31">
      <w:pPr>
        <w:jc w:val="both"/>
        <w:rPr>
          <w:sz w:val="20"/>
          <w:szCs w:val="20"/>
        </w:rPr>
      </w:pPr>
    </w:p>
    <w:p w:rsidR="00CB77A0" w:rsidRDefault="00CB77A0" w:rsidP="00CB77A0">
      <w:pPr>
        <w:pStyle w:val="NormalWeb"/>
        <w:jc w:val="both"/>
      </w:pPr>
      <w:r>
        <w:t>PEGAS NONWOVENS SA (dále jen “PEGAS” nebo “Společnost” nebo “Skupina”) je jedním z předních výrobců netkaných textilií v EMEA regionu (Evropa, Střední východ a Afrika) používaných zejména na trhu osobních hygienických výrobků. PEGAS dodává svým zákazníkům spunbond a meltblown (dohromady, "spunmelt") textilie na bázi polypropylenu a polyetylenu ("PP" a "PP/PE") převážně pro účely výroby jednorázových hygienických produktů (jako jsou dětské plenky, výrobky pro inkontinenci dospělých a dámské hygienické výrobky) a dále, v menší míře, do stavebnictví, zemědělství a lékařských aplikací.</w:t>
      </w:r>
    </w:p>
    <w:p w:rsidR="00CB77A0" w:rsidRDefault="00CB77A0" w:rsidP="00CB77A0">
      <w:pPr>
        <w:pStyle w:val="NormalWeb"/>
        <w:jc w:val="both"/>
      </w:pPr>
      <w:r>
        <w:t xml:space="preserve">Od svého založení v roce 1990 Společnost za dvacet </w:t>
      </w:r>
      <w:r w:rsidR="00142F3A">
        <w:t xml:space="preserve">pět </w:t>
      </w:r>
      <w:r>
        <w:t>let vyrostla v největšího výrobce netkaných spunmelt textilií v EMEA regionu (měřeno výrobní kapacitou v roce 2014). PEGAS v současné době provozuje devět výrobních linek v České republice a jednu výrobní linku v Egyptě, kter</w:t>
      </w:r>
      <w:r w:rsidR="00D73DC3">
        <w:t>á</w:t>
      </w:r>
      <w:r>
        <w:t xml:space="preserve"> započala s komerčním provozem v roce 2013. Celková výrobní kapacita Společnosti za rok je v současnosti do 90 tisíc tun netkaných textilií v České republice a do 20 tisíc tun v Egyptě. PEGAS se skládá z holdingové společnosti v Lucemburku a čtyř provozních společností, jimiž jsou PEGAS NONWOVENS s.r.o., PEGAS-NT a.s., PEGAS – NW a.s. a PEGAS – NS a.s., všechny se sídlem v České republice. V roce 2010 byla za účelem realizace potenciálních investičních příležitostí založena společnost PEGAS NONWOVENS International s.r.o. a následně v červnu 2011 společnost PEGAS NONWOVENS EGYPT LLC, která realizuje investici v Egyptě. K 30. červnu 2015 PEGAS zaměstnával </w:t>
      </w:r>
      <w:r w:rsidRPr="002927CE">
        <w:t>56</w:t>
      </w:r>
      <w:r w:rsidR="002927CE" w:rsidRPr="002927CE">
        <w:t>4</w:t>
      </w:r>
      <w:r>
        <w:t xml:space="preserve"> lidí.</w:t>
      </w:r>
    </w:p>
    <w:p w:rsidR="00CB77A0" w:rsidRDefault="00CB77A0" w:rsidP="00CB77A0">
      <w:pPr>
        <w:pStyle w:val="NormalWeb"/>
        <w:jc w:val="both"/>
      </w:pPr>
      <w:r>
        <w:t xml:space="preserve">Po uvedení společnosti na akciový trh v prosinci 2006 jsou akcie PEGASu kótovány na burzách v Praze a ve Varšavě. Free float představuje 100% akcií Společnosti a je v držení institucionálních a drobných investorů. </w:t>
      </w:r>
    </w:p>
    <w:p w:rsidR="000C5BF2" w:rsidRPr="007A542A" w:rsidRDefault="00CB77A0" w:rsidP="00CB77A0">
      <w:pPr>
        <w:pStyle w:val="NormalWeb"/>
        <w:jc w:val="both"/>
      </w:pPr>
      <w:r>
        <w:t>PEGAS je členem European Disposables and Nonwovens Association (EDANA).</w:t>
      </w:r>
    </w:p>
    <w:p w:rsidR="002508E3" w:rsidRPr="007A542A" w:rsidRDefault="002508E3" w:rsidP="00DA1531">
      <w:pPr>
        <w:pStyle w:val="Heading1"/>
        <w:tabs>
          <w:tab w:val="num" w:pos="360"/>
        </w:tabs>
        <w:ind w:hanging="7092"/>
        <w:sectPr w:rsidR="002508E3" w:rsidRPr="007A542A" w:rsidSect="00B520ED">
          <w:pgSz w:w="11906" w:h="16838"/>
          <w:pgMar w:top="1417" w:right="1417" w:bottom="1417" w:left="1417" w:header="708" w:footer="708" w:gutter="0"/>
          <w:cols w:space="708"/>
          <w:docGrid w:linePitch="360"/>
        </w:sectPr>
      </w:pPr>
    </w:p>
    <w:p w:rsidR="00104AB8" w:rsidRPr="007A542A" w:rsidRDefault="00140C2A" w:rsidP="00DA1531">
      <w:pPr>
        <w:pStyle w:val="Heading1"/>
        <w:tabs>
          <w:tab w:val="num" w:pos="360"/>
        </w:tabs>
        <w:ind w:hanging="7092"/>
        <w:rPr>
          <w:rFonts w:ascii="Times New Roman" w:hAnsi="Times New Roman" w:cs="Times New Roman"/>
        </w:rPr>
      </w:pPr>
      <w:bookmarkStart w:id="2" w:name="_Toc269111112"/>
      <w:bookmarkStart w:id="3" w:name="_Toc269118384"/>
      <w:bookmarkStart w:id="4" w:name="_Toc269139283"/>
      <w:bookmarkStart w:id="5" w:name="_Toc269111114"/>
      <w:bookmarkStart w:id="6" w:name="_Toc269118386"/>
      <w:bookmarkStart w:id="7" w:name="_Toc269139285"/>
      <w:bookmarkStart w:id="8" w:name="_Toc269907485"/>
      <w:bookmarkStart w:id="9" w:name="_Toc427918108"/>
      <w:bookmarkEnd w:id="2"/>
      <w:bookmarkEnd w:id="3"/>
      <w:bookmarkEnd w:id="4"/>
      <w:bookmarkEnd w:id="5"/>
      <w:bookmarkEnd w:id="6"/>
      <w:bookmarkEnd w:id="7"/>
      <w:r w:rsidRPr="007A542A">
        <w:rPr>
          <w:rFonts w:ascii="Times New Roman" w:hAnsi="Times New Roman" w:cs="Times New Roman"/>
        </w:rPr>
        <w:lastRenderedPageBreak/>
        <w:t xml:space="preserve">Hlavní údaje za první pololetí </w:t>
      </w:r>
      <w:r w:rsidR="00BA0EC2" w:rsidRPr="007A542A">
        <w:rPr>
          <w:rFonts w:ascii="Times New Roman" w:hAnsi="Times New Roman" w:cs="Times New Roman"/>
        </w:rPr>
        <w:t>20</w:t>
      </w:r>
      <w:r w:rsidR="0085046C" w:rsidRPr="007A542A">
        <w:rPr>
          <w:rFonts w:ascii="Times New Roman" w:hAnsi="Times New Roman" w:cs="Times New Roman"/>
        </w:rPr>
        <w:t>1</w:t>
      </w:r>
      <w:bookmarkEnd w:id="8"/>
      <w:r w:rsidR="00CB77A0">
        <w:rPr>
          <w:rFonts w:ascii="Times New Roman" w:hAnsi="Times New Roman" w:cs="Times New Roman"/>
        </w:rPr>
        <w:t>5</w:t>
      </w:r>
      <w:bookmarkEnd w:id="9"/>
    </w:p>
    <w:p w:rsidR="00C7706F" w:rsidRPr="007A542A" w:rsidRDefault="00C7706F" w:rsidP="00C7706F"/>
    <w:tbl>
      <w:tblPr>
        <w:tblW w:w="8300" w:type="dxa"/>
        <w:tblInd w:w="55" w:type="dxa"/>
        <w:tblCellMar>
          <w:left w:w="70" w:type="dxa"/>
          <w:right w:w="70" w:type="dxa"/>
        </w:tblCellMar>
        <w:tblLook w:val="04A0" w:firstRow="1" w:lastRow="0" w:firstColumn="1" w:lastColumn="0" w:noHBand="0" w:noVBand="1"/>
      </w:tblPr>
      <w:tblGrid>
        <w:gridCol w:w="3260"/>
        <w:gridCol w:w="1151"/>
        <w:gridCol w:w="1369"/>
        <w:gridCol w:w="1145"/>
        <w:gridCol w:w="1375"/>
      </w:tblGrid>
      <w:tr w:rsidR="00DF1444" w:rsidRPr="00DF1444" w:rsidTr="00DF1444">
        <w:trPr>
          <w:trHeight w:val="318"/>
        </w:trPr>
        <w:tc>
          <w:tcPr>
            <w:tcW w:w="3260" w:type="dxa"/>
            <w:tcBorders>
              <w:top w:val="single" w:sz="12" w:space="0" w:color="auto"/>
              <w:left w:val="single" w:sz="12" w:space="0" w:color="auto"/>
              <w:bottom w:val="nil"/>
              <w:right w:val="single" w:sz="4" w:space="0" w:color="auto"/>
            </w:tcBorders>
            <w:shd w:val="clear" w:color="auto" w:fill="auto"/>
            <w:noWrap/>
            <w:vAlign w:val="bottom"/>
            <w:hideMark/>
          </w:tcPr>
          <w:p w:rsidR="00DF1444" w:rsidRPr="00DF1444" w:rsidRDefault="00DF1444">
            <w:pPr>
              <w:rPr>
                <w:color w:val="000000"/>
                <w:sz w:val="22"/>
                <w:szCs w:val="22"/>
              </w:rPr>
            </w:pPr>
            <w:r w:rsidRPr="00DF1444">
              <w:rPr>
                <w:color w:val="000000"/>
                <w:sz w:val="22"/>
                <w:szCs w:val="22"/>
              </w:rPr>
              <w:t>(mil. EUR)</w:t>
            </w:r>
          </w:p>
        </w:tc>
        <w:tc>
          <w:tcPr>
            <w:tcW w:w="2520" w:type="dxa"/>
            <w:gridSpan w:val="2"/>
            <w:tcBorders>
              <w:top w:val="single" w:sz="12" w:space="0" w:color="auto"/>
              <w:left w:val="single" w:sz="4" w:space="0" w:color="auto"/>
              <w:bottom w:val="nil"/>
              <w:right w:val="single" w:sz="4" w:space="0" w:color="000000"/>
            </w:tcBorders>
            <w:shd w:val="clear" w:color="auto" w:fill="auto"/>
            <w:noWrap/>
            <w:vAlign w:val="bottom"/>
            <w:hideMark/>
          </w:tcPr>
          <w:p w:rsidR="00DF1444" w:rsidRPr="00DF1444" w:rsidRDefault="00DF1444">
            <w:pPr>
              <w:jc w:val="center"/>
              <w:rPr>
                <w:color w:val="000000"/>
                <w:sz w:val="22"/>
                <w:szCs w:val="22"/>
              </w:rPr>
            </w:pPr>
            <w:r w:rsidRPr="00DF1444">
              <w:rPr>
                <w:color w:val="000000"/>
                <w:sz w:val="22"/>
                <w:szCs w:val="22"/>
              </w:rPr>
              <w:t> </w:t>
            </w:r>
          </w:p>
        </w:tc>
        <w:tc>
          <w:tcPr>
            <w:tcW w:w="2520" w:type="dxa"/>
            <w:gridSpan w:val="2"/>
            <w:tcBorders>
              <w:top w:val="single" w:sz="12" w:space="0" w:color="auto"/>
              <w:left w:val="nil"/>
              <w:bottom w:val="nil"/>
              <w:right w:val="single" w:sz="12" w:space="0" w:color="000000"/>
            </w:tcBorders>
            <w:shd w:val="clear" w:color="auto" w:fill="auto"/>
            <w:noWrap/>
            <w:vAlign w:val="bottom"/>
            <w:hideMark/>
          </w:tcPr>
          <w:p w:rsidR="00DF1444" w:rsidRPr="00DF1444" w:rsidRDefault="00DF1444">
            <w:pPr>
              <w:jc w:val="center"/>
              <w:rPr>
                <w:color w:val="000000"/>
                <w:sz w:val="22"/>
                <w:szCs w:val="22"/>
              </w:rPr>
            </w:pPr>
            <w:r w:rsidRPr="00DF1444">
              <w:rPr>
                <w:color w:val="000000"/>
                <w:sz w:val="22"/>
                <w:szCs w:val="22"/>
              </w:rPr>
              <w:t>Druhé čtvrtletí</w:t>
            </w:r>
          </w:p>
        </w:tc>
      </w:tr>
      <w:tr w:rsidR="00DF1444" w:rsidRPr="00DF1444" w:rsidTr="00DF1444">
        <w:trPr>
          <w:trHeight w:val="318"/>
        </w:trPr>
        <w:tc>
          <w:tcPr>
            <w:tcW w:w="3260" w:type="dxa"/>
            <w:tcBorders>
              <w:top w:val="nil"/>
              <w:left w:val="single" w:sz="12" w:space="0" w:color="auto"/>
              <w:bottom w:val="single" w:sz="8" w:space="0" w:color="auto"/>
              <w:right w:val="single" w:sz="4" w:space="0" w:color="auto"/>
            </w:tcBorders>
            <w:shd w:val="clear" w:color="auto" w:fill="auto"/>
            <w:noWrap/>
            <w:vAlign w:val="bottom"/>
            <w:hideMark/>
          </w:tcPr>
          <w:p w:rsidR="00DF1444" w:rsidRPr="00DF1444" w:rsidRDefault="00DF1444">
            <w:pPr>
              <w:rPr>
                <w:color w:val="000000"/>
                <w:sz w:val="22"/>
                <w:szCs w:val="22"/>
              </w:rPr>
            </w:pPr>
            <w:r w:rsidRPr="00DF1444">
              <w:rPr>
                <w:color w:val="000000"/>
                <w:sz w:val="22"/>
                <w:szCs w:val="22"/>
              </w:rPr>
              <w:t> </w:t>
            </w:r>
          </w:p>
        </w:tc>
        <w:tc>
          <w:tcPr>
            <w:tcW w:w="2520" w:type="dxa"/>
            <w:gridSpan w:val="2"/>
            <w:tcBorders>
              <w:top w:val="nil"/>
              <w:left w:val="nil"/>
              <w:bottom w:val="single" w:sz="8" w:space="0" w:color="auto"/>
              <w:right w:val="nil"/>
            </w:tcBorders>
            <w:shd w:val="clear" w:color="auto" w:fill="auto"/>
            <w:noWrap/>
            <w:vAlign w:val="bottom"/>
            <w:hideMark/>
          </w:tcPr>
          <w:p w:rsidR="00DF1444" w:rsidRPr="00DF1444" w:rsidRDefault="00DF1444">
            <w:pPr>
              <w:jc w:val="center"/>
              <w:rPr>
                <w:color w:val="000000"/>
                <w:sz w:val="22"/>
                <w:szCs w:val="22"/>
              </w:rPr>
            </w:pPr>
            <w:r w:rsidRPr="00DF1444">
              <w:rPr>
                <w:color w:val="000000"/>
                <w:sz w:val="22"/>
                <w:szCs w:val="22"/>
              </w:rPr>
              <w:t>Leden – červen 2015</w:t>
            </w:r>
          </w:p>
        </w:tc>
        <w:tc>
          <w:tcPr>
            <w:tcW w:w="2520" w:type="dxa"/>
            <w:gridSpan w:val="2"/>
            <w:tcBorders>
              <w:top w:val="nil"/>
              <w:left w:val="single" w:sz="4" w:space="0" w:color="auto"/>
              <w:bottom w:val="single" w:sz="8" w:space="0" w:color="auto"/>
              <w:right w:val="single" w:sz="12" w:space="0" w:color="000000"/>
            </w:tcBorders>
            <w:shd w:val="clear" w:color="auto" w:fill="auto"/>
            <w:noWrap/>
            <w:vAlign w:val="bottom"/>
            <w:hideMark/>
          </w:tcPr>
          <w:p w:rsidR="00DF1444" w:rsidRPr="00DF1444" w:rsidRDefault="00DF1444">
            <w:pPr>
              <w:jc w:val="center"/>
              <w:rPr>
                <w:color w:val="000000"/>
                <w:sz w:val="22"/>
                <w:szCs w:val="22"/>
              </w:rPr>
            </w:pPr>
            <w:r w:rsidRPr="00DF1444">
              <w:rPr>
                <w:color w:val="000000"/>
                <w:sz w:val="22"/>
                <w:szCs w:val="22"/>
              </w:rPr>
              <w:t>duben - červen 2015</w:t>
            </w:r>
          </w:p>
        </w:tc>
      </w:tr>
      <w:tr w:rsidR="00DF1444" w:rsidRPr="00DF1444" w:rsidTr="00DF1444">
        <w:trPr>
          <w:trHeight w:val="330"/>
        </w:trPr>
        <w:tc>
          <w:tcPr>
            <w:tcW w:w="3260" w:type="dxa"/>
            <w:tcBorders>
              <w:top w:val="nil"/>
              <w:left w:val="single" w:sz="12" w:space="0" w:color="auto"/>
              <w:bottom w:val="single" w:sz="8" w:space="0" w:color="auto"/>
              <w:right w:val="single" w:sz="4" w:space="0" w:color="auto"/>
            </w:tcBorders>
            <w:shd w:val="clear" w:color="auto" w:fill="auto"/>
            <w:noWrap/>
            <w:vAlign w:val="center"/>
            <w:hideMark/>
          </w:tcPr>
          <w:p w:rsidR="00DF1444" w:rsidRPr="00DF1444" w:rsidRDefault="00DF1444">
            <w:pPr>
              <w:rPr>
                <w:color w:val="000000"/>
                <w:sz w:val="22"/>
                <w:szCs w:val="22"/>
              </w:rPr>
            </w:pPr>
            <w:r w:rsidRPr="00DF1444">
              <w:rPr>
                <w:color w:val="000000"/>
                <w:sz w:val="22"/>
                <w:szCs w:val="22"/>
              </w:rPr>
              <w:t> </w:t>
            </w:r>
          </w:p>
        </w:tc>
        <w:tc>
          <w:tcPr>
            <w:tcW w:w="1151" w:type="dxa"/>
            <w:tcBorders>
              <w:top w:val="nil"/>
              <w:left w:val="nil"/>
              <w:bottom w:val="single" w:sz="8" w:space="0" w:color="auto"/>
              <w:right w:val="single" w:sz="4" w:space="0" w:color="auto"/>
            </w:tcBorders>
            <w:shd w:val="clear" w:color="auto" w:fill="auto"/>
            <w:noWrap/>
            <w:vAlign w:val="center"/>
            <w:hideMark/>
          </w:tcPr>
          <w:p w:rsidR="00DF1444" w:rsidRPr="00DF1444" w:rsidRDefault="00DF1444">
            <w:pPr>
              <w:rPr>
                <w:color w:val="000000"/>
                <w:sz w:val="22"/>
                <w:szCs w:val="22"/>
              </w:rPr>
            </w:pPr>
            <w:r w:rsidRPr="00DF1444">
              <w:rPr>
                <w:color w:val="000000"/>
                <w:sz w:val="22"/>
                <w:szCs w:val="22"/>
              </w:rPr>
              <w:t> </w:t>
            </w:r>
          </w:p>
        </w:tc>
        <w:tc>
          <w:tcPr>
            <w:tcW w:w="1369" w:type="dxa"/>
            <w:tcBorders>
              <w:top w:val="nil"/>
              <w:left w:val="nil"/>
              <w:bottom w:val="single" w:sz="8" w:space="0" w:color="auto"/>
              <w:right w:val="single" w:sz="4" w:space="0" w:color="auto"/>
            </w:tcBorders>
            <w:shd w:val="clear" w:color="auto" w:fill="auto"/>
            <w:noWrap/>
            <w:vAlign w:val="center"/>
            <w:hideMark/>
          </w:tcPr>
          <w:p w:rsidR="00DF1444" w:rsidRPr="00DF1444" w:rsidRDefault="00DF1444">
            <w:pPr>
              <w:jc w:val="center"/>
              <w:rPr>
                <w:color w:val="000000"/>
                <w:sz w:val="22"/>
                <w:szCs w:val="22"/>
              </w:rPr>
            </w:pPr>
            <w:r w:rsidRPr="00DF1444">
              <w:rPr>
                <w:color w:val="000000"/>
                <w:sz w:val="22"/>
                <w:szCs w:val="22"/>
              </w:rPr>
              <w:t>meziročně</w:t>
            </w:r>
          </w:p>
        </w:tc>
        <w:tc>
          <w:tcPr>
            <w:tcW w:w="1145" w:type="dxa"/>
            <w:tcBorders>
              <w:top w:val="nil"/>
              <w:left w:val="nil"/>
              <w:bottom w:val="single" w:sz="8" w:space="0" w:color="auto"/>
              <w:right w:val="single" w:sz="4" w:space="0" w:color="auto"/>
            </w:tcBorders>
            <w:shd w:val="clear" w:color="auto" w:fill="auto"/>
            <w:noWrap/>
            <w:vAlign w:val="center"/>
            <w:hideMark/>
          </w:tcPr>
          <w:p w:rsidR="00DF1444" w:rsidRPr="00DF1444" w:rsidRDefault="00DF1444">
            <w:pPr>
              <w:rPr>
                <w:color w:val="000000"/>
                <w:sz w:val="22"/>
                <w:szCs w:val="22"/>
              </w:rPr>
            </w:pPr>
            <w:r w:rsidRPr="00DF1444">
              <w:rPr>
                <w:color w:val="000000"/>
                <w:sz w:val="22"/>
                <w:szCs w:val="22"/>
              </w:rPr>
              <w:t> </w:t>
            </w:r>
          </w:p>
        </w:tc>
        <w:tc>
          <w:tcPr>
            <w:tcW w:w="1375" w:type="dxa"/>
            <w:tcBorders>
              <w:top w:val="nil"/>
              <w:left w:val="single" w:sz="4" w:space="0" w:color="auto"/>
              <w:bottom w:val="single" w:sz="8" w:space="0" w:color="auto"/>
              <w:right w:val="single" w:sz="12" w:space="0" w:color="auto"/>
            </w:tcBorders>
            <w:shd w:val="clear" w:color="auto" w:fill="auto"/>
            <w:noWrap/>
            <w:vAlign w:val="center"/>
            <w:hideMark/>
          </w:tcPr>
          <w:p w:rsidR="00DF1444" w:rsidRPr="00DF1444" w:rsidRDefault="00DF1444">
            <w:pPr>
              <w:jc w:val="center"/>
              <w:rPr>
                <w:color w:val="000000"/>
                <w:sz w:val="22"/>
                <w:szCs w:val="22"/>
              </w:rPr>
            </w:pPr>
            <w:r w:rsidRPr="00DF1444">
              <w:rPr>
                <w:color w:val="000000"/>
                <w:sz w:val="22"/>
                <w:szCs w:val="22"/>
              </w:rPr>
              <w:t>meziročně</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Výnosy</w:t>
            </w: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111</w:t>
            </w:r>
            <w:r w:rsidR="00B0727A">
              <w:rPr>
                <w:color w:val="000000"/>
                <w:sz w:val="22"/>
                <w:szCs w:val="22"/>
              </w:rPr>
              <w:t>,</w:t>
            </w:r>
            <w:r w:rsidRPr="00DF1444">
              <w:rPr>
                <w:color w:val="000000"/>
                <w:sz w:val="22"/>
                <w:szCs w:val="22"/>
              </w:rPr>
              <w:t>7</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8C0748">
            <w:pPr>
              <w:ind w:firstLineChars="100" w:firstLine="220"/>
              <w:jc w:val="right"/>
              <w:rPr>
                <w:color w:val="000000"/>
                <w:sz w:val="22"/>
                <w:szCs w:val="22"/>
              </w:rPr>
            </w:pPr>
            <w:r w:rsidRPr="00DF1444">
              <w:rPr>
                <w:color w:val="000000"/>
                <w:sz w:val="22"/>
                <w:szCs w:val="22"/>
              </w:rPr>
              <w:t>0</w:t>
            </w:r>
            <w:r w:rsidR="00B0727A">
              <w:rPr>
                <w:color w:val="000000"/>
                <w:sz w:val="22"/>
                <w:szCs w:val="22"/>
              </w:rPr>
              <w:t>,</w:t>
            </w:r>
            <w:r w:rsidR="008C0748">
              <w:rPr>
                <w:color w:val="000000"/>
                <w:sz w:val="22"/>
                <w:szCs w:val="22"/>
              </w:rPr>
              <w:t>2</w:t>
            </w:r>
            <w:r w:rsidRPr="00DF1444">
              <w:rPr>
                <w:color w:val="000000"/>
                <w:sz w:val="22"/>
                <w:szCs w:val="22"/>
              </w:rPr>
              <w:t>%</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51</w:t>
            </w:r>
            <w:r w:rsidR="00B0727A">
              <w:rPr>
                <w:color w:val="000000"/>
                <w:sz w:val="22"/>
                <w:szCs w:val="22"/>
              </w:rPr>
              <w:t>,</w:t>
            </w:r>
            <w:r w:rsidRPr="00DF1444">
              <w:rPr>
                <w:color w:val="000000"/>
                <w:sz w:val="22"/>
                <w:szCs w:val="22"/>
              </w:rPr>
              <w:t>1</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pPr>
              <w:ind w:firstLineChars="100" w:firstLine="220"/>
              <w:jc w:val="right"/>
              <w:rPr>
                <w:color w:val="000000"/>
                <w:sz w:val="22"/>
                <w:szCs w:val="22"/>
              </w:rPr>
            </w:pPr>
            <w:r w:rsidRPr="00DF1444">
              <w:rPr>
                <w:color w:val="000000"/>
                <w:sz w:val="22"/>
                <w:szCs w:val="22"/>
              </w:rPr>
              <w:t>-2</w:t>
            </w:r>
            <w:r w:rsidR="00B0727A">
              <w:rPr>
                <w:color w:val="000000"/>
                <w:sz w:val="22"/>
                <w:szCs w:val="22"/>
              </w:rPr>
              <w:t>,</w:t>
            </w:r>
            <w:r w:rsidR="008C0748">
              <w:rPr>
                <w:color w:val="000000"/>
                <w:sz w:val="22"/>
                <w:szCs w:val="22"/>
              </w:rPr>
              <w:t>8</w:t>
            </w:r>
            <w:r w:rsidRPr="00DF1444">
              <w:rPr>
                <w:color w:val="000000"/>
                <w:sz w:val="22"/>
                <w:szCs w:val="22"/>
              </w:rPr>
              <w:t>%</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Provozní náklady bez odpisů</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-90</w:t>
            </w:r>
            <w:r w:rsidR="00B0727A">
              <w:rPr>
                <w:color w:val="000000"/>
                <w:sz w:val="22"/>
                <w:szCs w:val="22"/>
              </w:rPr>
              <w:t>,</w:t>
            </w:r>
            <w:r w:rsidRPr="00DF1444">
              <w:rPr>
                <w:color w:val="000000"/>
                <w:sz w:val="22"/>
                <w:szCs w:val="22"/>
              </w:rPr>
              <w:t>1</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DF1444" w:rsidRPr="00DF1444" w:rsidRDefault="008C0748">
            <w:pPr>
              <w:ind w:firstLineChars="100" w:firstLine="220"/>
              <w:jc w:val="right"/>
              <w:rPr>
                <w:color w:val="000000"/>
                <w:sz w:val="22"/>
                <w:szCs w:val="22"/>
              </w:rPr>
            </w:pPr>
            <w:r>
              <w:rPr>
                <w:color w:val="000000"/>
                <w:sz w:val="22"/>
                <w:szCs w:val="22"/>
              </w:rPr>
              <w:t>0</w:t>
            </w:r>
            <w:r w:rsidR="00B0727A">
              <w:rPr>
                <w:color w:val="000000"/>
                <w:sz w:val="22"/>
                <w:szCs w:val="22"/>
              </w:rPr>
              <w:t>,</w:t>
            </w:r>
            <w:r>
              <w:rPr>
                <w:color w:val="000000"/>
                <w:sz w:val="22"/>
                <w:szCs w:val="22"/>
              </w:rPr>
              <w:t>9</w:t>
            </w:r>
            <w:r w:rsidR="00DF1444" w:rsidRPr="00DF1444">
              <w:rPr>
                <w:color w:val="000000"/>
                <w:sz w:val="22"/>
                <w:szCs w:val="22"/>
              </w:rPr>
              <w:t>%</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-42</w:t>
            </w:r>
            <w:r w:rsidR="00B0727A">
              <w:rPr>
                <w:color w:val="000000"/>
                <w:sz w:val="22"/>
                <w:szCs w:val="22"/>
              </w:rPr>
              <w:t>,</w:t>
            </w:r>
            <w:r w:rsidRPr="00DF1444">
              <w:rPr>
                <w:color w:val="000000"/>
                <w:sz w:val="22"/>
                <w:szCs w:val="22"/>
              </w:rPr>
              <w:t>2</w:t>
            </w:r>
          </w:p>
        </w:tc>
        <w:tc>
          <w:tcPr>
            <w:tcW w:w="1375" w:type="dxa"/>
            <w:tcBorders>
              <w:top w:val="single" w:sz="4" w:space="0" w:color="auto"/>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w:t>
            </w:r>
            <w:r w:rsidR="00B0727A">
              <w:rPr>
                <w:color w:val="000000"/>
                <w:sz w:val="22"/>
                <w:szCs w:val="22"/>
              </w:rPr>
              <w:t>,</w:t>
            </w:r>
            <w:r w:rsidRPr="00DF1444">
              <w:rPr>
                <w:color w:val="000000"/>
                <w:sz w:val="22"/>
                <w:szCs w:val="22"/>
              </w:rPr>
              <w:t>2%</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EBITDA</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21</w:t>
            </w:r>
            <w:r w:rsidR="00B0727A">
              <w:rPr>
                <w:color w:val="000000"/>
                <w:sz w:val="22"/>
                <w:szCs w:val="22"/>
              </w:rPr>
              <w:t>,</w:t>
            </w:r>
            <w:r w:rsidRPr="00DF1444">
              <w:rPr>
                <w:color w:val="000000"/>
                <w:sz w:val="22"/>
                <w:szCs w:val="22"/>
              </w:rPr>
              <w:t>6</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-2</w:t>
            </w:r>
            <w:r w:rsidR="00B0727A">
              <w:rPr>
                <w:color w:val="000000"/>
                <w:sz w:val="22"/>
                <w:szCs w:val="22"/>
              </w:rPr>
              <w:t>,</w:t>
            </w:r>
            <w:r w:rsidRPr="00DF1444">
              <w:rPr>
                <w:color w:val="000000"/>
                <w:sz w:val="22"/>
                <w:szCs w:val="22"/>
              </w:rPr>
              <w:t>6%</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8</w:t>
            </w:r>
            <w:r w:rsidR="00B0727A">
              <w:rPr>
                <w:color w:val="000000"/>
                <w:sz w:val="22"/>
                <w:szCs w:val="22"/>
              </w:rPr>
              <w:t>,</w:t>
            </w:r>
            <w:r w:rsidRPr="00DF1444">
              <w:rPr>
                <w:color w:val="000000"/>
                <w:sz w:val="22"/>
                <w:szCs w:val="22"/>
              </w:rPr>
              <w:t>9</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-9</w:t>
            </w:r>
            <w:r w:rsidR="00B0727A">
              <w:rPr>
                <w:color w:val="000000"/>
                <w:sz w:val="22"/>
                <w:szCs w:val="22"/>
              </w:rPr>
              <w:t>,</w:t>
            </w:r>
            <w:r w:rsidRPr="00DF1444">
              <w:rPr>
                <w:color w:val="000000"/>
                <w:sz w:val="22"/>
                <w:szCs w:val="22"/>
              </w:rPr>
              <w:t>6%</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Odpisy</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-7</w:t>
            </w:r>
            <w:r w:rsidR="00B0727A">
              <w:rPr>
                <w:color w:val="000000"/>
                <w:sz w:val="22"/>
                <w:szCs w:val="22"/>
              </w:rPr>
              <w:t>,</w:t>
            </w:r>
            <w:r w:rsidRPr="00DF1444">
              <w:rPr>
                <w:color w:val="000000"/>
                <w:sz w:val="22"/>
                <w:szCs w:val="22"/>
              </w:rPr>
              <w:t>9</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7</w:t>
            </w:r>
            <w:r w:rsidR="00B0727A">
              <w:rPr>
                <w:color w:val="000000"/>
                <w:sz w:val="22"/>
                <w:szCs w:val="22"/>
              </w:rPr>
              <w:t>,</w:t>
            </w:r>
            <w:r w:rsidRPr="00DF1444">
              <w:rPr>
                <w:color w:val="000000"/>
                <w:sz w:val="22"/>
                <w:szCs w:val="22"/>
              </w:rPr>
              <w:t>7%</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-3</w:t>
            </w:r>
            <w:r w:rsidR="00B0727A">
              <w:rPr>
                <w:color w:val="000000"/>
                <w:sz w:val="22"/>
                <w:szCs w:val="22"/>
              </w:rPr>
              <w:t>,</w:t>
            </w:r>
            <w:r w:rsidRPr="00DF1444">
              <w:rPr>
                <w:color w:val="000000"/>
                <w:sz w:val="22"/>
                <w:szCs w:val="22"/>
              </w:rPr>
              <w:t>9</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6</w:t>
            </w:r>
            <w:r w:rsidR="00B0727A">
              <w:rPr>
                <w:color w:val="000000"/>
                <w:sz w:val="22"/>
                <w:szCs w:val="22"/>
              </w:rPr>
              <w:t>,</w:t>
            </w:r>
            <w:r w:rsidRPr="00DF1444">
              <w:rPr>
                <w:color w:val="000000"/>
                <w:sz w:val="22"/>
                <w:szCs w:val="22"/>
              </w:rPr>
              <w:t>5%</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Provozní hospodářský výsledek (EBIT)</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13</w:t>
            </w:r>
            <w:r w:rsidR="00B0727A">
              <w:rPr>
                <w:color w:val="000000"/>
                <w:sz w:val="22"/>
                <w:szCs w:val="22"/>
              </w:rPr>
              <w:t>,</w:t>
            </w:r>
            <w:r w:rsidRPr="00DF1444">
              <w:rPr>
                <w:color w:val="000000"/>
                <w:sz w:val="22"/>
                <w:szCs w:val="22"/>
              </w:rPr>
              <w:t>6</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-7</w:t>
            </w:r>
            <w:r w:rsidR="00B0727A">
              <w:rPr>
                <w:color w:val="000000"/>
                <w:sz w:val="22"/>
                <w:szCs w:val="22"/>
              </w:rPr>
              <w:t>,</w:t>
            </w:r>
            <w:r w:rsidRPr="00DF1444">
              <w:rPr>
                <w:color w:val="000000"/>
                <w:sz w:val="22"/>
                <w:szCs w:val="22"/>
              </w:rPr>
              <w:t>8%</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5</w:t>
            </w:r>
            <w:r w:rsidR="00B0727A">
              <w:rPr>
                <w:color w:val="000000"/>
                <w:sz w:val="22"/>
                <w:szCs w:val="22"/>
              </w:rPr>
              <w:t>,</w:t>
            </w:r>
            <w:r w:rsidRPr="00DF1444">
              <w:rPr>
                <w:color w:val="000000"/>
                <w:sz w:val="22"/>
                <w:szCs w:val="22"/>
              </w:rPr>
              <w:t>0</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-19</w:t>
            </w:r>
            <w:r w:rsidR="00B0727A">
              <w:rPr>
                <w:color w:val="000000"/>
                <w:sz w:val="22"/>
                <w:szCs w:val="22"/>
              </w:rPr>
              <w:t>,</w:t>
            </w:r>
            <w:r w:rsidRPr="00DF1444">
              <w:rPr>
                <w:color w:val="000000"/>
                <w:sz w:val="22"/>
                <w:szCs w:val="22"/>
              </w:rPr>
              <w:t>2%</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Kurzové změny a ostatní finanční výnosy / (náklady) (netto)</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8</w:t>
            </w:r>
            <w:r w:rsidR="00B0727A">
              <w:rPr>
                <w:color w:val="000000"/>
                <w:sz w:val="22"/>
                <w:szCs w:val="22"/>
              </w:rPr>
              <w:t>,</w:t>
            </w:r>
            <w:r w:rsidRPr="00DF1444">
              <w:rPr>
                <w:color w:val="000000"/>
                <w:sz w:val="22"/>
                <w:szCs w:val="22"/>
              </w:rPr>
              <w:t>2</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639</w:t>
            </w:r>
            <w:r w:rsidR="00B0727A">
              <w:rPr>
                <w:color w:val="000000"/>
                <w:sz w:val="22"/>
                <w:szCs w:val="22"/>
              </w:rPr>
              <w:t>,</w:t>
            </w:r>
            <w:r w:rsidRPr="00DF1444">
              <w:rPr>
                <w:color w:val="000000"/>
                <w:sz w:val="22"/>
                <w:szCs w:val="22"/>
              </w:rPr>
              <w:t>0%</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-0</w:t>
            </w:r>
            <w:r w:rsidR="00B0727A">
              <w:rPr>
                <w:color w:val="000000"/>
                <w:sz w:val="22"/>
                <w:szCs w:val="22"/>
              </w:rPr>
              <w:t>,</w:t>
            </w:r>
            <w:r w:rsidRPr="00DF1444">
              <w:rPr>
                <w:color w:val="000000"/>
                <w:sz w:val="22"/>
                <w:szCs w:val="22"/>
              </w:rPr>
              <w:t>3</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n/a</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Úrokové náklady (netto)</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-3</w:t>
            </w:r>
            <w:r w:rsidR="00B0727A">
              <w:rPr>
                <w:color w:val="000000"/>
                <w:sz w:val="22"/>
                <w:szCs w:val="22"/>
              </w:rPr>
              <w:t>,</w:t>
            </w:r>
            <w:r w:rsidRPr="00DF1444">
              <w:rPr>
                <w:color w:val="000000"/>
                <w:sz w:val="22"/>
                <w:szCs w:val="22"/>
              </w:rPr>
              <w:t>5</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-15</w:t>
            </w:r>
            <w:r w:rsidR="00B0727A">
              <w:rPr>
                <w:color w:val="000000"/>
                <w:sz w:val="22"/>
                <w:szCs w:val="22"/>
              </w:rPr>
              <w:t>,</w:t>
            </w:r>
            <w:r w:rsidRPr="00DF1444">
              <w:rPr>
                <w:color w:val="000000"/>
                <w:sz w:val="22"/>
                <w:szCs w:val="22"/>
              </w:rPr>
              <w:t>9%</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w:t>
            </w:r>
            <w:r w:rsidR="00B0727A">
              <w:rPr>
                <w:color w:val="000000"/>
                <w:sz w:val="22"/>
                <w:szCs w:val="22"/>
              </w:rPr>
              <w:t>,</w:t>
            </w:r>
            <w:r w:rsidRPr="00DF1444">
              <w:rPr>
                <w:color w:val="000000"/>
                <w:sz w:val="22"/>
                <w:szCs w:val="22"/>
              </w:rPr>
              <w:t>8</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-15</w:t>
            </w:r>
            <w:r w:rsidR="00B0727A">
              <w:rPr>
                <w:color w:val="000000"/>
                <w:sz w:val="22"/>
                <w:szCs w:val="22"/>
              </w:rPr>
              <w:t>,</w:t>
            </w:r>
            <w:r w:rsidRPr="00DF1444">
              <w:rPr>
                <w:color w:val="000000"/>
                <w:sz w:val="22"/>
                <w:szCs w:val="22"/>
              </w:rPr>
              <w:t>1%</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Daň z příjmů – (náklad)/výnos</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-2</w:t>
            </w:r>
            <w:r w:rsidR="00B0727A">
              <w:rPr>
                <w:color w:val="000000"/>
                <w:sz w:val="22"/>
                <w:szCs w:val="22"/>
              </w:rPr>
              <w:t>,</w:t>
            </w:r>
            <w:r w:rsidRPr="00DF1444">
              <w:rPr>
                <w:color w:val="000000"/>
                <w:sz w:val="22"/>
                <w:szCs w:val="22"/>
              </w:rPr>
              <w:t>0</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71</w:t>
            </w:r>
            <w:r w:rsidR="00B0727A">
              <w:rPr>
                <w:color w:val="000000"/>
                <w:sz w:val="22"/>
                <w:szCs w:val="22"/>
              </w:rPr>
              <w:t>,</w:t>
            </w:r>
            <w:r w:rsidRPr="00DF1444">
              <w:rPr>
                <w:color w:val="000000"/>
                <w:sz w:val="22"/>
                <w:szCs w:val="22"/>
              </w:rPr>
              <w:t>2%</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-0</w:t>
            </w:r>
            <w:r w:rsidR="00B0727A">
              <w:rPr>
                <w:color w:val="000000"/>
                <w:sz w:val="22"/>
                <w:szCs w:val="22"/>
              </w:rPr>
              <w:t>,</w:t>
            </w:r>
            <w:r w:rsidRPr="00DF1444">
              <w:rPr>
                <w:color w:val="000000"/>
                <w:sz w:val="22"/>
                <w:szCs w:val="22"/>
              </w:rPr>
              <w:t>9</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62</w:t>
            </w:r>
            <w:r w:rsidR="00B0727A">
              <w:rPr>
                <w:color w:val="000000"/>
                <w:sz w:val="22"/>
                <w:szCs w:val="22"/>
              </w:rPr>
              <w:t>,</w:t>
            </w:r>
            <w:r w:rsidRPr="00DF1444">
              <w:rPr>
                <w:color w:val="000000"/>
                <w:sz w:val="22"/>
                <w:szCs w:val="22"/>
              </w:rPr>
              <w:t>3%</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Čistý zisk</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16</w:t>
            </w:r>
            <w:r w:rsidR="00B0727A">
              <w:rPr>
                <w:color w:val="000000"/>
                <w:sz w:val="22"/>
                <w:szCs w:val="22"/>
              </w:rPr>
              <w:t>,</w:t>
            </w:r>
            <w:r w:rsidRPr="00DF1444">
              <w:rPr>
                <w:color w:val="000000"/>
                <w:sz w:val="22"/>
                <w:szCs w:val="22"/>
              </w:rPr>
              <w:t>3</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55</w:t>
            </w:r>
            <w:r w:rsidR="00B0727A">
              <w:rPr>
                <w:color w:val="000000"/>
                <w:sz w:val="22"/>
                <w:szCs w:val="22"/>
              </w:rPr>
              <w:t>,</w:t>
            </w:r>
            <w:r w:rsidRPr="00DF1444">
              <w:rPr>
                <w:color w:val="000000"/>
                <w:sz w:val="22"/>
                <w:szCs w:val="22"/>
              </w:rPr>
              <w:t>0%</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2</w:t>
            </w:r>
            <w:r w:rsidR="00B0727A">
              <w:rPr>
                <w:color w:val="000000"/>
                <w:sz w:val="22"/>
                <w:szCs w:val="22"/>
              </w:rPr>
              <w:t>,</w:t>
            </w:r>
            <w:r w:rsidRPr="00DF1444">
              <w:rPr>
                <w:color w:val="000000"/>
                <w:sz w:val="22"/>
                <w:szCs w:val="22"/>
              </w:rPr>
              <w:t>0</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-60</w:t>
            </w:r>
            <w:r w:rsidR="00B0727A">
              <w:rPr>
                <w:color w:val="000000"/>
                <w:sz w:val="22"/>
                <w:szCs w:val="22"/>
              </w:rPr>
              <w:t>,</w:t>
            </w:r>
            <w:r w:rsidRPr="00DF1444">
              <w:rPr>
                <w:color w:val="000000"/>
                <w:sz w:val="22"/>
                <w:szCs w:val="22"/>
              </w:rPr>
              <w:t>6%</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Investice do hmotného a nehmotného majetku</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w:t>
            </w:r>
            <w:r w:rsidR="00B0727A">
              <w:rPr>
                <w:color w:val="000000"/>
                <w:sz w:val="22"/>
                <w:szCs w:val="22"/>
              </w:rPr>
              <w:t>,</w:t>
            </w:r>
            <w:r w:rsidRPr="00DF1444">
              <w:rPr>
                <w:color w:val="000000"/>
                <w:sz w:val="22"/>
                <w:szCs w:val="22"/>
              </w:rPr>
              <w:t>5</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0</w:t>
            </w:r>
            <w:r w:rsidR="00B0727A">
              <w:rPr>
                <w:color w:val="000000"/>
                <w:sz w:val="22"/>
                <w:szCs w:val="22"/>
              </w:rPr>
              <w:t>,</w:t>
            </w:r>
            <w:r w:rsidRPr="00DF1444">
              <w:rPr>
                <w:color w:val="000000"/>
                <w:sz w:val="22"/>
                <w:szCs w:val="22"/>
              </w:rPr>
              <w:t>1%</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0</w:t>
            </w:r>
            <w:r w:rsidR="00B0727A">
              <w:rPr>
                <w:color w:val="000000"/>
                <w:sz w:val="22"/>
                <w:szCs w:val="22"/>
              </w:rPr>
              <w:t>,</w:t>
            </w:r>
            <w:r w:rsidRPr="00DF1444">
              <w:rPr>
                <w:color w:val="000000"/>
                <w:sz w:val="22"/>
                <w:szCs w:val="22"/>
              </w:rPr>
              <w:t>7</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53</w:t>
            </w:r>
            <w:r w:rsidR="00B0727A">
              <w:rPr>
                <w:color w:val="000000"/>
                <w:sz w:val="22"/>
                <w:szCs w:val="22"/>
              </w:rPr>
              <w:t>,</w:t>
            </w:r>
            <w:r w:rsidRPr="00DF1444">
              <w:rPr>
                <w:color w:val="000000"/>
                <w:sz w:val="22"/>
                <w:szCs w:val="22"/>
              </w:rPr>
              <w:t>2%</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Počet zaměstnanců skupiny na konci období</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564</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-2</w:t>
            </w:r>
            <w:r w:rsidR="00B0727A">
              <w:rPr>
                <w:color w:val="000000"/>
                <w:sz w:val="22"/>
                <w:szCs w:val="22"/>
              </w:rPr>
              <w:t>,</w:t>
            </w:r>
            <w:r w:rsidRPr="00DF1444">
              <w:rPr>
                <w:color w:val="000000"/>
                <w:sz w:val="22"/>
                <w:szCs w:val="22"/>
              </w:rPr>
              <w:t>6%</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564</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-2</w:t>
            </w:r>
            <w:r w:rsidR="00B0727A">
              <w:rPr>
                <w:color w:val="000000"/>
                <w:sz w:val="22"/>
                <w:szCs w:val="22"/>
              </w:rPr>
              <w:t>,</w:t>
            </w:r>
            <w:r w:rsidRPr="00DF1444">
              <w:rPr>
                <w:color w:val="000000"/>
                <w:sz w:val="22"/>
                <w:szCs w:val="22"/>
              </w:rPr>
              <w:t>6%</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Průměrný počet zaměstnanců skupiny za období</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563</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-0</w:t>
            </w:r>
            <w:r w:rsidR="00B0727A">
              <w:rPr>
                <w:color w:val="000000"/>
                <w:sz w:val="22"/>
                <w:szCs w:val="22"/>
              </w:rPr>
              <w:t>,</w:t>
            </w:r>
            <w:r w:rsidRPr="00DF1444">
              <w:rPr>
                <w:color w:val="000000"/>
                <w:sz w:val="22"/>
                <w:szCs w:val="22"/>
              </w:rPr>
              <w:t>8%</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561</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-0</w:t>
            </w:r>
            <w:r w:rsidR="00B0727A">
              <w:rPr>
                <w:color w:val="000000"/>
                <w:sz w:val="22"/>
                <w:szCs w:val="22"/>
              </w:rPr>
              <w:t>,</w:t>
            </w:r>
            <w:r w:rsidRPr="00DF1444">
              <w:rPr>
                <w:color w:val="000000"/>
                <w:sz w:val="22"/>
                <w:szCs w:val="22"/>
              </w:rPr>
              <w:t>8%</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Čistý dluh</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142</w:t>
            </w:r>
            <w:r w:rsidR="00B0727A">
              <w:rPr>
                <w:color w:val="000000"/>
                <w:sz w:val="22"/>
                <w:szCs w:val="22"/>
              </w:rPr>
              <w:t>,</w:t>
            </w:r>
            <w:r w:rsidRPr="00DF1444">
              <w:rPr>
                <w:color w:val="000000"/>
                <w:sz w:val="22"/>
                <w:szCs w:val="22"/>
              </w:rPr>
              <w:t>2</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-2</w:t>
            </w:r>
            <w:r w:rsidR="00B0727A">
              <w:rPr>
                <w:color w:val="000000"/>
                <w:sz w:val="22"/>
                <w:szCs w:val="22"/>
              </w:rPr>
              <w:t>,</w:t>
            </w:r>
            <w:r w:rsidRPr="00DF1444">
              <w:rPr>
                <w:color w:val="000000"/>
                <w:sz w:val="22"/>
                <w:szCs w:val="22"/>
              </w:rPr>
              <w:t>1%</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142</w:t>
            </w:r>
            <w:r w:rsidR="00B0727A">
              <w:rPr>
                <w:color w:val="000000"/>
                <w:sz w:val="22"/>
                <w:szCs w:val="22"/>
              </w:rPr>
              <w:t>,</w:t>
            </w:r>
            <w:r w:rsidRPr="00DF1444">
              <w:rPr>
                <w:color w:val="000000"/>
                <w:sz w:val="22"/>
                <w:szCs w:val="22"/>
              </w:rPr>
              <w:t>2</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-2</w:t>
            </w:r>
            <w:r w:rsidR="00B0727A">
              <w:rPr>
                <w:color w:val="000000"/>
                <w:sz w:val="22"/>
                <w:szCs w:val="22"/>
              </w:rPr>
              <w:t>,</w:t>
            </w:r>
            <w:r w:rsidRPr="00DF1444">
              <w:rPr>
                <w:color w:val="000000"/>
                <w:sz w:val="22"/>
                <w:szCs w:val="22"/>
              </w:rPr>
              <w:t>1%</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Výroba (v tunách)</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B0727A">
            <w:pPr>
              <w:ind w:firstLineChars="100" w:firstLine="220"/>
              <w:jc w:val="right"/>
              <w:rPr>
                <w:color w:val="000000"/>
                <w:sz w:val="22"/>
                <w:szCs w:val="22"/>
              </w:rPr>
            </w:pPr>
            <w:r w:rsidRPr="00DF1444">
              <w:rPr>
                <w:color w:val="000000"/>
                <w:sz w:val="22"/>
                <w:szCs w:val="22"/>
              </w:rPr>
              <w:t>51</w:t>
            </w:r>
            <w:r w:rsidR="00B0727A">
              <w:rPr>
                <w:color w:val="000000"/>
                <w:sz w:val="22"/>
                <w:szCs w:val="22"/>
              </w:rPr>
              <w:t xml:space="preserve"> </w:t>
            </w:r>
            <w:r w:rsidRPr="00DF1444">
              <w:rPr>
                <w:color w:val="000000"/>
                <w:sz w:val="22"/>
                <w:szCs w:val="22"/>
              </w:rPr>
              <w:t>836</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4</w:t>
            </w:r>
            <w:r w:rsidR="00B0727A">
              <w:rPr>
                <w:color w:val="000000"/>
                <w:sz w:val="22"/>
                <w:szCs w:val="22"/>
              </w:rPr>
              <w:t>,</w:t>
            </w:r>
            <w:r w:rsidRPr="00DF1444">
              <w:rPr>
                <w:color w:val="000000"/>
                <w:sz w:val="22"/>
                <w:szCs w:val="22"/>
              </w:rPr>
              <w:t>6%</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B0727A">
            <w:pPr>
              <w:ind w:firstLineChars="100" w:firstLine="220"/>
              <w:jc w:val="right"/>
              <w:rPr>
                <w:color w:val="000000"/>
                <w:sz w:val="22"/>
                <w:szCs w:val="22"/>
              </w:rPr>
            </w:pPr>
            <w:r w:rsidRPr="00DF1444">
              <w:rPr>
                <w:color w:val="000000"/>
                <w:sz w:val="22"/>
                <w:szCs w:val="22"/>
              </w:rPr>
              <w:t>25</w:t>
            </w:r>
            <w:r w:rsidR="00B0727A">
              <w:rPr>
                <w:color w:val="000000"/>
                <w:sz w:val="22"/>
                <w:szCs w:val="22"/>
              </w:rPr>
              <w:t xml:space="preserve"> </w:t>
            </w:r>
            <w:r w:rsidRPr="00DF1444">
              <w:rPr>
                <w:color w:val="000000"/>
                <w:sz w:val="22"/>
                <w:szCs w:val="22"/>
              </w:rPr>
              <w:t>634</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3</w:t>
            </w:r>
            <w:r w:rsidR="00B0727A">
              <w:rPr>
                <w:color w:val="000000"/>
                <w:sz w:val="22"/>
                <w:szCs w:val="22"/>
              </w:rPr>
              <w:t>,</w:t>
            </w:r>
            <w:r w:rsidRPr="00DF1444">
              <w:rPr>
                <w:color w:val="000000"/>
                <w:sz w:val="22"/>
                <w:szCs w:val="22"/>
              </w:rPr>
              <w:t>8%</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Průměrný kurz EUR/CZK za období</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27</w:t>
            </w:r>
            <w:r w:rsidR="00B0727A">
              <w:rPr>
                <w:color w:val="000000"/>
                <w:sz w:val="22"/>
                <w:szCs w:val="22"/>
              </w:rPr>
              <w:t>,</w:t>
            </w:r>
            <w:r w:rsidRPr="00DF1444">
              <w:rPr>
                <w:color w:val="000000"/>
                <w:sz w:val="22"/>
                <w:szCs w:val="22"/>
              </w:rPr>
              <w:t>502</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0</w:t>
            </w:r>
            <w:r w:rsidR="00B0727A">
              <w:rPr>
                <w:color w:val="000000"/>
                <w:sz w:val="22"/>
                <w:szCs w:val="22"/>
              </w:rPr>
              <w:t>,</w:t>
            </w:r>
            <w:r w:rsidRPr="00DF1444">
              <w:rPr>
                <w:color w:val="000000"/>
                <w:sz w:val="22"/>
                <w:szCs w:val="22"/>
              </w:rPr>
              <w:t>2%</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27</w:t>
            </w:r>
            <w:r w:rsidR="00B0727A">
              <w:rPr>
                <w:color w:val="000000"/>
                <w:sz w:val="22"/>
                <w:szCs w:val="22"/>
              </w:rPr>
              <w:t>,</w:t>
            </w:r>
            <w:r w:rsidRPr="00DF1444">
              <w:rPr>
                <w:color w:val="000000"/>
                <w:sz w:val="22"/>
                <w:szCs w:val="22"/>
              </w:rPr>
              <w:t>379</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-0</w:t>
            </w:r>
            <w:r w:rsidR="00B0727A">
              <w:rPr>
                <w:color w:val="000000"/>
                <w:sz w:val="22"/>
                <w:szCs w:val="22"/>
              </w:rPr>
              <w:t>,</w:t>
            </w:r>
            <w:r w:rsidRPr="00DF1444">
              <w:rPr>
                <w:color w:val="000000"/>
                <w:sz w:val="22"/>
                <w:szCs w:val="22"/>
              </w:rPr>
              <w:t>2%</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Kurz EUR/CZK na konci období</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27</w:t>
            </w:r>
            <w:r w:rsidR="00B0727A">
              <w:rPr>
                <w:color w:val="000000"/>
                <w:sz w:val="22"/>
                <w:szCs w:val="22"/>
              </w:rPr>
              <w:t>,</w:t>
            </w:r>
            <w:r w:rsidRPr="00DF1444">
              <w:rPr>
                <w:color w:val="000000"/>
                <w:sz w:val="22"/>
                <w:szCs w:val="22"/>
              </w:rPr>
              <w:t>253</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-0</w:t>
            </w:r>
            <w:r w:rsidR="00B0727A">
              <w:rPr>
                <w:color w:val="000000"/>
                <w:sz w:val="22"/>
                <w:szCs w:val="22"/>
              </w:rPr>
              <w:t>,</w:t>
            </w:r>
            <w:r w:rsidRPr="00DF1444">
              <w:rPr>
                <w:color w:val="000000"/>
                <w:sz w:val="22"/>
                <w:szCs w:val="22"/>
              </w:rPr>
              <w:t>7%</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27</w:t>
            </w:r>
            <w:r w:rsidR="00B0727A">
              <w:rPr>
                <w:color w:val="000000"/>
                <w:sz w:val="22"/>
                <w:szCs w:val="22"/>
              </w:rPr>
              <w:t>,</w:t>
            </w:r>
            <w:r w:rsidRPr="00DF1444">
              <w:rPr>
                <w:color w:val="000000"/>
                <w:sz w:val="22"/>
                <w:szCs w:val="22"/>
              </w:rPr>
              <w:t>253</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-0</w:t>
            </w:r>
            <w:r w:rsidR="00B0727A">
              <w:rPr>
                <w:color w:val="000000"/>
                <w:sz w:val="22"/>
                <w:szCs w:val="22"/>
              </w:rPr>
              <w:t>,</w:t>
            </w:r>
            <w:r w:rsidRPr="00DF1444">
              <w:rPr>
                <w:color w:val="000000"/>
                <w:sz w:val="22"/>
                <w:szCs w:val="22"/>
              </w:rPr>
              <w:t>7%</w:t>
            </w:r>
          </w:p>
        </w:tc>
      </w:tr>
      <w:tr w:rsidR="00DF1444" w:rsidRPr="00DF1444" w:rsidTr="00DF1444">
        <w:trPr>
          <w:trHeight w:val="660"/>
        </w:trPr>
        <w:tc>
          <w:tcPr>
            <w:tcW w:w="3260" w:type="dxa"/>
            <w:tcBorders>
              <w:top w:val="nil"/>
              <w:left w:val="single" w:sz="12" w:space="0" w:color="auto"/>
              <w:bottom w:val="single" w:sz="4"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Průměrný kurz EUR/USD za období</w:t>
            </w:r>
          </w:p>
        </w:tc>
        <w:tc>
          <w:tcPr>
            <w:tcW w:w="1151"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w:t>
            </w:r>
            <w:r w:rsidR="00B0727A">
              <w:rPr>
                <w:color w:val="000000"/>
                <w:sz w:val="22"/>
                <w:szCs w:val="22"/>
              </w:rPr>
              <w:t>,</w:t>
            </w:r>
            <w:r w:rsidRPr="00DF1444">
              <w:rPr>
                <w:color w:val="000000"/>
                <w:sz w:val="22"/>
                <w:szCs w:val="22"/>
              </w:rPr>
              <w:t>116</w:t>
            </w:r>
          </w:p>
        </w:tc>
        <w:tc>
          <w:tcPr>
            <w:tcW w:w="1369"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-18</w:t>
            </w:r>
            <w:r w:rsidR="00B0727A">
              <w:rPr>
                <w:color w:val="000000"/>
                <w:sz w:val="22"/>
                <w:szCs w:val="22"/>
              </w:rPr>
              <w:t>,</w:t>
            </w:r>
            <w:r w:rsidRPr="00DF1444">
              <w:rPr>
                <w:color w:val="000000"/>
                <w:sz w:val="22"/>
                <w:szCs w:val="22"/>
              </w:rPr>
              <w:t>6%</w:t>
            </w:r>
          </w:p>
        </w:tc>
        <w:tc>
          <w:tcPr>
            <w:tcW w:w="1145" w:type="dxa"/>
            <w:tcBorders>
              <w:top w:val="nil"/>
              <w:left w:val="nil"/>
              <w:bottom w:val="single" w:sz="4"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w:t>
            </w:r>
            <w:r w:rsidR="00B0727A">
              <w:rPr>
                <w:color w:val="000000"/>
                <w:sz w:val="22"/>
                <w:szCs w:val="22"/>
              </w:rPr>
              <w:t>,</w:t>
            </w:r>
            <w:r w:rsidRPr="00DF1444">
              <w:rPr>
                <w:color w:val="000000"/>
                <w:sz w:val="22"/>
                <w:szCs w:val="22"/>
              </w:rPr>
              <w:t>105</w:t>
            </w:r>
          </w:p>
        </w:tc>
        <w:tc>
          <w:tcPr>
            <w:tcW w:w="1375" w:type="dxa"/>
            <w:tcBorders>
              <w:top w:val="nil"/>
              <w:left w:val="nil"/>
              <w:bottom w:val="single" w:sz="4" w:space="0" w:color="auto"/>
              <w:right w:val="single" w:sz="12"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-19</w:t>
            </w:r>
            <w:r w:rsidR="00B0727A">
              <w:rPr>
                <w:color w:val="000000"/>
                <w:sz w:val="22"/>
                <w:szCs w:val="22"/>
              </w:rPr>
              <w:t>,</w:t>
            </w:r>
            <w:r w:rsidRPr="00DF1444">
              <w:rPr>
                <w:color w:val="000000"/>
                <w:sz w:val="22"/>
                <w:szCs w:val="22"/>
              </w:rPr>
              <w:t>4%</w:t>
            </w:r>
          </w:p>
        </w:tc>
      </w:tr>
      <w:tr w:rsidR="00DF1444" w:rsidRPr="00DF1444" w:rsidTr="00DF1444">
        <w:trPr>
          <w:trHeight w:val="660"/>
        </w:trPr>
        <w:tc>
          <w:tcPr>
            <w:tcW w:w="3260" w:type="dxa"/>
            <w:tcBorders>
              <w:top w:val="nil"/>
              <w:left w:val="single" w:sz="12" w:space="0" w:color="auto"/>
              <w:bottom w:val="single" w:sz="12" w:space="0" w:color="auto"/>
              <w:right w:val="single" w:sz="4" w:space="0" w:color="auto"/>
            </w:tcBorders>
            <w:shd w:val="clear" w:color="auto" w:fill="auto"/>
            <w:vAlign w:val="center"/>
            <w:hideMark/>
          </w:tcPr>
          <w:p w:rsidR="00DF1444" w:rsidRPr="00DF1444" w:rsidRDefault="00DF1444">
            <w:pPr>
              <w:rPr>
                <w:color w:val="000000"/>
                <w:sz w:val="22"/>
                <w:szCs w:val="22"/>
              </w:rPr>
            </w:pPr>
            <w:r w:rsidRPr="00DF1444">
              <w:rPr>
                <w:color w:val="000000"/>
                <w:sz w:val="22"/>
                <w:szCs w:val="22"/>
              </w:rPr>
              <w:t>Kurz EUR/USD na konci období</w:t>
            </w:r>
          </w:p>
        </w:tc>
        <w:tc>
          <w:tcPr>
            <w:tcW w:w="1151" w:type="dxa"/>
            <w:tcBorders>
              <w:top w:val="nil"/>
              <w:left w:val="nil"/>
              <w:bottom w:val="single" w:sz="12"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w:t>
            </w:r>
            <w:r w:rsidR="00B0727A">
              <w:rPr>
                <w:color w:val="000000"/>
                <w:sz w:val="22"/>
                <w:szCs w:val="22"/>
              </w:rPr>
              <w:t>,</w:t>
            </w:r>
            <w:r w:rsidRPr="00DF1444">
              <w:rPr>
                <w:color w:val="000000"/>
                <w:sz w:val="22"/>
                <w:szCs w:val="22"/>
              </w:rPr>
              <w:t>119</w:t>
            </w:r>
          </w:p>
        </w:tc>
        <w:tc>
          <w:tcPr>
            <w:tcW w:w="1369" w:type="dxa"/>
            <w:tcBorders>
              <w:top w:val="nil"/>
              <w:left w:val="nil"/>
              <w:bottom w:val="single" w:sz="12"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-18</w:t>
            </w:r>
            <w:r w:rsidR="00B0727A">
              <w:rPr>
                <w:color w:val="000000"/>
                <w:sz w:val="22"/>
                <w:szCs w:val="22"/>
              </w:rPr>
              <w:t>,</w:t>
            </w:r>
            <w:r w:rsidRPr="00DF1444">
              <w:rPr>
                <w:color w:val="000000"/>
                <w:sz w:val="22"/>
                <w:szCs w:val="22"/>
              </w:rPr>
              <w:t>1%</w:t>
            </w:r>
          </w:p>
        </w:tc>
        <w:tc>
          <w:tcPr>
            <w:tcW w:w="1145" w:type="dxa"/>
            <w:tcBorders>
              <w:top w:val="nil"/>
              <w:left w:val="nil"/>
              <w:bottom w:val="single" w:sz="12" w:space="0" w:color="auto"/>
              <w:right w:val="single" w:sz="4" w:space="0" w:color="auto"/>
            </w:tcBorders>
            <w:shd w:val="clear" w:color="auto" w:fill="auto"/>
            <w:noWrap/>
            <w:vAlign w:val="center"/>
            <w:hideMark/>
          </w:tcPr>
          <w:p w:rsidR="00DF1444" w:rsidRPr="00DF1444" w:rsidRDefault="00DF1444" w:rsidP="00DF1444">
            <w:pPr>
              <w:ind w:firstLineChars="100" w:firstLine="220"/>
              <w:jc w:val="right"/>
              <w:rPr>
                <w:color w:val="000000"/>
                <w:sz w:val="22"/>
                <w:szCs w:val="22"/>
              </w:rPr>
            </w:pPr>
            <w:r w:rsidRPr="00DF1444">
              <w:rPr>
                <w:color w:val="000000"/>
                <w:sz w:val="22"/>
                <w:szCs w:val="22"/>
              </w:rPr>
              <w:t>1</w:t>
            </w:r>
            <w:r w:rsidR="00B0727A">
              <w:rPr>
                <w:color w:val="000000"/>
                <w:sz w:val="22"/>
                <w:szCs w:val="22"/>
              </w:rPr>
              <w:t>,</w:t>
            </w:r>
            <w:r w:rsidRPr="00DF1444">
              <w:rPr>
                <w:color w:val="000000"/>
                <w:sz w:val="22"/>
                <w:szCs w:val="22"/>
              </w:rPr>
              <w:t>119</w:t>
            </w:r>
          </w:p>
        </w:tc>
        <w:tc>
          <w:tcPr>
            <w:tcW w:w="1375" w:type="dxa"/>
            <w:tcBorders>
              <w:top w:val="nil"/>
              <w:left w:val="nil"/>
              <w:bottom w:val="single" w:sz="12" w:space="0" w:color="auto"/>
              <w:right w:val="single" w:sz="12" w:space="0" w:color="auto"/>
            </w:tcBorders>
            <w:shd w:val="clear" w:color="auto" w:fill="auto"/>
            <w:noWrap/>
            <w:vAlign w:val="center"/>
            <w:hideMark/>
          </w:tcPr>
          <w:p w:rsidR="00DF1444" w:rsidRPr="00DF1444" w:rsidRDefault="00DF1444" w:rsidP="00B0727A">
            <w:pPr>
              <w:ind w:firstLineChars="100" w:firstLine="220"/>
              <w:jc w:val="right"/>
              <w:rPr>
                <w:color w:val="000000"/>
                <w:sz w:val="22"/>
                <w:szCs w:val="22"/>
              </w:rPr>
            </w:pPr>
            <w:r w:rsidRPr="00DF1444">
              <w:rPr>
                <w:color w:val="000000"/>
                <w:sz w:val="22"/>
                <w:szCs w:val="22"/>
              </w:rPr>
              <w:t>-18</w:t>
            </w:r>
            <w:r w:rsidR="00B0727A">
              <w:rPr>
                <w:color w:val="000000"/>
                <w:sz w:val="22"/>
                <w:szCs w:val="22"/>
              </w:rPr>
              <w:t>,</w:t>
            </w:r>
            <w:r w:rsidRPr="00DF1444">
              <w:rPr>
                <w:color w:val="000000"/>
                <w:sz w:val="22"/>
                <w:szCs w:val="22"/>
              </w:rPr>
              <w:t>1%</w:t>
            </w:r>
          </w:p>
        </w:tc>
      </w:tr>
    </w:tbl>
    <w:p w:rsidR="002508E3" w:rsidRPr="007A542A" w:rsidRDefault="002508E3" w:rsidP="00C7706F">
      <w:pPr>
        <w:sectPr w:rsidR="002508E3" w:rsidRPr="007A542A" w:rsidSect="00B520ED">
          <w:pgSz w:w="11906" w:h="16838"/>
          <w:pgMar w:top="1417" w:right="1417" w:bottom="1417" w:left="1417" w:header="708" w:footer="708" w:gutter="0"/>
          <w:cols w:space="708"/>
          <w:docGrid w:linePitch="360"/>
        </w:sectPr>
      </w:pPr>
    </w:p>
    <w:p w:rsidR="00CF4152" w:rsidRPr="007A542A" w:rsidRDefault="007F6819" w:rsidP="0025161E">
      <w:pPr>
        <w:pStyle w:val="NormalWeb"/>
        <w:jc w:val="both"/>
        <w:rPr>
          <w:b/>
        </w:rPr>
      </w:pPr>
      <w:r w:rsidRPr="007A542A">
        <w:rPr>
          <w:b/>
        </w:rPr>
        <w:lastRenderedPageBreak/>
        <w:t xml:space="preserve">Prohlášení </w:t>
      </w:r>
      <w:r w:rsidR="00775F6F" w:rsidRPr="007A542A">
        <w:rPr>
          <w:b/>
        </w:rPr>
        <w:t xml:space="preserve">generálního ředitele a </w:t>
      </w:r>
      <w:r w:rsidR="0046091F" w:rsidRPr="007A542A">
        <w:rPr>
          <w:b/>
        </w:rPr>
        <w:t>člena představenstva</w:t>
      </w:r>
      <w:r w:rsidR="00B11D84" w:rsidRPr="007A542A">
        <w:rPr>
          <w:b/>
        </w:rPr>
        <w:t xml:space="preserve"> PEGAS NONWOVENS SA </w:t>
      </w:r>
      <w:r w:rsidR="004B4E76" w:rsidRPr="007A542A">
        <w:rPr>
          <w:b/>
        </w:rPr>
        <w:t xml:space="preserve">pana </w:t>
      </w:r>
      <w:r w:rsidR="00FA4915" w:rsidRPr="007A542A">
        <w:rPr>
          <w:b/>
        </w:rPr>
        <w:t>Františka Řezáče:</w:t>
      </w:r>
    </w:p>
    <w:p w:rsidR="003360A7" w:rsidRDefault="00114722" w:rsidP="009359CE">
      <w:pPr>
        <w:pStyle w:val="NormalWeb"/>
        <w:jc w:val="both"/>
        <w:rPr>
          <w:i/>
          <w:iCs/>
        </w:rPr>
      </w:pPr>
      <w:r w:rsidRPr="007A542A">
        <w:rPr>
          <w:i/>
          <w:iCs/>
        </w:rPr>
        <w:t>„</w:t>
      </w:r>
      <w:r w:rsidR="009359CE" w:rsidRPr="009359CE">
        <w:rPr>
          <w:i/>
          <w:iCs/>
        </w:rPr>
        <w:t>Výsledky za druhé čtvrtletí tohoto roku považuj</w:t>
      </w:r>
      <w:r w:rsidR="00C477D9">
        <w:rPr>
          <w:i/>
          <w:iCs/>
        </w:rPr>
        <w:t>i</w:t>
      </w:r>
      <w:r w:rsidR="009359CE" w:rsidRPr="009359CE">
        <w:rPr>
          <w:i/>
          <w:iCs/>
        </w:rPr>
        <w:t xml:space="preserve"> za </w:t>
      </w:r>
      <w:r w:rsidR="00971FA5">
        <w:rPr>
          <w:i/>
          <w:iCs/>
        </w:rPr>
        <w:t xml:space="preserve">pozitivní </w:t>
      </w:r>
      <w:r w:rsidR="00ED2D15">
        <w:rPr>
          <w:i/>
          <w:iCs/>
        </w:rPr>
        <w:t xml:space="preserve">i přes </w:t>
      </w:r>
      <w:r w:rsidR="009359CE" w:rsidRPr="009359CE">
        <w:rPr>
          <w:i/>
          <w:iCs/>
        </w:rPr>
        <w:t>meziroční pokles ukazatele EBITDA. Tento pokles byl v</w:t>
      </w:r>
      <w:r w:rsidR="003057EA">
        <w:rPr>
          <w:i/>
          <w:iCs/>
        </w:rPr>
        <w:t xml:space="preserve"> převážné</w:t>
      </w:r>
      <w:r w:rsidR="009359CE" w:rsidRPr="009359CE">
        <w:rPr>
          <w:i/>
          <w:iCs/>
        </w:rPr>
        <w:t xml:space="preserve"> míře způsoben dvěma faktory. Prvním z nich byl obrat v cenách polymerů, </w:t>
      </w:r>
      <w:r w:rsidR="002044EC">
        <w:rPr>
          <w:i/>
          <w:iCs/>
        </w:rPr>
        <w:t xml:space="preserve">které </w:t>
      </w:r>
      <w:r w:rsidR="009359CE" w:rsidRPr="009359CE">
        <w:rPr>
          <w:i/>
          <w:iCs/>
        </w:rPr>
        <w:t xml:space="preserve">v průběhu druhého čtvrtletí vystoupaly na roční maxima a překonaly hodnoty z minulého roku. Pozitivní  přínos  mechanismu  přenesení  cen  vstupních  materiálů z </w:t>
      </w:r>
      <w:r w:rsidR="009359CE">
        <w:rPr>
          <w:i/>
          <w:iCs/>
        </w:rPr>
        <w:t>prvního</w:t>
      </w:r>
      <w:r w:rsidR="009359CE" w:rsidRPr="009359CE">
        <w:rPr>
          <w:i/>
          <w:iCs/>
        </w:rPr>
        <w:t xml:space="preserve"> čt</w:t>
      </w:r>
      <w:r w:rsidR="009E3F04">
        <w:rPr>
          <w:i/>
          <w:iCs/>
        </w:rPr>
        <w:t xml:space="preserve">vrtletí tak byl </w:t>
      </w:r>
      <w:r w:rsidR="00971FA5">
        <w:rPr>
          <w:i/>
          <w:iCs/>
        </w:rPr>
        <w:t xml:space="preserve">téměř </w:t>
      </w:r>
      <w:r w:rsidR="009E3F04">
        <w:rPr>
          <w:i/>
          <w:iCs/>
        </w:rPr>
        <w:t>eliminován</w:t>
      </w:r>
      <w:r w:rsidR="009359CE" w:rsidRPr="009359CE">
        <w:rPr>
          <w:i/>
          <w:iCs/>
        </w:rPr>
        <w:t>.</w:t>
      </w:r>
      <w:r w:rsidR="000F7DD2">
        <w:rPr>
          <w:i/>
          <w:iCs/>
        </w:rPr>
        <w:t xml:space="preserve"> Druhým faktorem, který negativně působil na EBITDA bylo přece</w:t>
      </w:r>
      <w:r w:rsidR="00BB5270">
        <w:rPr>
          <w:i/>
          <w:iCs/>
        </w:rPr>
        <w:t>nění opčního akciového programu v </w:t>
      </w:r>
      <w:r w:rsidR="000F7DD2">
        <w:rPr>
          <w:i/>
          <w:iCs/>
        </w:rPr>
        <w:t>důsledku</w:t>
      </w:r>
      <w:r w:rsidR="00BB5270">
        <w:rPr>
          <w:i/>
          <w:iCs/>
        </w:rPr>
        <w:t xml:space="preserve"> růstu cen akcií naší společnosti </w:t>
      </w:r>
      <w:r w:rsidR="003057EA">
        <w:rPr>
          <w:i/>
          <w:iCs/>
        </w:rPr>
        <w:t xml:space="preserve">v druhém čtvrtletí </w:t>
      </w:r>
      <w:r w:rsidR="00BB5270">
        <w:rPr>
          <w:i/>
          <w:iCs/>
        </w:rPr>
        <w:t>o přibližně 18 %</w:t>
      </w:r>
      <w:r w:rsidR="00971FA5">
        <w:rPr>
          <w:i/>
          <w:iCs/>
        </w:rPr>
        <w:t>.</w:t>
      </w:r>
      <w:r w:rsidR="00014BFE">
        <w:rPr>
          <w:i/>
          <w:iCs/>
        </w:rPr>
        <w:t xml:space="preserve"> </w:t>
      </w:r>
      <w:r w:rsidR="00B95DB8">
        <w:rPr>
          <w:i/>
          <w:iCs/>
        </w:rPr>
        <w:t>Nicméně věřím, že toto zhodnocení ud</w:t>
      </w:r>
      <w:r w:rsidR="003F2354">
        <w:rPr>
          <w:i/>
          <w:iCs/>
        </w:rPr>
        <w:t>ělalo našim akcionářům radost</w:t>
      </w:r>
      <w:r w:rsidR="00B95DB8">
        <w:rPr>
          <w:i/>
          <w:iCs/>
        </w:rPr>
        <w:t>.</w:t>
      </w:r>
    </w:p>
    <w:p w:rsidR="00014BFE" w:rsidRDefault="00ED2D15" w:rsidP="009359CE">
      <w:pPr>
        <w:pStyle w:val="NormalWeb"/>
        <w:jc w:val="both"/>
        <w:rPr>
          <w:i/>
          <w:iCs/>
        </w:rPr>
      </w:pPr>
      <w:r>
        <w:rPr>
          <w:i/>
          <w:iCs/>
        </w:rPr>
        <w:t xml:space="preserve">Z pozitivních vlivů </w:t>
      </w:r>
      <w:r w:rsidR="009E3F04">
        <w:rPr>
          <w:i/>
          <w:iCs/>
        </w:rPr>
        <w:t xml:space="preserve">bych rád vyzdvihnul zejména výrobu, která ve druhém čtvrtletí zaznamenala </w:t>
      </w:r>
      <w:r>
        <w:rPr>
          <w:i/>
          <w:iCs/>
        </w:rPr>
        <w:t xml:space="preserve">meziročně </w:t>
      </w:r>
      <w:r w:rsidR="009E3F04">
        <w:rPr>
          <w:i/>
          <w:iCs/>
        </w:rPr>
        <w:t xml:space="preserve">zvýšení o téměř 4 % a úspěšně tak navázala na nárůst z prvního čtvrtletí. </w:t>
      </w:r>
    </w:p>
    <w:p w:rsidR="003057EA" w:rsidRDefault="00B95DB8" w:rsidP="009359CE">
      <w:pPr>
        <w:pStyle w:val="NormalWeb"/>
        <w:jc w:val="both"/>
        <w:rPr>
          <w:i/>
          <w:iCs/>
        </w:rPr>
      </w:pPr>
      <w:r>
        <w:rPr>
          <w:i/>
          <w:iCs/>
        </w:rPr>
        <w:t xml:space="preserve">Za úspěch považuji i dokončení </w:t>
      </w:r>
      <w:r w:rsidR="00870EAC">
        <w:rPr>
          <w:i/>
          <w:iCs/>
        </w:rPr>
        <w:t>proces</w:t>
      </w:r>
      <w:r>
        <w:rPr>
          <w:i/>
          <w:iCs/>
        </w:rPr>
        <w:t>u</w:t>
      </w:r>
      <w:r w:rsidR="00870EAC">
        <w:rPr>
          <w:i/>
          <w:iCs/>
        </w:rPr>
        <w:t xml:space="preserve"> refinancování, v rámci něhož </w:t>
      </w:r>
      <w:r w:rsidR="00014BFE">
        <w:rPr>
          <w:i/>
          <w:iCs/>
        </w:rPr>
        <w:t xml:space="preserve">se nám podařilo získat dlouhodobé financování </w:t>
      </w:r>
      <w:r w:rsidR="00902A09">
        <w:rPr>
          <w:i/>
          <w:iCs/>
        </w:rPr>
        <w:t xml:space="preserve">s atraktivními parametry. V červenci jsme </w:t>
      </w:r>
      <w:r w:rsidR="00AA0C72">
        <w:rPr>
          <w:i/>
          <w:iCs/>
        </w:rPr>
        <w:t xml:space="preserve">realizovali </w:t>
      </w:r>
      <w:r w:rsidR="003F2354">
        <w:rPr>
          <w:i/>
          <w:iCs/>
        </w:rPr>
        <w:t xml:space="preserve">tři </w:t>
      </w:r>
      <w:r w:rsidR="00AA0C72">
        <w:rPr>
          <w:i/>
          <w:iCs/>
        </w:rPr>
        <w:t>emis</w:t>
      </w:r>
      <w:r w:rsidR="003F2354">
        <w:rPr>
          <w:i/>
          <w:iCs/>
        </w:rPr>
        <w:t>e</w:t>
      </w:r>
      <w:r w:rsidR="00AA0C72">
        <w:rPr>
          <w:i/>
          <w:iCs/>
        </w:rPr>
        <w:t xml:space="preserve"> </w:t>
      </w:r>
      <w:r w:rsidR="00014BFE">
        <w:rPr>
          <w:i/>
          <w:iCs/>
        </w:rPr>
        <w:t>soukrom</w:t>
      </w:r>
      <w:r w:rsidR="00AA0C72">
        <w:rPr>
          <w:i/>
          <w:iCs/>
        </w:rPr>
        <w:t>ých</w:t>
      </w:r>
      <w:r w:rsidR="00014BFE">
        <w:rPr>
          <w:i/>
          <w:iCs/>
        </w:rPr>
        <w:t xml:space="preserve"> </w:t>
      </w:r>
      <w:r w:rsidR="00870EAC">
        <w:rPr>
          <w:i/>
          <w:iCs/>
        </w:rPr>
        <w:t>dluhopi</w:t>
      </w:r>
      <w:r w:rsidR="00902A09">
        <w:rPr>
          <w:i/>
          <w:iCs/>
        </w:rPr>
        <w:t>s</w:t>
      </w:r>
      <w:r w:rsidR="00AA0C72">
        <w:rPr>
          <w:i/>
          <w:iCs/>
        </w:rPr>
        <w:t>ů</w:t>
      </w:r>
      <w:r w:rsidR="00014BFE">
        <w:rPr>
          <w:i/>
          <w:iCs/>
        </w:rPr>
        <w:t xml:space="preserve"> se splatností sedm a deset let</w:t>
      </w:r>
      <w:r w:rsidR="00902A09">
        <w:rPr>
          <w:i/>
          <w:iCs/>
        </w:rPr>
        <w:t>, jejichž v</w:t>
      </w:r>
      <w:r w:rsidR="00870EAC">
        <w:rPr>
          <w:i/>
          <w:iCs/>
        </w:rPr>
        <w:t xml:space="preserve">ýnos byl </w:t>
      </w:r>
      <w:r w:rsidR="00290B73">
        <w:rPr>
          <w:i/>
          <w:iCs/>
        </w:rPr>
        <w:t xml:space="preserve">použit na splacení </w:t>
      </w:r>
      <w:r w:rsidR="00870EAC">
        <w:rPr>
          <w:i/>
          <w:iCs/>
        </w:rPr>
        <w:t>bankovní</w:t>
      </w:r>
      <w:r w:rsidR="00290B73">
        <w:rPr>
          <w:i/>
          <w:iCs/>
        </w:rPr>
        <w:t>ch</w:t>
      </w:r>
      <w:r w:rsidR="00870EAC">
        <w:rPr>
          <w:i/>
          <w:iCs/>
        </w:rPr>
        <w:t xml:space="preserve"> půjč</w:t>
      </w:r>
      <w:r w:rsidR="00290B73">
        <w:rPr>
          <w:i/>
          <w:iCs/>
        </w:rPr>
        <w:t>e</w:t>
      </w:r>
      <w:r w:rsidR="00870EAC">
        <w:rPr>
          <w:i/>
          <w:iCs/>
        </w:rPr>
        <w:t xml:space="preserve">k. Zbylá část bude použita na </w:t>
      </w:r>
      <w:r w:rsidR="00971FA5">
        <w:rPr>
          <w:i/>
          <w:iCs/>
        </w:rPr>
        <w:t xml:space="preserve">další rozvoj společnosti, </w:t>
      </w:r>
      <w:r w:rsidR="004567B1">
        <w:rPr>
          <w:i/>
          <w:iCs/>
        </w:rPr>
        <w:t xml:space="preserve">realizaci </w:t>
      </w:r>
      <w:r w:rsidR="00870EAC">
        <w:rPr>
          <w:i/>
          <w:iCs/>
        </w:rPr>
        <w:t>programu zpětného</w:t>
      </w:r>
      <w:r w:rsidR="00870EAC" w:rsidRPr="00870EAC">
        <w:rPr>
          <w:i/>
          <w:iCs/>
        </w:rPr>
        <w:t xml:space="preserve"> odkup</w:t>
      </w:r>
      <w:r w:rsidR="00870EAC">
        <w:rPr>
          <w:i/>
          <w:iCs/>
        </w:rPr>
        <w:t>u</w:t>
      </w:r>
      <w:r w:rsidR="00870EAC" w:rsidRPr="00870EAC">
        <w:rPr>
          <w:i/>
          <w:iCs/>
        </w:rPr>
        <w:t xml:space="preserve"> vlastních akcií</w:t>
      </w:r>
      <w:r w:rsidR="00870EAC">
        <w:rPr>
          <w:i/>
          <w:iCs/>
        </w:rPr>
        <w:t xml:space="preserve">, </w:t>
      </w:r>
      <w:r w:rsidR="00971FA5">
        <w:rPr>
          <w:i/>
          <w:iCs/>
        </w:rPr>
        <w:t xml:space="preserve">popř. </w:t>
      </w:r>
      <w:r w:rsidR="00002A15">
        <w:rPr>
          <w:i/>
          <w:iCs/>
        </w:rPr>
        <w:t xml:space="preserve">na </w:t>
      </w:r>
      <w:r w:rsidR="00870EAC">
        <w:rPr>
          <w:i/>
          <w:iCs/>
        </w:rPr>
        <w:t xml:space="preserve">částečný </w:t>
      </w:r>
      <w:r w:rsidR="00870EAC" w:rsidRPr="00870EAC">
        <w:rPr>
          <w:i/>
          <w:iCs/>
        </w:rPr>
        <w:t xml:space="preserve">odkup dluhopisů se splatností </w:t>
      </w:r>
      <w:r w:rsidR="00002A15">
        <w:rPr>
          <w:i/>
          <w:iCs/>
        </w:rPr>
        <w:t xml:space="preserve">v listopadu </w:t>
      </w:r>
      <w:r w:rsidR="00870EAC">
        <w:rPr>
          <w:i/>
          <w:iCs/>
        </w:rPr>
        <w:t>2018</w:t>
      </w:r>
      <w:r w:rsidR="00002A15">
        <w:rPr>
          <w:i/>
          <w:iCs/>
        </w:rPr>
        <w:t>.</w:t>
      </w:r>
      <w:r w:rsidR="00870EAC" w:rsidRPr="00870EAC">
        <w:rPr>
          <w:i/>
          <w:iCs/>
        </w:rPr>
        <w:t xml:space="preserve"> </w:t>
      </w:r>
    </w:p>
    <w:p w:rsidR="00114722" w:rsidRPr="007A542A" w:rsidRDefault="00B07863" w:rsidP="00FE68BF">
      <w:pPr>
        <w:pStyle w:val="NormalWeb"/>
        <w:jc w:val="both"/>
        <w:rPr>
          <w:i/>
          <w:iCs/>
        </w:rPr>
      </w:pPr>
      <w:r>
        <w:rPr>
          <w:i/>
          <w:iCs/>
        </w:rPr>
        <w:t>Pevně věřím, že naše akcionáře</w:t>
      </w:r>
      <w:r w:rsidR="00014BFE">
        <w:rPr>
          <w:i/>
          <w:iCs/>
        </w:rPr>
        <w:t xml:space="preserve"> potěšilo kromě </w:t>
      </w:r>
      <w:r>
        <w:rPr>
          <w:i/>
          <w:iCs/>
        </w:rPr>
        <w:t xml:space="preserve">již zmíněného </w:t>
      </w:r>
      <w:r w:rsidR="007B3684">
        <w:rPr>
          <w:i/>
          <w:iCs/>
        </w:rPr>
        <w:t xml:space="preserve">růstu </w:t>
      </w:r>
      <w:r w:rsidR="00014BFE">
        <w:rPr>
          <w:i/>
          <w:iCs/>
        </w:rPr>
        <w:t xml:space="preserve">cen akcií </w:t>
      </w:r>
      <w:r w:rsidR="0063471B">
        <w:rPr>
          <w:i/>
          <w:iCs/>
        </w:rPr>
        <w:t xml:space="preserve">i schválení </w:t>
      </w:r>
      <w:r w:rsidR="008D3FC4">
        <w:rPr>
          <w:i/>
          <w:iCs/>
        </w:rPr>
        <w:t>dividend</w:t>
      </w:r>
      <w:r w:rsidR="0063471B">
        <w:rPr>
          <w:i/>
          <w:iCs/>
        </w:rPr>
        <w:t>y</w:t>
      </w:r>
      <w:r w:rsidR="008D3FC4">
        <w:rPr>
          <w:i/>
          <w:iCs/>
        </w:rPr>
        <w:t xml:space="preserve"> </w:t>
      </w:r>
      <w:r w:rsidR="0063471B">
        <w:rPr>
          <w:i/>
          <w:iCs/>
        </w:rPr>
        <w:t xml:space="preserve">valnou hromadou </w:t>
      </w:r>
      <w:r w:rsidR="008D3FC4">
        <w:rPr>
          <w:i/>
          <w:iCs/>
        </w:rPr>
        <w:t>ve výši 1,15 EUR na akcii</w:t>
      </w:r>
      <w:r w:rsidR="003F2354">
        <w:rPr>
          <w:i/>
          <w:iCs/>
        </w:rPr>
        <w:t>, kterou obdrží v říjnu</w:t>
      </w:r>
      <w:r w:rsidR="008D3FC4">
        <w:rPr>
          <w:i/>
          <w:iCs/>
        </w:rPr>
        <w:t>.</w:t>
      </w:r>
      <w:r w:rsidR="00114722" w:rsidRPr="007A542A">
        <w:rPr>
          <w:i/>
          <w:iCs/>
        </w:rPr>
        <w:t xml:space="preserve">“ </w:t>
      </w:r>
    </w:p>
    <w:p w:rsidR="00CF4152" w:rsidRPr="007A542A" w:rsidRDefault="00CF4152" w:rsidP="00FE68BF">
      <w:pPr>
        <w:pStyle w:val="NormalWeb"/>
        <w:jc w:val="both"/>
        <w:rPr>
          <w:b/>
        </w:rPr>
      </w:pPr>
      <w:r w:rsidRPr="007A542A">
        <w:rPr>
          <w:b/>
        </w:rPr>
        <w:t>Potvrzení</w:t>
      </w:r>
      <w:r w:rsidR="007C4E69" w:rsidRPr="007A542A">
        <w:rPr>
          <w:b/>
        </w:rPr>
        <w:t xml:space="preserve"> výhledu hospodaření na rok 201</w:t>
      </w:r>
      <w:r w:rsidR="00CB77A0">
        <w:rPr>
          <w:b/>
        </w:rPr>
        <w:t>5</w:t>
      </w:r>
    </w:p>
    <w:p w:rsidR="00411342" w:rsidRDefault="00411342" w:rsidP="00411342">
      <w:pPr>
        <w:pStyle w:val="NormalWeb"/>
        <w:jc w:val="both"/>
      </w:pPr>
      <w:r>
        <w:t xml:space="preserve">V prvním pololetí roku 2015 Společnost dosáhla hospodářských výsledků, jež jsou v souladu s jejím očekáváním a se zveřejněným výhledem na celý rok 2015. </w:t>
      </w:r>
    </w:p>
    <w:p w:rsidR="00411342" w:rsidRDefault="00411342" w:rsidP="00411342">
      <w:pPr>
        <w:pStyle w:val="NormalWeb"/>
        <w:jc w:val="both"/>
      </w:pPr>
      <w:r>
        <w:t>Na základě dosažených výsledků za první pololetí 2015 a s ohledem na vývoj na evropském trhu netkaných textilií včetně očekávaného vývoje na trhu s polymery potvrzuje Společnost svůj předchozí výhled na rok 2015 a očekává, že ukazatel EBITDA v tomto roce vzroste na hodnotu v rozmezí 44,0 až 48,5 milionu EUR.</w:t>
      </w:r>
    </w:p>
    <w:p w:rsidR="00EF4F0F" w:rsidRPr="007A542A" w:rsidRDefault="00411342" w:rsidP="00411342">
      <w:pPr>
        <w:pStyle w:val="NormalWeb"/>
        <w:jc w:val="both"/>
      </w:pPr>
      <w:r>
        <w:t>Společnost plánuje, že celkové investiční výdaje v roce 2015 nepřesáhnou úroveň 10 milionů EUR.</w:t>
      </w:r>
      <w:r w:rsidR="00784F4C" w:rsidRPr="007A542A">
        <w:t xml:space="preserve"> </w:t>
      </w:r>
    </w:p>
    <w:p w:rsidR="007C4E69" w:rsidRPr="007A542A" w:rsidRDefault="007C4E69" w:rsidP="007C4E69">
      <w:pPr>
        <w:pStyle w:val="NormalWeb"/>
        <w:jc w:val="both"/>
      </w:pPr>
    </w:p>
    <w:p w:rsidR="002508E3" w:rsidRPr="007A542A" w:rsidRDefault="002508E3">
      <w:pPr>
        <w:rPr>
          <w:i/>
          <w:iCs/>
        </w:rPr>
        <w:sectPr w:rsidR="002508E3" w:rsidRPr="007A542A" w:rsidSect="00B520ED">
          <w:pgSz w:w="11906" w:h="16838"/>
          <w:pgMar w:top="1417" w:right="1417" w:bottom="1417" w:left="1417" w:header="708" w:footer="708" w:gutter="0"/>
          <w:cols w:space="708"/>
          <w:docGrid w:linePitch="360"/>
        </w:sectPr>
      </w:pPr>
    </w:p>
    <w:p w:rsidR="00A72029" w:rsidRPr="007A542A" w:rsidRDefault="00871A75" w:rsidP="006A5A00">
      <w:pPr>
        <w:pStyle w:val="Heading1"/>
        <w:tabs>
          <w:tab w:val="num" w:pos="360"/>
        </w:tabs>
        <w:ind w:hanging="7092"/>
        <w:rPr>
          <w:rFonts w:ascii="Times New Roman" w:hAnsi="Times New Roman" w:cs="Times New Roman"/>
        </w:rPr>
      </w:pPr>
      <w:bookmarkStart w:id="10" w:name="_Toc269907486"/>
      <w:bookmarkStart w:id="11" w:name="_Toc427918109"/>
      <w:r w:rsidRPr="007A542A">
        <w:rPr>
          <w:rFonts w:ascii="Times New Roman" w:hAnsi="Times New Roman" w:cs="Times New Roman"/>
        </w:rPr>
        <w:lastRenderedPageBreak/>
        <w:t>Mezitímní</w:t>
      </w:r>
      <w:r w:rsidR="005F25E4" w:rsidRPr="007A542A">
        <w:rPr>
          <w:rFonts w:ascii="Times New Roman" w:hAnsi="Times New Roman" w:cs="Times New Roman"/>
        </w:rPr>
        <w:t xml:space="preserve"> z</w:t>
      </w:r>
      <w:r w:rsidR="00A72029" w:rsidRPr="007A542A">
        <w:rPr>
          <w:rFonts w:ascii="Times New Roman" w:hAnsi="Times New Roman" w:cs="Times New Roman"/>
        </w:rPr>
        <w:t>práva o podnikání za první pololetí 20</w:t>
      </w:r>
      <w:r w:rsidR="007849CF" w:rsidRPr="007A542A">
        <w:rPr>
          <w:rFonts w:ascii="Times New Roman" w:hAnsi="Times New Roman" w:cs="Times New Roman"/>
        </w:rPr>
        <w:t>1</w:t>
      </w:r>
      <w:bookmarkEnd w:id="10"/>
      <w:r w:rsidR="00411342">
        <w:rPr>
          <w:rFonts w:ascii="Times New Roman" w:hAnsi="Times New Roman" w:cs="Times New Roman"/>
        </w:rPr>
        <w:t>5</w:t>
      </w:r>
      <w:bookmarkEnd w:id="11"/>
    </w:p>
    <w:p w:rsidR="007C64FB" w:rsidRPr="007A542A" w:rsidRDefault="00E126DD" w:rsidP="00DA1531">
      <w:pPr>
        <w:pStyle w:val="Heading2"/>
      </w:pPr>
      <w:bookmarkStart w:id="12" w:name="_Toc269907487"/>
      <w:bookmarkStart w:id="13" w:name="_Toc427918110"/>
      <w:r w:rsidRPr="007A542A">
        <w:t>Finanční výsledky za první pololetí 20</w:t>
      </w:r>
      <w:r w:rsidR="007849CF" w:rsidRPr="007A542A">
        <w:t>1</w:t>
      </w:r>
      <w:bookmarkEnd w:id="12"/>
      <w:r w:rsidR="00EE2FD0">
        <w:t>5</w:t>
      </w:r>
      <w:bookmarkEnd w:id="13"/>
    </w:p>
    <w:p w:rsidR="00EF4ECD" w:rsidRPr="00745DFA" w:rsidRDefault="00EF4ECD" w:rsidP="00EF4ECD">
      <w:pPr>
        <w:pStyle w:val="NormalWeb"/>
        <w:jc w:val="both"/>
        <w:rPr>
          <w:b/>
        </w:rPr>
      </w:pPr>
      <w:r w:rsidRPr="00745DFA">
        <w:rPr>
          <w:b/>
        </w:rPr>
        <w:t>Výnosy, náklady a EBITDA</w:t>
      </w:r>
    </w:p>
    <w:p w:rsidR="00194F97" w:rsidRPr="004F112E" w:rsidRDefault="00EF4ECD" w:rsidP="00D56DAA">
      <w:pPr>
        <w:pStyle w:val="NormalWeb"/>
        <w:jc w:val="both"/>
      </w:pPr>
      <w:r w:rsidRPr="004F112E">
        <w:t xml:space="preserve">V první polovině </w:t>
      </w:r>
      <w:r w:rsidR="00A8307B" w:rsidRPr="004F112E">
        <w:t xml:space="preserve">roku </w:t>
      </w:r>
      <w:r w:rsidR="0025161E" w:rsidRPr="004F112E">
        <w:t>201</w:t>
      </w:r>
      <w:r w:rsidR="00EA6AA7" w:rsidRPr="004F112E">
        <w:t>5</w:t>
      </w:r>
      <w:r w:rsidR="0025161E" w:rsidRPr="004F112E">
        <w:t xml:space="preserve"> </w:t>
      </w:r>
      <w:r w:rsidR="0066376C" w:rsidRPr="004F112E">
        <w:t xml:space="preserve">dosáhly </w:t>
      </w:r>
      <w:r w:rsidRPr="004F112E">
        <w:t xml:space="preserve">konsolidované výnosy (tržby z prodeje vlastních výrobků) </w:t>
      </w:r>
      <w:r w:rsidR="0054704C" w:rsidRPr="004F112E">
        <w:t>11</w:t>
      </w:r>
      <w:r w:rsidR="00541DBF" w:rsidRPr="004F112E">
        <w:t>1,</w:t>
      </w:r>
      <w:r w:rsidR="000954BC">
        <w:t>7</w:t>
      </w:r>
      <w:r w:rsidRPr="004F112E">
        <w:t xml:space="preserve"> milion</w:t>
      </w:r>
      <w:r w:rsidR="0068261A" w:rsidRPr="004F112E">
        <w:t>u</w:t>
      </w:r>
      <w:r w:rsidRPr="004F112E">
        <w:t xml:space="preserve"> </w:t>
      </w:r>
      <w:r w:rsidR="0066376C" w:rsidRPr="004F112E">
        <w:t>EUR</w:t>
      </w:r>
      <w:r w:rsidRPr="004F112E">
        <w:t xml:space="preserve">, </w:t>
      </w:r>
      <w:r w:rsidR="00A8307B" w:rsidRPr="004F112E">
        <w:t xml:space="preserve">což představuje meziroční </w:t>
      </w:r>
      <w:r w:rsidR="0025161E" w:rsidRPr="004F112E">
        <w:t xml:space="preserve">nárůst </w:t>
      </w:r>
      <w:r w:rsidR="00A8307B" w:rsidRPr="004F112E">
        <w:t>o</w:t>
      </w:r>
      <w:r w:rsidRPr="004F112E">
        <w:t xml:space="preserve"> </w:t>
      </w:r>
      <w:r w:rsidR="00EA6AA7" w:rsidRPr="004F112E">
        <w:t>0</w:t>
      </w:r>
      <w:r w:rsidR="00541DBF" w:rsidRPr="004F112E">
        <w:t>,</w:t>
      </w:r>
      <w:r w:rsidR="008C0748">
        <w:t>2</w:t>
      </w:r>
      <w:r w:rsidRPr="004F112E">
        <w:t xml:space="preserve"> %. </w:t>
      </w:r>
      <w:r w:rsidR="00D56DAA" w:rsidRPr="004F112E">
        <w:t>Celkové konsolidované výnosy dosáhly ve druhém čtvrtletí tohoto roku 5</w:t>
      </w:r>
      <w:r w:rsidR="000954BC">
        <w:t>1</w:t>
      </w:r>
      <w:r w:rsidR="00D56DAA" w:rsidRPr="004F112E">
        <w:t>,</w:t>
      </w:r>
      <w:r w:rsidR="000954BC">
        <w:t>1</w:t>
      </w:r>
      <w:r w:rsidR="00D56DAA" w:rsidRPr="004F112E">
        <w:t xml:space="preserve"> milionu EUR, tj. o </w:t>
      </w:r>
      <w:r w:rsidR="00EA6AA7" w:rsidRPr="004F112E">
        <w:t>2</w:t>
      </w:r>
      <w:r w:rsidR="00541DBF" w:rsidRPr="004F112E">
        <w:t>,</w:t>
      </w:r>
      <w:r w:rsidR="008C0748">
        <w:t>8</w:t>
      </w:r>
      <w:r w:rsidR="00D56DAA" w:rsidRPr="004F112E">
        <w:t xml:space="preserve"> % </w:t>
      </w:r>
      <w:r w:rsidR="00EA6AA7" w:rsidRPr="004F112E">
        <w:t xml:space="preserve">méně </w:t>
      </w:r>
      <w:r w:rsidR="00D56DAA" w:rsidRPr="004F112E">
        <w:t xml:space="preserve">ve srovnání se stejným obdobím minulého roku. </w:t>
      </w:r>
      <w:r w:rsidR="00CA5C2C" w:rsidRPr="004F112E">
        <w:t>Z</w:t>
      </w:r>
      <w:r w:rsidR="00001057" w:rsidRPr="004F112E">
        <w:t xml:space="preserve">měna cen polymerů měla na </w:t>
      </w:r>
      <w:r w:rsidR="00CA5C2C" w:rsidRPr="004F112E">
        <w:t>meziroční srovnání</w:t>
      </w:r>
      <w:r w:rsidR="00194F97" w:rsidRPr="004F112E">
        <w:t xml:space="preserve"> </w:t>
      </w:r>
      <w:r w:rsidR="00717C87" w:rsidRPr="004F112E">
        <w:t xml:space="preserve">negativní </w:t>
      </w:r>
      <w:r w:rsidR="00CA5C2C" w:rsidRPr="004F112E">
        <w:t>vliv</w:t>
      </w:r>
      <w:r w:rsidR="00717C87" w:rsidRPr="004F112E">
        <w:t xml:space="preserve">, který byl kompenzován vyššími objemy prodejů. </w:t>
      </w:r>
      <w:r w:rsidR="00127C80">
        <w:t xml:space="preserve">Pokles tržeb v </w:t>
      </w:r>
      <w:r w:rsidR="00717C87" w:rsidRPr="00A9456D">
        <w:t>porovnání s</w:t>
      </w:r>
      <w:r w:rsidR="004F112E" w:rsidRPr="00A9456D">
        <w:t xml:space="preserve"> prvním </w:t>
      </w:r>
      <w:r w:rsidR="00E82531" w:rsidRPr="00A9456D">
        <w:t>č</w:t>
      </w:r>
      <w:r w:rsidR="00717C87" w:rsidRPr="00A9456D">
        <w:t xml:space="preserve">tvrtletím </w:t>
      </w:r>
      <w:r w:rsidR="00127C80">
        <w:t xml:space="preserve">2015 </w:t>
      </w:r>
      <w:r w:rsidR="00557929">
        <w:t xml:space="preserve">byl dán </w:t>
      </w:r>
      <w:r w:rsidR="004F112E" w:rsidRPr="00A9456D">
        <w:t xml:space="preserve">vývojem cen polymerů, které </w:t>
      </w:r>
      <w:r w:rsidR="00557929">
        <w:t>se do tržeb promítají se zpožděním</w:t>
      </w:r>
      <w:r w:rsidR="005B5EF7">
        <w:t>. Tržby za druhé čtvrtletí tak byly ve značné míře založeny na cenách polymerů převažujících v prvním čtvrtletí, kdy ceny dosahovaly minimálních hodnot. Následný r</w:t>
      </w:r>
      <w:r w:rsidR="004F112E" w:rsidRPr="00A9456D">
        <w:t xml:space="preserve">ůst </w:t>
      </w:r>
      <w:r w:rsidR="005B5EF7">
        <w:t>cen polymerů se</w:t>
      </w:r>
      <w:r w:rsidR="004F112E" w:rsidRPr="00A9456D">
        <w:t xml:space="preserve"> vzhledem ke zpoždění do tržeb promítn</w:t>
      </w:r>
      <w:r w:rsidR="005B5EF7">
        <w:t>e</w:t>
      </w:r>
      <w:r w:rsidR="004F112E" w:rsidRPr="00A9456D">
        <w:t xml:space="preserve"> až ve </w:t>
      </w:r>
      <w:r w:rsidR="00097737">
        <w:t xml:space="preserve">třetím </w:t>
      </w:r>
      <w:r w:rsidR="004F112E" w:rsidRPr="00A9456D">
        <w:t>čtvrtletí.</w:t>
      </w:r>
    </w:p>
    <w:p w:rsidR="00D56DAA" w:rsidRPr="002B45A6" w:rsidRDefault="00F1380E" w:rsidP="00EF4ECD">
      <w:pPr>
        <w:pStyle w:val="NormalWeb"/>
        <w:jc w:val="both"/>
      </w:pPr>
      <w:r w:rsidRPr="002B45A6">
        <w:t xml:space="preserve">Celkové konsolidované provozní náklady bez odpisů </w:t>
      </w:r>
      <w:r w:rsidR="00517AE4" w:rsidRPr="002B45A6">
        <w:t xml:space="preserve">(netto) </w:t>
      </w:r>
      <w:r w:rsidR="003A1CC1" w:rsidRPr="002B45A6">
        <w:t>v první</w:t>
      </w:r>
      <w:r w:rsidR="00E63129" w:rsidRPr="002B45A6">
        <w:t>m</w:t>
      </w:r>
      <w:r w:rsidR="003A1CC1" w:rsidRPr="002B45A6">
        <w:t xml:space="preserve"> pololetí roku </w:t>
      </w:r>
      <w:r w:rsidR="00CA5C2C" w:rsidRPr="002B45A6">
        <w:t>201</w:t>
      </w:r>
      <w:r w:rsidR="002B45A6">
        <w:t>5</w:t>
      </w:r>
      <w:r w:rsidR="00CF4152" w:rsidRPr="002B45A6">
        <w:t xml:space="preserve"> </w:t>
      </w:r>
      <w:r w:rsidRPr="002B45A6">
        <w:t xml:space="preserve">meziročně </w:t>
      </w:r>
      <w:r w:rsidR="00745DFA">
        <w:t>vzrostly</w:t>
      </w:r>
      <w:r w:rsidR="002B45A6">
        <w:t xml:space="preserve"> </w:t>
      </w:r>
      <w:r w:rsidRPr="002B45A6">
        <w:t xml:space="preserve">o </w:t>
      </w:r>
      <w:r w:rsidR="008C0748">
        <w:t>0</w:t>
      </w:r>
      <w:r w:rsidR="00672338" w:rsidRPr="002B45A6">
        <w:t>,</w:t>
      </w:r>
      <w:r w:rsidR="008C0748">
        <w:t>9</w:t>
      </w:r>
      <w:r w:rsidR="00672338" w:rsidRPr="002B45A6">
        <w:t xml:space="preserve"> </w:t>
      </w:r>
      <w:r w:rsidRPr="002B45A6">
        <w:t xml:space="preserve">% na </w:t>
      </w:r>
      <w:r w:rsidR="00302ED2" w:rsidRPr="002B45A6">
        <w:t xml:space="preserve">částku </w:t>
      </w:r>
      <w:r w:rsidR="002B45A6">
        <w:t>90</w:t>
      </w:r>
      <w:r w:rsidR="00541DBF" w:rsidRPr="002B45A6">
        <w:t>,</w:t>
      </w:r>
      <w:r w:rsidR="00834CBA">
        <w:t>1</w:t>
      </w:r>
      <w:r w:rsidR="00CC2EF9" w:rsidRPr="002B45A6">
        <w:t xml:space="preserve"> milion</w:t>
      </w:r>
      <w:r w:rsidR="00B94F1E" w:rsidRPr="002B45A6">
        <w:t>u</w:t>
      </w:r>
      <w:r w:rsidRPr="002B45A6">
        <w:t xml:space="preserve"> </w:t>
      </w:r>
      <w:r w:rsidR="0066376C" w:rsidRPr="002B45A6">
        <w:t>EUR</w:t>
      </w:r>
      <w:r w:rsidR="0077240C" w:rsidRPr="002B45A6">
        <w:t xml:space="preserve">. </w:t>
      </w:r>
      <w:r w:rsidR="00D56DAA" w:rsidRPr="002B45A6">
        <w:t>V samotném druhém čtvrtletí roku 201</w:t>
      </w:r>
      <w:r w:rsidR="002B45A6">
        <w:t>5</w:t>
      </w:r>
      <w:r w:rsidR="00D56DAA" w:rsidRPr="002B45A6">
        <w:t xml:space="preserve"> konsolidované provozní náklad</w:t>
      </w:r>
      <w:r w:rsidR="000836B9" w:rsidRPr="002B45A6">
        <w:t xml:space="preserve">y bez odpisů (netto) činily </w:t>
      </w:r>
      <w:r w:rsidR="00541DBF" w:rsidRPr="002B45A6">
        <w:t>42,</w:t>
      </w:r>
      <w:r w:rsidR="00834CBA">
        <w:t>2</w:t>
      </w:r>
      <w:r w:rsidR="00D56DAA" w:rsidRPr="002B45A6">
        <w:t xml:space="preserve"> milionu EUR, což je o </w:t>
      </w:r>
      <w:r w:rsidR="002B45A6">
        <w:t>1</w:t>
      </w:r>
      <w:r w:rsidR="00D56DAA" w:rsidRPr="002B45A6">
        <w:t>,</w:t>
      </w:r>
      <w:r w:rsidR="00834CBA">
        <w:t>2</w:t>
      </w:r>
      <w:r w:rsidR="00D56DAA" w:rsidRPr="002B45A6">
        <w:t xml:space="preserve"> % meziročně </w:t>
      </w:r>
      <w:r w:rsidR="002B45A6">
        <w:t>méně</w:t>
      </w:r>
      <w:r w:rsidR="00D56DAA" w:rsidRPr="002B45A6">
        <w:t xml:space="preserve">. </w:t>
      </w:r>
    </w:p>
    <w:p w:rsidR="009877AF" w:rsidRDefault="0077240C" w:rsidP="000C7BF6">
      <w:pPr>
        <w:pStyle w:val="NormalWeb"/>
        <w:jc w:val="both"/>
      </w:pPr>
      <w:r w:rsidRPr="006C3943">
        <w:t xml:space="preserve">EBITDA dosáhla </w:t>
      </w:r>
      <w:r w:rsidR="00CC2EF9" w:rsidRPr="006C3943">
        <w:t xml:space="preserve">v prvním pololetí </w:t>
      </w:r>
      <w:r w:rsidR="00E63129" w:rsidRPr="006C3943">
        <w:t xml:space="preserve">roku </w:t>
      </w:r>
      <w:r w:rsidR="00B94F1E" w:rsidRPr="006C3943">
        <w:t>201</w:t>
      </w:r>
      <w:r w:rsidR="004F112E" w:rsidRPr="006C3943">
        <w:t>5</w:t>
      </w:r>
      <w:r w:rsidR="00304CE1" w:rsidRPr="006C3943">
        <w:t xml:space="preserve"> </w:t>
      </w:r>
      <w:r w:rsidR="00236FFC" w:rsidRPr="006C3943">
        <w:t xml:space="preserve">hodnoty </w:t>
      </w:r>
      <w:r w:rsidR="00125DBA" w:rsidRPr="006C3943">
        <w:t>2</w:t>
      </w:r>
      <w:r w:rsidR="004F112E" w:rsidRPr="006C3943">
        <w:t>1</w:t>
      </w:r>
      <w:r w:rsidR="00D64841" w:rsidRPr="006C3943">
        <w:t>,</w:t>
      </w:r>
      <w:r w:rsidR="00834CBA">
        <w:t>6</w:t>
      </w:r>
      <w:r w:rsidR="00F1380E" w:rsidRPr="006C3943">
        <w:t xml:space="preserve"> </w:t>
      </w:r>
      <w:r w:rsidR="0068261A" w:rsidRPr="006C3943">
        <w:t>milionu</w:t>
      </w:r>
      <w:r w:rsidR="00F1380E" w:rsidRPr="006C3943">
        <w:t xml:space="preserve"> </w:t>
      </w:r>
      <w:r w:rsidR="0066376C" w:rsidRPr="006C3943">
        <w:t>EUR</w:t>
      </w:r>
      <w:r w:rsidR="006F7E78" w:rsidRPr="006C3943">
        <w:t xml:space="preserve">, meziročně o </w:t>
      </w:r>
      <w:r w:rsidR="004F112E" w:rsidRPr="006C3943">
        <w:t>2</w:t>
      </w:r>
      <w:r w:rsidR="00D64841" w:rsidRPr="006C3943">
        <w:t>,</w:t>
      </w:r>
      <w:r w:rsidR="00834CBA">
        <w:t>6</w:t>
      </w:r>
      <w:r w:rsidR="00D64841" w:rsidRPr="006C3943">
        <w:t xml:space="preserve"> </w:t>
      </w:r>
      <w:r w:rsidR="006F7E78" w:rsidRPr="006C3943">
        <w:t>%</w:t>
      </w:r>
      <w:r w:rsidR="001F33FB" w:rsidRPr="006C3943">
        <w:t xml:space="preserve"> </w:t>
      </w:r>
      <w:r w:rsidR="004F112E" w:rsidRPr="006C3943">
        <w:t>méně</w:t>
      </w:r>
      <w:r w:rsidR="006F7E78" w:rsidRPr="006C3943">
        <w:t>.</w:t>
      </w:r>
      <w:r w:rsidR="00FD496E">
        <w:t xml:space="preserve"> Meziroční pokles ukazatele EBITDA byl do značné míry způsoben zejména přeceněním opčního akciového </w:t>
      </w:r>
      <w:r w:rsidR="00FD496E" w:rsidRPr="006254C0">
        <w:t>plánu</w:t>
      </w:r>
      <w:r w:rsidR="00097737">
        <w:t xml:space="preserve"> </w:t>
      </w:r>
      <w:r w:rsidR="00A754F9">
        <w:t>ve výši 2</w:t>
      </w:r>
      <w:r w:rsidR="00097737">
        <w:t>,</w:t>
      </w:r>
      <w:r w:rsidR="00A754F9">
        <w:t>5 milionu EUR</w:t>
      </w:r>
      <w:r w:rsidR="00FD496E" w:rsidRPr="006254C0">
        <w:t>.</w:t>
      </w:r>
      <w:r w:rsidR="00E40D83">
        <w:t xml:space="preserve"> V prvním pololet</w:t>
      </w:r>
      <w:r w:rsidR="00DA10D5">
        <w:t>í</w:t>
      </w:r>
      <w:r w:rsidR="00E40D83">
        <w:t xml:space="preserve"> roku 2014 byl vliv přecenění opčního akciového plánu na ukazatel EBITDA </w:t>
      </w:r>
      <w:r w:rsidR="00DA10D5">
        <w:t xml:space="preserve">rovněž </w:t>
      </w:r>
      <w:r w:rsidR="00E40D83">
        <w:t xml:space="preserve">negativní </w:t>
      </w:r>
      <w:r w:rsidR="00DA10D5">
        <w:t xml:space="preserve">ale pouze </w:t>
      </w:r>
      <w:r w:rsidR="00E40D83">
        <w:t>ve výši 43 tisíc EUR.</w:t>
      </w:r>
      <w:r w:rsidR="00FD496E">
        <w:t xml:space="preserve"> EBITDA </w:t>
      </w:r>
      <w:r w:rsidR="0030132C">
        <w:t xml:space="preserve">upravená </w:t>
      </w:r>
      <w:r w:rsidR="00FD496E">
        <w:t xml:space="preserve">o </w:t>
      </w:r>
      <w:r w:rsidR="00E40D83">
        <w:t xml:space="preserve">tento vliv tak </w:t>
      </w:r>
      <w:r w:rsidR="00FD496E">
        <w:t>meziročně vzrostla o 8,7 % na hodnotu 24,1 milionu EUR.</w:t>
      </w:r>
      <w:r w:rsidR="00E40D83">
        <w:t xml:space="preserve"> Z ostatních vlivů působil </w:t>
      </w:r>
      <w:r w:rsidR="006254C0">
        <w:t xml:space="preserve">na meziroční vývoj </w:t>
      </w:r>
      <w:r w:rsidR="00E40D83">
        <w:t xml:space="preserve">ukazatele EBITDA pozitivně </w:t>
      </w:r>
      <w:r w:rsidR="006254C0">
        <w:t xml:space="preserve">nárůst </w:t>
      </w:r>
      <w:r w:rsidR="00E40D83">
        <w:t xml:space="preserve">produkce </w:t>
      </w:r>
      <w:r w:rsidR="006254C0">
        <w:t>o téměř 5%</w:t>
      </w:r>
      <w:r w:rsidR="00DA10D5">
        <w:t>, s čímž souvisel</w:t>
      </w:r>
      <w:r w:rsidR="00E40D83">
        <w:t xml:space="preserve"> i nárůst objemu prodejů</w:t>
      </w:r>
      <w:r w:rsidR="006254C0">
        <w:t xml:space="preserve">. </w:t>
      </w:r>
      <w:r w:rsidR="006254C0" w:rsidRPr="006254C0">
        <w:t xml:space="preserve">Vliv mechanismu přenesení cen vstupních materiálů byl v meziročním srovnání </w:t>
      </w:r>
      <w:r w:rsidR="006254C0" w:rsidRPr="00A9456D">
        <w:t>negativní</w:t>
      </w:r>
      <w:r w:rsidR="006254C0" w:rsidRPr="006254C0">
        <w:t xml:space="preserve">. </w:t>
      </w:r>
    </w:p>
    <w:p w:rsidR="009877AF" w:rsidRDefault="009877AF" w:rsidP="000C7BF6">
      <w:pPr>
        <w:pStyle w:val="NormalWeb"/>
        <w:jc w:val="both"/>
      </w:pPr>
      <w:r w:rsidRPr="002B45A6">
        <w:t>EBITDA marže dosáhla v prvním pololetí roku 2015 19,3 %, tj. o 0,6 procentního bodu méně než ve stejném období roku 2014.</w:t>
      </w:r>
      <w:r>
        <w:t xml:space="preserve"> EBITDA marže </w:t>
      </w:r>
      <w:r w:rsidR="0030132C">
        <w:t xml:space="preserve">upravená </w:t>
      </w:r>
      <w:r>
        <w:t>o vliv přecenění opčního akciového plánu dosáhla v prvním pololetí roku 2015 21,6 %, tj. o 1,7 procentního bodu více než ve stejném období roku 2014.</w:t>
      </w:r>
    </w:p>
    <w:p w:rsidR="00A11CFF" w:rsidRPr="00411342" w:rsidRDefault="00A11CFF" w:rsidP="00A11CFF">
      <w:pPr>
        <w:pStyle w:val="NormalWeb"/>
        <w:jc w:val="both"/>
        <w:rPr>
          <w:highlight w:val="yellow"/>
        </w:rPr>
      </w:pPr>
      <w:r w:rsidRPr="006254C0" w:rsidDel="007D31AF">
        <w:t>EBITDA v druhém čtvrtl</w:t>
      </w:r>
      <w:r w:rsidRPr="006254C0">
        <w:t>etí roku 201</w:t>
      </w:r>
      <w:r w:rsidR="006254C0">
        <w:t>5</w:t>
      </w:r>
      <w:r w:rsidRPr="006254C0" w:rsidDel="007D31AF">
        <w:t xml:space="preserve"> činila </w:t>
      </w:r>
      <w:r w:rsidR="006254C0">
        <w:t>8</w:t>
      </w:r>
      <w:r w:rsidRPr="006254C0">
        <w:t>,</w:t>
      </w:r>
      <w:r w:rsidR="00703FC6" w:rsidRPr="006254C0">
        <w:t>9</w:t>
      </w:r>
      <w:r w:rsidRPr="006254C0">
        <w:t xml:space="preserve"> milionu</w:t>
      </w:r>
      <w:r w:rsidRPr="006254C0" w:rsidDel="007D31AF">
        <w:t xml:space="preserve"> EUR, tj. o </w:t>
      </w:r>
      <w:r w:rsidR="006254C0">
        <w:t>9</w:t>
      </w:r>
      <w:r w:rsidR="00703FC6" w:rsidRPr="006254C0">
        <w:t>,</w:t>
      </w:r>
      <w:r w:rsidR="00E40D83">
        <w:t>6</w:t>
      </w:r>
      <w:r w:rsidRPr="006254C0" w:rsidDel="007D31AF">
        <w:t xml:space="preserve"> % meziročně </w:t>
      </w:r>
      <w:r w:rsidR="006254C0">
        <w:t xml:space="preserve">méně. Nejvýznamnější vliv představovalo </w:t>
      </w:r>
      <w:r w:rsidR="00E40D83">
        <w:t xml:space="preserve">negativní </w:t>
      </w:r>
      <w:r w:rsidR="006254C0">
        <w:t xml:space="preserve">přecenění </w:t>
      </w:r>
      <w:r w:rsidR="00DA10D5">
        <w:t xml:space="preserve">(náklad) </w:t>
      </w:r>
      <w:r w:rsidR="006254C0">
        <w:t>opčního akciového plánu</w:t>
      </w:r>
      <w:r w:rsidR="00E40D83">
        <w:t xml:space="preserve"> ve výši 1,8 milionu EUR ve srovnání s pozitivním přeceněním </w:t>
      </w:r>
      <w:r w:rsidR="00DA10D5">
        <w:t xml:space="preserve">(výnos) </w:t>
      </w:r>
      <w:r w:rsidR="009877AF">
        <w:t>ve výši 46 tisíc EUR ve srovnatelném období předchozího roku</w:t>
      </w:r>
      <w:r w:rsidR="006254C0">
        <w:t>.</w:t>
      </w:r>
      <w:r w:rsidR="009877AF" w:rsidRPr="009877AF">
        <w:t xml:space="preserve"> </w:t>
      </w:r>
      <w:r w:rsidR="009877AF">
        <w:t xml:space="preserve">EBITDA </w:t>
      </w:r>
      <w:r w:rsidR="0030132C">
        <w:t xml:space="preserve">upravená </w:t>
      </w:r>
      <w:r w:rsidR="009877AF">
        <w:t xml:space="preserve">o tento vliv meziročně vzrostla o 9,5 % na hodnotu 10,8 milionu EUR. </w:t>
      </w:r>
    </w:p>
    <w:p w:rsidR="004F2222" w:rsidRDefault="005F221E" w:rsidP="00EF4ECD">
      <w:pPr>
        <w:pStyle w:val="NormalWeb"/>
        <w:jc w:val="both"/>
      </w:pPr>
      <w:r w:rsidRPr="002B45A6">
        <w:t xml:space="preserve">EBITDA marže ve druhém čtvrtletí </w:t>
      </w:r>
      <w:r w:rsidR="00BF4531" w:rsidRPr="002B45A6">
        <w:t xml:space="preserve">roku </w:t>
      </w:r>
      <w:r w:rsidR="00D235B8" w:rsidRPr="002B45A6">
        <w:t>201</w:t>
      </w:r>
      <w:r w:rsidR="002B45A6" w:rsidRPr="002B45A6">
        <w:t>5</w:t>
      </w:r>
      <w:r w:rsidR="00D235B8" w:rsidRPr="002B45A6">
        <w:t xml:space="preserve"> </w:t>
      </w:r>
      <w:r w:rsidR="00CC2EF9" w:rsidRPr="002B45A6">
        <w:t xml:space="preserve">činila </w:t>
      </w:r>
      <w:r w:rsidR="00304CE1" w:rsidRPr="002B45A6">
        <w:t>1</w:t>
      </w:r>
      <w:r w:rsidR="002B45A6" w:rsidRPr="002B45A6">
        <w:t>7</w:t>
      </w:r>
      <w:r w:rsidR="00304CE1" w:rsidRPr="002B45A6">
        <w:t>,</w:t>
      </w:r>
      <w:r w:rsidR="002B45A6" w:rsidRPr="002B45A6">
        <w:t>5 </w:t>
      </w:r>
      <w:r w:rsidR="00CC2EF9" w:rsidRPr="002B45A6">
        <w:t xml:space="preserve">%, </w:t>
      </w:r>
      <w:r w:rsidR="006E553D" w:rsidRPr="002B45A6">
        <w:t xml:space="preserve">o </w:t>
      </w:r>
      <w:r w:rsidR="002B45A6" w:rsidRPr="002B45A6">
        <w:t>1</w:t>
      </w:r>
      <w:r w:rsidR="00703FC6" w:rsidRPr="002B45A6">
        <w:t>,</w:t>
      </w:r>
      <w:r w:rsidR="002B45A6" w:rsidRPr="002B45A6">
        <w:t>3</w:t>
      </w:r>
      <w:r w:rsidR="006E553D" w:rsidRPr="002B45A6">
        <w:t xml:space="preserve"> procentní</w:t>
      </w:r>
      <w:r w:rsidR="00703FC6" w:rsidRPr="002B45A6">
        <w:t>ho</w:t>
      </w:r>
      <w:r w:rsidR="006E553D" w:rsidRPr="002B45A6">
        <w:t xml:space="preserve"> bod</w:t>
      </w:r>
      <w:r w:rsidR="00703FC6" w:rsidRPr="002B45A6">
        <w:t>u</w:t>
      </w:r>
      <w:r w:rsidR="006E553D" w:rsidRPr="002B45A6">
        <w:t xml:space="preserve"> </w:t>
      </w:r>
      <w:r w:rsidR="00703FC6" w:rsidRPr="002B45A6">
        <w:t>méně</w:t>
      </w:r>
      <w:r w:rsidR="006E553D" w:rsidRPr="002B45A6">
        <w:t xml:space="preserve"> než v přechozím roce</w:t>
      </w:r>
      <w:r w:rsidR="00CC2EF9" w:rsidRPr="002B45A6">
        <w:t>.</w:t>
      </w:r>
      <w:r w:rsidR="002B45A6">
        <w:t xml:space="preserve"> </w:t>
      </w:r>
      <w:r w:rsidR="009877AF">
        <w:t xml:space="preserve">EBITDA marže </w:t>
      </w:r>
      <w:r w:rsidR="0030132C">
        <w:t xml:space="preserve">upravená </w:t>
      </w:r>
      <w:r w:rsidR="009877AF">
        <w:t>o vliv přecenění opčního akciového plánu dosáhla v </w:t>
      </w:r>
      <w:r w:rsidR="00D73DC3">
        <w:t xml:space="preserve">druhém </w:t>
      </w:r>
      <w:r w:rsidR="009877AF">
        <w:t>čtvrtletí roku 2015 21,1 %, tj. o 2,4 procentního bodu více než ve stejném období roku 2014.</w:t>
      </w:r>
    </w:p>
    <w:p w:rsidR="00DA10D5" w:rsidRPr="00411342" w:rsidRDefault="00DA10D5" w:rsidP="00DA10D5">
      <w:pPr>
        <w:pStyle w:val="NormalWeb"/>
        <w:jc w:val="both"/>
        <w:rPr>
          <w:highlight w:val="yellow"/>
        </w:rPr>
      </w:pPr>
      <w:r w:rsidRPr="006254C0">
        <w:t xml:space="preserve">Výsledky za první pololetí jsou v souladu s výhledem zveřejněným na počátku roku, ve kterém Společnost indikovala meziroční nárůst ukazatele </w:t>
      </w:r>
      <w:r>
        <w:t xml:space="preserve">EBITDA </w:t>
      </w:r>
      <w:r w:rsidRPr="006254C0">
        <w:t>na hodnotu v rozmezí 44,0 až 48,5 milionu EUR.</w:t>
      </w:r>
    </w:p>
    <w:p w:rsidR="004F2222" w:rsidRPr="002E2935" w:rsidRDefault="004F2222" w:rsidP="004F2222">
      <w:pPr>
        <w:pStyle w:val="NormalWeb"/>
        <w:rPr>
          <w:rFonts w:cs="Arial"/>
          <w:i/>
        </w:rPr>
      </w:pPr>
      <w:r w:rsidRPr="002E2935">
        <w:rPr>
          <w:rStyle w:val="Emphasis"/>
          <w:rFonts w:cs="Arial"/>
          <w:b/>
          <w:bCs/>
          <w:i w:val="0"/>
        </w:rPr>
        <w:lastRenderedPageBreak/>
        <w:t>Provozní náklady</w:t>
      </w:r>
    </w:p>
    <w:p w:rsidR="004F2222" w:rsidRPr="002E2935" w:rsidRDefault="004F2222" w:rsidP="004F2222">
      <w:pPr>
        <w:pStyle w:val="NormalWeb"/>
        <w:jc w:val="both"/>
      </w:pPr>
      <w:r w:rsidRPr="002E2935">
        <w:t>Celková spotřeba materiál</w:t>
      </w:r>
      <w:r w:rsidR="00760D8D" w:rsidRPr="002E2935">
        <w:t>ů</w:t>
      </w:r>
      <w:r w:rsidRPr="002E2935">
        <w:t xml:space="preserve"> a ostatní spotřeba </w:t>
      </w:r>
      <w:r w:rsidR="00684B0E" w:rsidRPr="002E2935">
        <w:t xml:space="preserve">dosáhla </w:t>
      </w:r>
      <w:r w:rsidRPr="002E2935">
        <w:t>v první polo</w:t>
      </w:r>
      <w:r w:rsidR="001F1555" w:rsidRPr="002E2935">
        <w:t>vině</w:t>
      </w:r>
      <w:r w:rsidRPr="002E2935">
        <w:t xml:space="preserve"> </w:t>
      </w:r>
      <w:r w:rsidR="00A71503" w:rsidRPr="002E2935">
        <w:t xml:space="preserve">tohoto </w:t>
      </w:r>
      <w:r w:rsidRPr="002E2935">
        <w:t xml:space="preserve">roku </w:t>
      </w:r>
      <w:r w:rsidR="00703FC6" w:rsidRPr="002E2935">
        <w:t>8</w:t>
      </w:r>
      <w:r w:rsidR="002E2935">
        <w:t>1</w:t>
      </w:r>
      <w:r w:rsidR="00541DBF" w:rsidRPr="002E2935">
        <w:t>,</w:t>
      </w:r>
      <w:r w:rsidR="002E2935">
        <w:t>6</w:t>
      </w:r>
      <w:r w:rsidRPr="002E2935">
        <w:t xml:space="preserve"> </w:t>
      </w:r>
      <w:r w:rsidR="0068261A" w:rsidRPr="002E2935">
        <w:t>milionu</w:t>
      </w:r>
      <w:r w:rsidRPr="002E2935">
        <w:t xml:space="preserve"> </w:t>
      </w:r>
      <w:r w:rsidR="00684B0E" w:rsidRPr="002E2935">
        <w:t>EUR</w:t>
      </w:r>
      <w:r w:rsidRPr="002E2935">
        <w:t xml:space="preserve">, tj. meziročně o </w:t>
      </w:r>
      <w:r w:rsidR="002E2935">
        <w:t>2</w:t>
      </w:r>
      <w:r w:rsidR="000836B9" w:rsidRPr="002E2935">
        <w:t>,</w:t>
      </w:r>
      <w:r w:rsidR="002E2935">
        <w:t>6</w:t>
      </w:r>
      <w:r w:rsidR="0068261A" w:rsidRPr="002E2935">
        <w:t xml:space="preserve"> </w:t>
      </w:r>
      <w:r w:rsidRPr="002E2935">
        <w:t xml:space="preserve">% </w:t>
      </w:r>
      <w:r w:rsidR="002E2935">
        <w:t>méně</w:t>
      </w:r>
      <w:r w:rsidRPr="002E2935">
        <w:t>.</w:t>
      </w:r>
      <w:r w:rsidR="00E14480" w:rsidRPr="002E2935">
        <w:t xml:space="preserve"> </w:t>
      </w:r>
      <w:r w:rsidR="00376034" w:rsidRPr="002E2935">
        <w:t>V samotném druhém čtvrtletí 201</w:t>
      </w:r>
      <w:r w:rsidR="002E2935">
        <w:t>5</w:t>
      </w:r>
      <w:r w:rsidR="00376034" w:rsidRPr="002E2935">
        <w:t xml:space="preserve"> tato položka činila </w:t>
      </w:r>
      <w:r w:rsidR="00541DBF" w:rsidRPr="002E2935">
        <w:t>3</w:t>
      </w:r>
      <w:r w:rsidR="002E2935">
        <w:t>7</w:t>
      </w:r>
      <w:r w:rsidR="00541DBF" w:rsidRPr="002E2935">
        <w:t>,</w:t>
      </w:r>
      <w:r w:rsidR="002E2935">
        <w:t>5</w:t>
      </w:r>
      <w:r w:rsidR="00376034" w:rsidRPr="002E2935">
        <w:t xml:space="preserve"> milionu EUR, což je o </w:t>
      </w:r>
      <w:r w:rsidR="002E2935">
        <w:t>5</w:t>
      </w:r>
      <w:r w:rsidR="00541DBF" w:rsidRPr="002E2935">
        <w:t>,</w:t>
      </w:r>
      <w:r w:rsidR="002E2935">
        <w:t>7</w:t>
      </w:r>
      <w:r w:rsidR="00376034" w:rsidRPr="002E2935">
        <w:t xml:space="preserve"> % </w:t>
      </w:r>
      <w:r w:rsidR="002E2935">
        <w:t xml:space="preserve">méně </w:t>
      </w:r>
      <w:r w:rsidR="00376034" w:rsidRPr="002E2935">
        <w:t xml:space="preserve">v porovnání se stejným obdobím minulého roku. </w:t>
      </w:r>
      <w:r w:rsidR="0001555E" w:rsidRPr="002E2935">
        <w:t xml:space="preserve">Hlavním faktorem </w:t>
      </w:r>
      <w:r w:rsidR="00376034" w:rsidRPr="002E2935">
        <w:t xml:space="preserve">pro </w:t>
      </w:r>
      <w:r w:rsidR="0001555E" w:rsidRPr="002E2935">
        <w:t xml:space="preserve">meziroční </w:t>
      </w:r>
      <w:r w:rsidR="002E2935">
        <w:t xml:space="preserve">pokles </w:t>
      </w:r>
      <w:r w:rsidR="0001555E" w:rsidRPr="002E2935">
        <w:t>byl</w:t>
      </w:r>
      <w:r w:rsidR="00A71503" w:rsidRPr="002E2935">
        <w:t>a</w:t>
      </w:r>
      <w:r w:rsidR="0001555E" w:rsidRPr="002E2935">
        <w:t xml:space="preserve"> </w:t>
      </w:r>
      <w:r w:rsidR="002E2935">
        <w:t>nižší nákupní cena polymerů v meziročním srovnání.</w:t>
      </w:r>
      <w:r w:rsidR="0001555E" w:rsidRPr="002E2935">
        <w:t xml:space="preserve"> </w:t>
      </w:r>
    </w:p>
    <w:p w:rsidR="00D21F88" w:rsidRPr="00484615" w:rsidRDefault="004F2222" w:rsidP="004F2222">
      <w:pPr>
        <w:pStyle w:val="NormalWeb"/>
        <w:jc w:val="both"/>
        <w:rPr>
          <w:rFonts w:cs="Arial"/>
        </w:rPr>
      </w:pPr>
      <w:r w:rsidRPr="002700CB">
        <w:rPr>
          <w:rFonts w:cs="Arial"/>
        </w:rPr>
        <w:t xml:space="preserve">Celkové osobní náklady dosáhly </w:t>
      </w:r>
      <w:r w:rsidR="00684B0E" w:rsidRPr="002700CB">
        <w:rPr>
          <w:rFonts w:cs="Arial"/>
        </w:rPr>
        <w:t xml:space="preserve">v prvním </w:t>
      </w:r>
      <w:r w:rsidR="00DC6CBA" w:rsidRPr="002700CB">
        <w:rPr>
          <w:rFonts w:cs="Arial"/>
        </w:rPr>
        <w:t>pololetí</w:t>
      </w:r>
      <w:r w:rsidR="00684B0E" w:rsidRPr="002700CB">
        <w:rPr>
          <w:rFonts w:cs="Arial"/>
        </w:rPr>
        <w:t xml:space="preserve"> </w:t>
      </w:r>
      <w:r w:rsidR="00A15E00" w:rsidRPr="002700CB">
        <w:rPr>
          <w:rFonts w:cs="Arial"/>
        </w:rPr>
        <w:t>201</w:t>
      </w:r>
      <w:r w:rsidR="002700CB">
        <w:rPr>
          <w:rFonts w:cs="Arial"/>
        </w:rPr>
        <w:t>5</w:t>
      </w:r>
      <w:r w:rsidR="004A1657" w:rsidRPr="002700CB">
        <w:rPr>
          <w:rFonts w:cs="Arial"/>
        </w:rPr>
        <w:t xml:space="preserve"> </w:t>
      </w:r>
      <w:r w:rsidR="002700CB">
        <w:rPr>
          <w:rFonts w:cs="Arial"/>
        </w:rPr>
        <w:t>7</w:t>
      </w:r>
      <w:r w:rsidR="0001555E" w:rsidRPr="002700CB">
        <w:rPr>
          <w:rFonts w:cs="Arial"/>
        </w:rPr>
        <w:t>,</w:t>
      </w:r>
      <w:r w:rsidR="002700CB">
        <w:rPr>
          <w:rFonts w:cs="Arial"/>
        </w:rPr>
        <w:t>6</w:t>
      </w:r>
      <w:r w:rsidR="0068261A" w:rsidRPr="002700CB">
        <w:rPr>
          <w:rFonts w:cs="Arial"/>
        </w:rPr>
        <w:t xml:space="preserve"> milionu</w:t>
      </w:r>
      <w:r w:rsidRPr="002700CB">
        <w:rPr>
          <w:rFonts w:cs="Arial"/>
        </w:rPr>
        <w:t xml:space="preserve"> </w:t>
      </w:r>
      <w:r w:rsidR="00684B0E" w:rsidRPr="002700CB">
        <w:rPr>
          <w:rFonts w:cs="Arial"/>
        </w:rPr>
        <w:t>EUR</w:t>
      </w:r>
      <w:r w:rsidRPr="002700CB">
        <w:rPr>
          <w:rFonts w:cs="Arial"/>
        </w:rPr>
        <w:t xml:space="preserve">, tj. meziročně o </w:t>
      </w:r>
      <w:r w:rsidR="002700CB">
        <w:rPr>
          <w:rFonts w:cs="Arial"/>
        </w:rPr>
        <w:t>5</w:t>
      </w:r>
      <w:r w:rsidR="008C0748">
        <w:rPr>
          <w:rFonts w:cs="Arial"/>
        </w:rPr>
        <w:t>1</w:t>
      </w:r>
      <w:r w:rsidR="0001555E" w:rsidRPr="002700CB">
        <w:rPr>
          <w:rFonts w:cs="Arial"/>
        </w:rPr>
        <w:t>,</w:t>
      </w:r>
      <w:r w:rsidR="008C0748">
        <w:rPr>
          <w:rFonts w:cs="Arial"/>
        </w:rPr>
        <w:t>7</w:t>
      </w:r>
      <w:r w:rsidR="00BF4531" w:rsidRPr="002700CB">
        <w:rPr>
          <w:rFonts w:cs="Arial"/>
        </w:rPr>
        <w:t xml:space="preserve"> </w:t>
      </w:r>
      <w:r w:rsidRPr="002700CB">
        <w:rPr>
          <w:rFonts w:cs="Arial"/>
        </w:rPr>
        <w:t xml:space="preserve">% </w:t>
      </w:r>
      <w:r w:rsidR="002700CB">
        <w:rPr>
          <w:rFonts w:cs="Arial"/>
        </w:rPr>
        <w:t>více</w:t>
      </w:r>
      <w:r w:rsidRPr="002700CB">
        <w:rPr>
          <w:rFonts w:cs="Arial"/>
        </w:rPr>
        <w:t xml:space="preserve">. </w:t>
      </w:r>
      <w:r w:rsidR="002700CB">
        <w:rPr>
          <w:rFonts w:cs="Arial"/>
        </w:rPr>
        <w:t>Na meziroční</w:t>
      </w:r>
      <w:r w:rsidR="00360D9E" w:rsidRPr="002700CB">
        <w:rPr>
          <w:rFonts w:cs="Arial"/>
        </w:rPr>
        <w:t xml:space="preserve"> srovnání osobních nákladů </w:t>
      </w:r>
      <w:r w:rsidR="002700CB">
        <w:rPr>
          <w:rFonts w:cs="Arial"/>
        </w:rPr>
        <w:t xml:space="preserve">mělo největší vliv negativní přecenění opčního akciového plánu. Osobní náklady </w:t>
      </w:r>
      <w:r w:rsidR="0030132C">
        <w:rPr>
          <w:rFonts w:cs="Arial"/>
        </w:rPr>
        <w:t xml:space="preserve">upravené </w:t>
      </w:r>
      <w:r w:rsidR="002700CB">
        <w:rPr>
          <w:rFonts w:cs="Arial"/>
        </w:rPr>
        <w:t>o tento vliv činily v prvním pololetí 2015 5,</w:t>
      </w:r>
      <w:r w:rsidR="008C0748">
        <w:rPr>
          <w:rFonts w:cs="Arial"/>
        </w:rPr>
        <w:t>0</w:t>
      </w:r>
      <w:r w:rsidR="002700CB">
        <w:rPr>
          <w:rFonts w:cs="Arial"/>
        </w:rPr>
        <w:t xml:space="preserve"> milionu EUR, tj. meziročně o </w:t>
      </w:r>
      <w:r w:rsidR="008C0748">
        <w:rPr>
          <w:rFonts w:cs="Arial"/>
        </w:rPr>
        <w:t>1</w:t>
      </w:r>
      <w:r w:rsidR="002700CB">
        <w:rPr>
          <w:rFonts w:cs="Arial"/>
        </w:rPr>
        <w:t>,</w:t>
      </w:r>
      <w:r w:rsidR="008C0748">
        <w:rPr>
          <w:rFonts w:cs="Arial"/>
        </w:rPr>
        <w:t>7</w:t>
      </w:r>
      <w:r w:rsidR="002700CB">
        <w:rPr>
          <w:rFonts w:cs="Arial"/>
        </w:rPr>
        <w:t xml:space="preserve"> % více. </w:t>
      </w:r>
      <w:r w:rsidR="002700CB" w:rsidRPr="001379A3">
        <w:rPr>
          <w:rFonts w:cs="Arial"/>
        </w:rPr>
        <w:t xml:space="preserve">Celkové osobní náklady vyjádřené v lokálních měnách, tj. v českých korunách a egyptských librách, bez přecenění opčního akciového plánu </w:t>
      </w:r>
      <w:r w:rsidR="00851187" w:rsidRPr="001379A3">
        <w:rPr>
          <w:rFonts w:cs="Arial"/>
        </w:rPr>
        <w:t xml:space="preserve">klesly </w:t>
      </w:r>
      <w:r w:rsidR="002700CB" w:rsidRPr="001379A3">
        <w:rPr>
          <w:rFonts w:cs="Arial"/>
        </w:rPr>
        <w:t xml:space="preserve">v prvním pololetí roku 2015 o </w:t>
      </w:r>
      <w:r w:rsidR="00851187" w:rsidRPr="001379A3">
        <w:rPr>
          <w:rFonts w:cs="Arial"/>
        </w:rPr>
        <w:t>1</w:t>
      </w:r>
      <w:r w:rsidR="002700CB" w:rsidRPr="001379A3">
        <w:rPr>
          <w:rFonts w:cs="Arial"/>
        </w:rPr>
        <w:t>,</w:t>
      </w:r>
      <w:r w:rsidR="00851187" w:rsidRPr="001379A3">
        <w:rPr>
          <w:rFonts w:cs="Arial"/>
        </w:rPr>
        <w:t>0</w:t>
      </w:r>
      <w:r w:rsidR="002700CB" w:rsidRPr="001379A3">
        <w:rPr>
          <w:rFonts w:cs="Arial"/>
        </w:rPr>
        <w:t xml:space="preserve"> %</w:t>
      </w:r>
      <w:r w:rsidR="00B0727A">
        <w:rPr>
          <w:rFonts w:cs="Arial"/>
        </w:rPr>
        <w:t xml:space="preserve"> v důsledku mírného poklesu stavu zaměstnanců</w:t>
      </w:r>
      <w:r w:rsidR="002700CB" w:rsidRPr="001379A3">
        <w:rPr>
          <w:rFonts w:cs="Arial"/>
        </w:rPr>
        <w:t xml:space="preserve">. </w:t>
      </w:r>
      <w:r w:rsidR="000B242D" w:rsidRPr="00484615">
        <w:rPr>
          <w:rFonts w:cs="Arial"/>
        </w:rPr>
        <w:t xml:space="preserve">V samotném druhém čtvrtletí osobní náklady </w:t>
      </w:r>
      <w:r w:rsidR="00DA10D5">
        <w:rPr>
          <w:rFonts w:cs="Arial"/>
        </w:rPr>
        <w:t xml:space="preserve">v důsledku negativního přecenění opčního akciového plánu </w:t>
      </w:r>
      <w:r w:rsidR="002700CB" w:rsidRPr="00484615">
        <w:rPr>
          <w:rFonts w:cs="Arial"/>
        </w:rPr>
        <w:t xml:space="preserve">vzrostly </w:t>
      </w:r>
      <w:r w:rsidR="000B242D" w:rsidRPr="00484615">
        <w:rPr>
          <w:rFonts w:cs="Arial"/>
        </w:rPr>
        <w:t xml:space="preserve">o </w:t>
      </w:r>
      <w:r w:rsidR="002700CB" w:rsidRPr="00484615">
        <w:rPr>
          <w:rFonts w:cs="Arial"/>
        </w:rPr>
        <w:t>7</w:t>
      </w:r>
      <w:r w:rsidR="008C0748">
        <w:rPr>
          <w:rFonts w:cs="Arial"/>
        </w:rPr>
        <w:t>8</w:t>
      </w:r>
      <w:r w:rsidR="00925D6F" w:rsidRPr="00484615">
        <w:rPr>
          <w:rFonts w:cs="Arial"/>
        </w:rPr>
        <w:t>,</w:t>
      </w:r>
      <w:r w:rsidR="008C0748">
        <w:rPr>
          <w:rFonts w:cs="Arial"/>
        </w:rPr>
        <w:t>1</w:t>
      </w:r>
      <w:r w:rsidR="000B242D" w:rsidRPr="00484615">
        <w:rPr>
          <w:rFonts w:cs="Arial"/>
        </w:rPr>
        <w:t xml:space="preserve"> % na </w:t>
      </w:r>
      <w:r w:rsidR="002700CB" w:rsidRPr="00484615">
        <w:rPr>
          <w:rFonts w:cs="Arial"/>
        </w:rPr>
        <w:t>4,</w:t>
      </w:r>
      <w:r w:rsidR="008C0748">
        <w:rPr>
          <w:rFonts w:cs="Arial"/>
        </w:rPr>
        <w:t>1</w:t>
      </w:r>
      <w:r w:rsidR="000B242D" w:rsidRPr="00484615">
        <w:rPr>
          <w:rFonts w:cs="Arial"/>
        </w:rPr>
        <w:t xml:space="preserve"> milionu EUR</w:t>
      </w:r>
      <w:r w:rsidR="00484615" w:rsidRPr="00484615">
        <w:rPr>
          <w:rFonts w:cs="Arial"/>
        </w:rPr>
        <w:t xml:space="preserve">. </w:t>
      </w:r>
      <w:r w:rsidR="00360D9E" w:rsidRPr="00484615">
        <w:rPr>
          <w:rFonts w:cs="Arial"/>
        </w:rPr>
        <w:t xml:space="preserve"> </w:t>
      </w:r>
      <w:r w:rsidR="00484615" w:rsidRPr="00484615">
        <w:rPr>
          <w:rFonts w:cs="Arial"/>
        </w:rPr>
        <w:t xml:space="preserve">Osobní náklady </w:t>
      </w:r>
      <w:r w:rsidR="0030132C">
        <w:rPr>
          <w:rFonts w:cs="Arial"/>
        </w:rPr>
        <w:t xml:space="preserve">upravené </w:t>
      </w:r>
      <w:r w:rsidR="00484615" w:rsidRPr="00484615">
        <w:rPr>
          <w:rFonts w:cs="Arial"/>
        </w:rPr>
        <w:t xml:space="preserve">o </w:t>
      </w:r>
      <w:r w:rsidR="00E43151">
        <w:rPr>
          <w:rFonts w:cs="Arial"/>
        </w:rPr>
        <w:t xml:space="preserve">tento </w:t>
      </w:r>
      <w:r w:rsidR="00484615" w:rsidRPr="00484615">
        <w:rPr>
          <w:rFonts w:cs="Arial"/>
        </w:rPr>
        <w:t>vliv činily v</w:t>
      </w:r>
      <w:r w:rsidR="00484615">
        <w:rPr>
          <w:rFonts w:cs="Arial"/>
        </w:rPr>
        <w:t xml:space="preserve"> druhém čtvrtletí </w:t>
      </w:r>
      <w:r w:rsidR="00484615" w:rsidRPr="00484615">
        <w:rPr>
          <w:rFonts w:cs="Arial"/>
        </w:rPr>
        <w:t xml:space="preserve">2015 </w:t>
      </w:r>
      <w:r w:rsidR="00484615">
        <w:rPr>
          <w:rFonts w:cs="Arial"/>
        </w:rPr>
        <w:t>2</w:t>
      </w:r>
      <w:r w:rsidR="00484615" w:rsidRPr="00484615">
        <w:rPr>
          <w:rFonts w:cs="Arial"/>
        </w:rPr>
        <w:t>,</w:t>
      </w:r>
      <w:r w:rsidR="00484615">
        <w:rPr>
          <w:rFonts w:cs="Arial"/>
        </w:rPr>
        <w:t>3</w:t>
      </w:r>
      <w:r w:rsidR="00484615" w:rsidRPr="00484615">
        <w:rPr>
          <w:rFonts w:cs="Arial"/>
        </w:rPr>
        <w:t xml:space="preserve"> milionu EUR, tj. meziročně o </w:t>
      </w:r>
      <w:r w:rsidR="008C0748">
        <w:rPr>
          <w:rFonts w:cs="Arial"/>
        </w:rPr>
        <w:t>2</w:t>
      </w:r>
      <w:r w:rsidR="00484615" w:rsidRPr="00484615">
        <w:rPr>
          <w:rFonts w:cs="Arial"/>
        </w:rPr>
        <w:t>,</w:t>
      </w:r>
      <w:r w:rsidR="008C0748">
        <w:rPr>
          <w:rFonts w:cs="Arial"/>
        </w:rPr>
        <w:t>6</w:t>
      </w:r>
      <w:r w:rsidR="00484615" w:rsidRPr="00484615">
        <w:rPr>
          <w:rFonts w:cs="Arial"/>
        </w:rPr>
        <w:t xml:space="preserve"> % méně</w:t>
      </w:r>
      <w:r w:rsidR="000B242D" w:rsidRPr="00484615">
        <w:rPr>
          <w:rFonts w:cs="Arial"/>
        </w:rPr>
        <w:t xml:space="preserve">. </w:t>
      </w:r>
    </w:p>
    <w:p w:rsidR="0081287F" w:rsidRPr="00484615" w:rsidRDefault="0081287F" w:rsidP="004F2222">
      <w:pPr>
        <w:pStyle w:val="NormalWeb"/>
        <w:jc w:val="both"/>
        <w:rPr>
          <w:rFonts w:cs="Arial"/>
        </w:rPr>
      </w:pPr>
      <w:r w:rsidRPr="00484615">
        <w:rPr>
          <w:rFonts w:cs="Arial"/>
        </w:rPr>
        <w:t xml:space="preserve">Ostatní provozní </w:t>
      </w:r>
      <w:r w:rsidR="00057110" w:rsidRPr="00484615">
        <w:rPr>
          <w:rFonts w:cs="Arial"/>
        </w:rPr>
        <w:t>náklady</w:t>
      </w:r>
      <w:r w:rsidR="00D84DCF" w:rsidRPr="00484615">
        <w:rPr>
          <w:rFonts w:cs="Arial"/>
        </w:rPr>
        <w:t xml:space="preserve"> </w:t>
      </w:r>
      <w:r w:rsidRPr="00484615">
        <w:rPr>
          <w:rFonts w:cs="Arial"/>
        </w:rPr>
        <w:t>(</w:t>
      </w:r>
      <w:r w:rsidR="006A45C3" w:rsidRPr="00484615">
        <w:rPr>
          <w:rFonts w:cs="Arial"/>
        </w:rPr>
        <w:t>netto</w:t>
      </w:r>
      <w:r w:rsidRPr="00484615">
        <w:rPr>
          <w:rFonts w:cs="Arial"/>
        </w:rPr>
        <w:t xml:space="preserve">) dosáhly </w:t>
      </w:r>
      <w:r w:rsidR="0018302F" w:rsidRPr="00484615">
        <w:rPr>
          <w:rFonts w:cs="Arial"/>
        </w:rPr>
        <w:t xml:space="preserve">v první polovině </w:t>
      </w:r>
      <w:r w:rsidR="001147EC" w:rsidRPr="00484615">
        <w:rPr>
          <w:rFonts w:cs="Arial"/>
        </w:rPr>
        <w:t xml:space="preserve">tohoto </w:t>
      </w:r>
      <w:r w:rsidR="0018302F" w:rsidRPr="00484615">
        <w:rPr>
          <w:rFonts w:cs="Arial"/>
        </w:rPr>
        <w:t xml:space="preserve">roku </w:t>
      </w:r>
      <w:r w:rsidR="006452BC" w:rsidRPr="00484615">
        <w:rPr>
          <w:rFonts w:cs="Arial"/>
        </w:rPr>
        <w:t>0,</w:t>
      </w:r>
      <w:r w:rsidR="00484615" w:rsidRPr="00484615">
        <w:rPr>
          <w:rFonts w:cs="Arial"/>
        </w:rPr>
        <w:t>9</w:t>
      </w:r>
      <w:r w:rsidR="009E633A" w:rsidRPr="00484615">
        <w:rPr>
          <w:rFonts w:cs="Arial"/>
        </w:rPr>
        <w:t xml:space="preserve"> </w:t>
      </w:r>
      <w:r w:rsidR="0068261A" w:rsidRPr="00484615">
        <w:rPr>
          <w:rFonts w:cs="Arial"/>
        </w:rPr>
        <w:t>milionu</w:t>
      </w:r>
      <w:r w:rsidR="002E44BD" w:rsidRPr="00484615">
        <w:rPr>
          <w:rFonts w:cs="Arial"/>
        </w:rPr>
        <w:t xml:space="preserve"> </w:t>
      </w:r>
      <w:r w:rsidR="00684B0E" w:rsidRPr="00484615">
        <w:rPr>
          <w:rFonts w:cs="Arial"/>
        </w:rPr>
        <w:t>EUR</w:t>
      </w:r>
      <w:r w:rsidR="00A61B34" w:rsidRPr="00484615">
        <w:rPr>
          <w:rFonts w:cs="Arial"/>
        </w:rPr>
        <w:t xml:space="preserve"> oproti nákladu 0,</w:t>
      </w:r>
      <w:r w:rsidR="00484615" w:rsidRPr="00484615">
        <w:rPr>
          <w:rFonts w:cs="Arial"/>
        </w:rPr>
        <w:t>5</w:t>
      </w:r>
      <w:r w:rsidR="00A61B34" w:rsidRPr="00484615">
        <w:rPr>
          <w:rFonts w:cs="Arial"/>
        </w:rPr>
        <w:t xml:space="preserve"> milionu EUR v roce 201</w:t>
      </w:r>
      <w:r w:rsidR="00484615" w:rsidRPr="00484615">
        <w:rPr>
          <w:rFonts w:cs="Arial"/>
        </w:rPr>
        <w:t>4</w:t>
      </w:r>
      <w:r w:rsidR="00F6304E" w:rsidRPr="00484615">
        <w:rPr>
          <w:rFonts w:cs="Arial"/>
        </w:rPr>
        <w:t xml:space="preserve">. </w:t>
      </w:r>
      <w:r w:rsidR="005F221E" w:rsidRPr="00484615">
        <w:rPr>
          <w:rFonts w:cs="Arial"/>
        </w:rPr>
        <w:t xml:space="preserve">Ve druhém čtvrtletí </w:t>
      </w:r>
      <w:r w:rsidR="00057110" w:rsidRPr="00484615">
        <w:rPr>
          <w:rFonts w:cs="Arial"/>
        </w:rPr>
        <w:t>201</w:t>
      </w:r>
      <w:r w:rsidR="00484615" w:rsidRPr="00484615">
        <w:rPr>
          <w:rFonts w:cs="Arial"/>
        </w:rPr>
        <w:t>5</w:t>
      </w:r>
      <w:r w:rsidR="009E633A" w:rsidRPr="00484615">
        <w:rPr>
          <w:rFonts w:cs="Arial"/>
        </w:rPr>
        <w:t xml:space="preserve"> </w:t>
      </w:r>
      <w:r w:rsidR="00DC6CBA" w:rsidRPr="00484615">
        <w:rPr>
          <w:rFonts w:cs="Arial"/>
        </w:rPr>
        <w:t xml:space="preserve">dosáhly ostatní provozní </w:t>
      </w:r>
      <w:r w:rsidR="00057110" w:rsidRPr="00484615">
        <w:rPr>
          <w:rFonts w:cs="Arial"/>
        </w:rPr>
        <w:t>náklady</w:t>
      </w:r>
      <w:r w:rsidR="00D84DCF" w:rsidRPr="00484615">
        <w:rPr>
          <w:rFonts w:cs="Arial"/>
        </w:rPr>
        <w:t xml:space="preserve"> </w:t>
      </w:r>
      <w:r w:rsidR="00DC6CBA" w:rsidRPr="00484615">
        <w:rPr>
          <w:rFonts w:cs="Arial"/>
        </w:rPr>
        <w:t>(</w:t>
      </w:r>
      <w:r w:rsidR="006A45C3" w:rsidRPr="00484615">
        <w:rPr>
          <w:rFonts w:cs="Arial"/>
        </w:rPr>
        <w:t>netto</w:t>
      </w:r>
      <w:r w:rsidR="00DC6CBA" w:rsidRPr="00484615">
        <w:rPr>
          <w:rFonts w:cs="Arial"/>
        </w:rPr>
        <w:t xml:space="preserve">) </w:t>
      </w:r>
      <w:r w:rsidR="006A45C3" w:rsidRPr="00484615">
        <w:rPr>
          <w:rFonts w:cs="Arial"/>
        </w:rPr>
        <w:t>částky</w:t>
      </w:r>
      <w:r w:rsidR="00DC6CBA" w:rsidRPr="00484615">
        <w:rPr>
          <w:rFonts w:cs="Arial"/>
        </w:rPr>
        <w:t xml:space="preserve"> </w:t>
      </w:r>
      <w:r w:rsidR="006452BC" w:rsidRPr="00484615">
        <w:rPr>
          <w:rFonts w:cs="Arial"/>
        </w:rPr>
        <w:t>0,</w:t>
      </w:r>
      <w:r w:rsidR="00484615" w:rsidRPr="00484615">
        <w:rPr>
          <w:rFonts w:cs="Arial"/>
        </w:rPr>
        <w:t>5</w:t>
      </w:r>
      <w:r w:rsidR="009E633A" w:rsidRPr="00484615">
        <w:rPr>
          <w:rFonts w:cs="Arial"/>
        </w:rPr>
        <w:t xml:space="preserve"> </w:t>
      </w:r>
      <w:r w:rsidR="0068261A" w:rsidRPr="00484615">
        <w:rPr>
          <w:rFonts w:cs="Arial"/>
        </w:rPr>
        <w:t>milionu</w:t>
      </w:r>
      <w:r w:rsidR="00DC6CBA" w:rsidRPr="00484615">
        <w:rPr>
          <w:rFonts w:cs="Arial"/>
        </w:rPr>
        <w:t xml:space="preserve"> EUR</w:t>
      </w:r>
      <w:r w:rsidR="00057110" w:rsidRPr="00484615">
        <w:rPr>
          <w:rFonts w:cs="Arial"/>
        </w:rPr>
        <w:t>.</w:t>
      </w:r>
    </w:p>
    <w:p w:rsidR="004F2222" w:rsidRPr="00484615" w:rsidRDefault="0081287F" w:rsidP="004F2222">
      <w:pPr>
        <w:pStyle w:val="NormalWeb"/>
        <w:jc w:val="both"/>
        <w:rPr>
          <w:rFonts w:cs="Arial"/>
        </w:rPr>
      </w:pPr>
      <w:r w:rsidRPr="00484615">
        <w:rPr>
          <w:rStyle w:val="Strong"/>
          <w:rFonts w:cs="Arial"/>
        </w:rPr>
        <w:t>Odpisy</w:t>
      </w:r>
    </w:p>
    <w:p w:rsidR="00640BDC" w:rsidRPr="00484615" w:rsidRDefault="0081287F" w:rsidP="004F2222">
      <w:pPr>
        <w:pStyle w:val="NormalWeb"/>
        <w:jc w:val="both"/>
        <w:rPr>
          <w:rFonts w:cs="Arial"/>
        </w:rPr>
      </w:pPr>
      <w:r w:rsidRPr="00484615">
        <w:rPr>
          <w:rFonts w:cs="Arial"/>
        </w:rPr>
        <w:t xml:space="preserve">Konsolidované odpisy </w:t>
      </w:r>
      <w:r w:rsidR="002C6FFF" w:rsidRPr="00484615">
        <w:rPr>
          <w:rFonts w:cs="Arial"/>
        </w:rPr>
        <w:t xml:space="preserve">činily </w:t>
      </w:r>
      <w:r w:rsidR="00684B0E" w:rsidRPr="00484615">
        <w:rPr>
          <w:rFonts w:cs="Arial"/>
        </w:rPr>
        <w:t xml:space="preserve">v první polovině </w:t>
      </w:r>
      <w:r w:rsidR="000B6EFA" w:rsidRPr="00484615">
        <w:rPr>
          <w:rFonts w:cs="Arial"/>
        </w:rPr>
        <w:t xml:space="preserve">roku </w:t>
      </w:r>
      <w:r w:rsidR="00B57F03" w:rsidRPr="00484615">
        <w:rPr>
          <w:rFonts w:cs="Arial"/>
        </w:rPr>
        <w:t>201</w:t>
      </w:r>
      <w:r w:rsidR="00484615" w:rsidRPr="00484615">
        <w:rPr>
          <w:rFonts w:cs="Arial"/>
        </w:rPr>
        <w:t>5</w:t>
      </w:r>
      <w:r w:rsidR="009E633A" w:rsidRPr="00484615">
        <w:rPr>
          <w:rFonts w:cs="Arial"/>
        </w:rPr>
        <w:t xml:space="preserve"> </w:t>
      </w:r>
      <w:r w:rsidR="002C6FFF" w:rsidRPr="00484615">
        <w:rPr>
          <w:rFonts w:cs="Arial"/>
        </w:rPr>
        <w:t>7</w:t>
      </w:r>
      <w:r w:rsidR="00446779" w:rsidRPr="00484615">
        <w:rPr>
          <w:rFonts w:cs="Arial"/>
        </w:rPr>
        <w:t>,</w:t>
      </w:r>
      <w:r w:rsidR="00484615" w:rsidRPr="00484615">
        <w:rPr>
          <w:rFonts w:cs="Arial"/>
        </w:rPr>
        <w:t>9</w:t>
      </w:r>
      <w:r w:rsidR="00881E5F" w:rsidRPr="00484615">
        <w:rPr>
          <w:rFonts w:cs="Arial"/>
        </w:rPr>
        <w:t xml:space="preserve"> </w:t>
      </w:r>
      <w:r w:rsidR="0068261A" w:rsidRPr="00484615">
        <w:rPr>
          <w:rFonts w:cs="Arial"/>
        </w:rPr>
        <w:t>milionu</w:t>
      </w:r>
      <w:r w:rsidRPr="00484615">
        <w:rPr>
          <w:rFonts w:cs="Arial"/>
        </w:rPr>
        <w:t xml:space="preserve"> </w:t>
      </w:r>
      <w:r w:rsidR="00684B0E" w:rsidRPr="00484615">
        <w:rPr>
          <w:rFonts w:cs="Arial"/>
        </w:rPr>
        <w:t>EUR</w:t>
      </w:r>
      <w:r w:rsidRPr="00484615">
        <w:rPr>
          <w:rFonts w:cs="Arial"/>
        </w:rPr>
        <w:t xml:space="preserve">, </w:t>
      </w:r>
      <w:r w:rsidR="00BE415F" w:rsidRPr="00484615">
        <w:rPr>
          <w:rFonts w:cs="Arial"/>
        </w:rPr>
        <w:t xml:space="preserve">meziročně </w:t>
      </w:r>
      <w:r w:rsidRPr="00484615">
        <w:rPr>
          <w:rFonts w:cs="Arial"/>
        </w:rPr>
        <w:t xml:space="preserve">o </w:t>
      </w:r>
      <w:r w:rsidR="00484615" w:rsidRPr="00484615">
        <w:rPr>
          <w:rFonts w:cs="Arial"/>
        </w:rPr>
        <w:t>7</w:t>
      </w:r>
      <w:r w:rsidR="00446779" w:rsidRPr="00484615">
        <w:rPr>
          <w:rFonts w:cs="Arial"/>
        </w:rPr>
        <w:t>,</w:t>
      </w:r>
      <w:r w:rsidR="00484615" w:rsidRPr="00484615">
        <w:rPr>
          <w:rFonts w:cs="Arial"/>
        </w:rPr>
        <w:t>7 </w:t>
      </w:r>
      <w:r w:rsidRPr="00484615">
        <w:rPr>
          <w:rFonts w:cs="Arial"/>
        </w:rPr>
        <w:t xml:space="preserve">% </w:t>
      </w:r>
      <w:r w:rsidR="002C6FFF" w:rsidRPr="00484615">
        <w:rPr>
          <w:rFonts w:cs="Arial"/>
        </w:rPr>
        <w:t>více</w:t>
      </w:r>
      <w:r w:rsidR="00BE415F" w:rsidRPr="00484615">
        <w:rPr>
          <w:rFonts w:cs="Arial"/>
        </w:rPr>
        <w:t xml:space="preserve">. </w:t>
      </w:r>
      <w:r w:rsidR="000B6EFA" w:rsidRPr="00484615">
        <w:rPr>
          <w:rFonts w:cs="Arial"/>
        </w:rPr>
        <w:t>V samotném druhém čtvrtletí tohoto roku</w:t>
      </w:r>
      <w:r w:rsidR="00B57F03" w:rsidRPr="00484615">
        <w:rPr>
          <w:rFonts w:cs="Arial"/>
        </w:rPr>
        <w:t xml:space="preserve"> činily odpisy </w:t>
      </w:r>
      <w:r w:rsidR="002C6FFF" w:rsidRPr="00484615">
        <w:rPr>
          <w:rFonts w:cs="Arial"/>
        </w:rPr>
        <w:t>3</w:t>
      </w:r>
      <w:r w:rsidR="00446779" w:rsidRPr="00484615">
        <w:rPr>
          <w:rFonts w:cs="Arial"/>
        </w:rPr>
        <w:t>,</w:t>
      </w:r>
      <w:r w:rsidR="00484615" w:rsidRPr="00484615">
        <w:rPr>
          <w:rFonts w:cs="Arial"/>
        </w:rPr>
        <w:t>9</w:t>
      </w:r>
      <w:r w:rsidR="000B6EFA" w:rsidRPr="00484615">
        <w:rPr>
          <w:rFonts w:cs="Arial"/>
        </w:rPr>
        <w:t xml:space="preserve"> milion</w:t>
      </w:r>
      <w:r w:rsidR="0099117E" w:rsidRPr="00484615">
        <w:rPr>
          <w:rFonts w:cs="Arial"/>
        </w:rPr>
        <w:t>u</w:t>
      </w:r>
      <w:r w:rsidR="000B6EFA" w:rsidRPr="00484615">
        <w:rPr>
          <w:rFonts w:cs="Arial"/>
        </w:rPr>
        <w:t xml:space="preserve"> EUR, meziročně o </w:t>
      </w:r>
      <w:r w:rsidR="00484615" w:rsidRPr="00484615">
        <w:rPr>
          <w:rFonts w:cs="Arial"/>
        </w:rPr>
        <w:t>6</w:t>
      </w:r>
      <w:r w:rsidR="00E026ED" w:rsidRPr="00484615">
        <w:rPr>
          <w:rFonts w:cs="Arial"/>
        </w:rPr>
        <w:t>,</w:t>
      </w:r>
      <w:r w:rsidR="00484615" w:rsidRPr="00484615">
        <w:rPr>
          <w:rFonts w:cs="Arial"/>
        </w:rPr>
        <w:t>5</w:t>
      </w:r>
      <w:r w:rsidR="000B6EFA" w:rsidRPr="00484615">
        <w:rPr>
          <w:rFonts w:cs="Arial"/>
        </w:rPr>
        <w:t xml:space="preserve"> % </w:t>
      </w:r>
      <w:r w:rsidR="00131434" w:rsidRPr="00484615">
        <w:rPr>
          <w:rFonts w:cs="Arial"/>
        </w:rPr>
        <w:t>více</w:t>
      </w:r>
      <w:r w:rsidR="000B6EFA" w:rsidRPr="00484615">
        <w:rPr>
          <w:rFonts w:cs="Arial"/>
        </w:rPr>
        <w:t>.</w:t>
      </w:r>
      <w:r w:rsidR="00B57F03" w:rsidRPr="00484615">
        <w:rPr>
          <w:rFonts w:cs="Arial"/>
        </w:rPr>
        <w:t xml:space="preserve"> </w:t>
      </w:r>
      <w:r w:rsidR="00484615" w:rsidRPr="00484615">
        <w:rPr>
          <w:rFonts w:cs="Arial"/>
        </w:rPr>
        <w:t>K tomuto nárůstu přispělo zejména posílení kurzu dolaru vůči měně EUR, které mělo vliv na výši odpisů egyptského výrobního závodu</w:t>
      </w:r>
      <w:r w:rsidR="00E43151">
        <w:rPr>
          <w:rFonts w:cs="Arial"/>
        </w:rPr>
        <w:t xml:space="preserve"> vyjádřených v EUR</w:t>
      </w:r>
      <w:r w:rsidR="00484615" w:rsidRPr="00484615">
        <w:rPr>
          <w:rFonts w:cs="Arial"/>
        </w:rPr>
        <w:t>.</w:t>
      </w:r>
    </w:p>
    <w:p w:rsidR="004F2222" w:rsidRPr="00680B83" w:rsidRDefault="00BF1BEC" w:rsidP="004F2222">
      <w:pPr>
        <w:pStyle w:val="NormalWeb"/>
        <w:rPr>
          <w:rFonts w:cs="Arial"/>
        </w:rPr>
      </w:pPr>
      <w:r w:rsidRPr="00680B83">
        <w:rPr>
          <w:rStyle w:val="Strong"/>
          <w:rFonts w:cs="Arial"/>
        </w:rPr>
        <w:t>Provozní výsledek</w:t>
      </w:r>
    </w:p>
    <w:p w:rsidR="00A61B34" w:rsidRPr="00680B83" w:rsidRDefault="00BF1BEC" w:rsidP="00881E5F">
      <w:pPr>
        <w:pStyle w:val="NormalWeb"/>
        <w:jc w:val="both"/>
        <w:rPr>
          <w:rFonts w:cs="Arial"/>
        </w:rPr>
      </w:pPr>
      <w:r w:rsidRPr="00680B83">
        <w:rPr>
          <w:rFonts w:cs="Arial"/>
        </w:rPr>
        <w:t xml:space="preserve">V první polovině roku </w:t>
      </w:r>
      <w:r w:rsidR="00640BDC" w:rsidRPr="00680B83">
        <w:rPr>
          <w:rFonts w:cs="Arial"/>
        </w:rPr>
        <w:t>201</w:t>
      </w:r>
      <w:r w:rsidR="00680B83" w:rsidRPr="00680B83">
        <w:rPr>
          <w:rFonts w:cs="Arial"/>
        </w:rPr>
        <w:t>5</w:t>
      </w:r>
      <w:r w:rsidR="009E633A" w:rsidRPr="00680B83">
        <w:rPr>
          <w:rFonts w:cs="Arial"/>
        </w:rPr>
        <w:t xml:space="preserve"> </w:t>
      </w:r>
      <w:r w:rsidR="00290B54" w:rsidRPr="00680B83">
        <w:rPr>
          <w:rFonts w:cs="Arial"/>
        </w:rPr>
        <w:t xml:space="preserve">činil </w:t>
      </w:r>
      <w:r w:rsidRPr="00680B83">
        <w:rPr>
          <w:rFonts w:cs="Arial"/>
        </w:rPr>
        <w:t xml:space="preserve">provozní výsledek hospodaření (EBIT) </w:t>
      </w:r>
      <w:r w:rsidR="00F178E6" w:rsidRPr="00680B83">
        <w:rPr>
          <w:rFonts w:cs="Arial"/>
        </w:rPr>
        <w:t>1</w:t>
      </w:r>
      <w:r w:rsidR="00680B83" w:rsidRPr="00680B83">
        <w:rPr>
          <w:rFonts w:cs="Arial"/>
        </w:rPr>
        <w:t>3</w:t>
      </w:r>
      <w:r w:rsidR="00F178E6" w:rsidRPr="00680B83">
        <w:rPr>
          <w:rFonts w:cs="Arial"/>
        </w:rPr>
        <w:t>,</w:t>
      </w:r>
      <w:r w:rsidR="00680B83" w:rsidRPr="00680B83">
        <w:rPr>
          <w:rFonts w:cs="Arial"/>
        </w:rPr>
        <w:t>6</w:t>
      </w:r>
      <w:r w:rsidRPr="00680B83">
        <w:rPr>
          <w:rFonts w:cs="Arial"/>
        </w:rPr>
        <w:t xml:space="preserve"> milion</w:t>
      </w:r>
      <w:r w:rsidR="0068261A" w:rsidRPr="00680B83">
        <w:rPr>
          <w:rFonts w:cs="Arial"/>
        </w:rPr>
        <w:t>u</w:t>
      </w:r>
      <w:r w:rsidRPr="00680B83">
        <w:rPr>
          <w:rFonts w:cs="Arial"/>
        </w:rPr>
        <w:t xml:space="preserve"> </w:t>
      </w:r>
      <w:r w:rsidR="00684B0E" w:rsidRPr="00680B83">
        <w:rPr>
          <w:rFonts w:cs="Arial"/>
        </w:rPr>
        <w:t>EUR</w:t>
      </w:r>
      <w:r w:rsidRPr="00680B83">
        <w:rPr>
          <w:rFonts w:cs="Arial"/>
        </w:rPr>
        <w:t xml:space="preserve">, o </w:t>
      </w:r>
      <w:r w:rsidR="00680B83" w:rsidRPr="00680B83">
        <w:rPr>
          <w:rFonts w:cs="Arial"/>
        </w:rPr>
        <w:t>7</w:t>
      </w:r>
      <w:r w:rsidR="00A455DF" w:rsidRPr="00680B83">
        <w:rPr>
          <w:rFonts w:cs="Arial"/>
        </w:rPr>
        <w:t>,</w:t>
      </w:r>
      <w:r w:rsidR="00680B83" w:rsidRPr="00680B83">
        <w:rPr>
          <w:rFonts w:cs="Arial"/>
        </w:rPr>
        <w:t>8</w:t>
      </w:r>
      <w:r w:rsidRPr="00680B83">
        <w:rPr>
          <w:rFonts w:cs="Arial"/>
        </w:rPr>
        <w:t xml:space="preserve"> % </w:t>
      </w:r>
      <w:r w:rsidR="00680B83" w:rsidRPr="00680B83">
        <w:rPr>
          <w:rFonts w:cs="Arial"/>
        </w:rPr>
        <w:t xml:space="preserve">méně </w:t>
      </w:r>
      <w:r w:rsidRPr="00680B83">
        <w:rPr>
          <w:rFonts w:cs="Arial"/>
        </w:rPr>
        <w:t>n</w:t>
      </w:r>
      <w:r w:rsidR="00290B54" w:rsidRPr="00680B83">
        <w:rPr>
          <w:rFonts w:cs="Arial"/>
        </w:rPr>
        <w:t>ež</w:t>
      </w:r>
      <w:r w:rsidRPr="00680B83">
        <w:rPr>
          <w:rFonts w:cs="Arial"/>
        </w:rPr>
        <w:t xml:space="preserve"> ve stejn</w:t>
      </w:r>
      <w:r w:rsidR="00066B8A" w:rsidRPr="00680B83">
        <w:rPr>
          <w:rFonts w:cs="Arial"/>
        </w:rPr>
        <w:t>é</w:t>
      </w:r>
      <w:r w:rsidRPr="00680B83">
        <w:rPr>
          <w:rFonts w:cs="Arial"/>
        </w:rPr>
        <w:t>m o</w:t>
      </w:r>
      <w:r w:rsidR="00640BDC" w:rsidRPr="00680B83">
        <w:rPr>
          <w:rFonts w:cs="Arial"/>
        </w:rPr>
        <w:t>bdobí roku 201</w:t>
      </w:r>
      <w:r w:rsidR="00680B83" w:rsidRPr="00680B83">
        <w:rPr>
          <w:rFonts w:cs="Arial"/>
        </w:rPr>
        <w:t>4</w:t>
      </w:r>
      <w:r w:rsidR="002A6E0D" w:rsidRPr="00680B83">
        <w:rPr>
          <w:rFonts w:cs="Arial"/>
        </w:rPr>
        <w:t xml:space="preserve">. </w:t>
      </w:r>
    </w:p>
    <w:p w:rsidR="00881E5F" w:rsidRPr="00680B83" w:rsidRDefault="00881E5F" w:rsidP="00881E5F">
      <w:pPr>
        <w:pStyle w:val="NormalWeb"/>
        <w:jc w:val="both"/>
      </w:pPr>
      <w:r w:rsidRPr="00680B83">
        <w:t xml:space="preserve">Ve druhém čtvrtletí </w:t>
      </w:r>
      <w:r w:rsidR="001755D6" w:rsidRPr="00680B83">
        <w:t xml:space="preserve">roku </w:t>
      </w:r>
      <w:r w:rsidR="00F178E6" w:rsidRPr="00680B83">
        <w:t>201</w:t>
      </w:r>
      <w:r w:rsidR="00680B83" w:rsidRPr="00680B83">
        <w:t>5</w:t>
      </w:r>
      <w:r w:rsidR="009E633A" w:rsidRPr="00680B83">
        <w:t xml:space="preserve"> </w:t>
      </w:r>
      <w:r w:rsidRPr="00680B83">
        <w:t xml:space="preserve">provozní zisk (EBIT) </w:t>
      </w:r>
      <w:r w:rsidR="001B4D0D" w:rsidRPr="00680B83">
        <w:t xml:space="preserve">v meziročním srovnání </w:t>
      </w:r>
      <w:r w:rsidR="00680B83" w:rsidRPr="00680B83">
        <w:t xml:space="preserve">poklesl na 5,0 milionu EUR, tj. </w:t>
      </w:r>
      <w:r w:rsidR="00C83E10">
        <w:t xml:space="preserve">meziročně </w:t>
      </w:r>
      <w:r w:rsidR="00680B83" w:rsidRPr="00680B83">
        <w:t>o 19,2 %</w:t>
      </w:r>
      <w:r w:rsidRPr="00680B83">
        <w:t>.</w:t>
      </w:r>
    </w:p>
    <w:p w:rsidR="004F2222" w:rsidRPr="00C83E10" w:rsidRDefault="00BF1BEC" w:rsidP="004F2222">
      <w:pPr>
        <w:pStyle w:val="NormalWeb"/>
        <w:rPr>
          <w:rStyle w:val="Strong"/>
          <w:rFonts w:cs="Arial"/>
        </w:rPr>
      </w:pPr>
      <w:r w:rsidRPr="00C83E10">
        <w:rPr>
          <w:rStyle w:val="Strong"/>
          <w:rFonts w:cs="Arial"/>
        </w:rPr>
        <w:t xml:space="preserve">Finanční </w:t>
      </w:r>
      <w:r w:rsidR="00823538" w:rsidRPr="00C83E10">
        <w:rPr>
          <w:rStyle w:val="Strong"/>
          <w:rFonts w:cs="Arial"/>
        </w:rPr>
        <w:t>výnosy</w:t>
      </w:r>
      <w:r w:rsidRPr="00C83E10">
        <w:rPr>
          <w:rStyle w:val="Strong"/>
          <w:rFonts w:cs="Arial"/>
        </w:rPr>
        <w:t xml:space="preserve"> a náklady</w:t>
      </w:r>
    </w:p>
    <w:p w:rsidR="00357AC0" w:rsidRPr="00411342" w:rsidRDefault="00823538" w:rsidP="004F2222">
      <w:pPr>
        <w:pStyle w:val="NormalWeb"/>
        <w:jc w:val="both"/>
        <w:rPr>
          <w:rFonts w:cs="Arial"/>
          <w:highlight w:val="yellow"/>
        </w:rPr>
      </w:pPr>
      <w:r w:rsidRPr="003035F5">
        <w:rPr>
          <w:rFonts w:cs="Arial"/>
        </w:rPr>
        <w:t xml:space="preserve">V první polovině roku </w:t>
      </w:r>
      <w:r w:rsidR="002A26B6" w:rsidRPr="003035F5">
        <w:rPr>
          <w:rFonts w:cs="Arial"/>
        </w:rPr>
        <w:t>201</w:t>
      </w:r>
      <w:r w:rsidR="00C83E10" w:rsidRPr="003035F5">
        <w:rPr>
          <w:rFonts w:cs="Arial"/>
        </w:rPr>
        <w:t>5</w:t>
      </w:r>
      <w:r w:rsidR="00BC1DB5" w:rsidRPr="003035F5">
        <w:rPr>
          <w:rFonts w:cs="Arial"/>
        </w:rPr>
        <w:t xml:space="preserve"> </w:t>
      </w:r>
      <w:r w:rsidRPr="003035F5">
        <w:rPr>
          <w:rFonts w:cs="Arial"/>
        </w:rPr>
        <w:t>dosáhly kurzové zisky a ostatní finanční výnosy</w:t>
      </w:r>
      <w:r w:rsidR="00050C7B" w:rsidRPr="003035F5">
        <w:rPr>
          <w:rFonts w:cs="Arial"/>
        </w:rPr>
        <w:t>/náklady</w:t>
      </w:r>
      <w:r w:rsidRPr="003035F5">
        <w:rPr>
          <w:rFonts w:cs="Arial"/>
        </w:rPr>
        <w:t xml:space="preserve"> (</w:t>
      </w:r>
      <w:r w:rsidR="006A45C3" w:rsidRPr="003035F5">
        <w:rPr>
          <w:rFonts w:cs="Arial"/>
        </w:rPr>
        <w:t>netto</w:t>
      </w:r>
      <w:r w:rsidRPr="003035F5">
        <w:rPr>
          <w:rFonts w:cs="Arial"/>
        </w:rPr>
        <w:t xml:space="preserve">) </w:t>
      </w:r>
      <w:r w:rsidR="001B4D0D" w:rsidRPr="003035F5">
        <w:rPr>
          <w:rFonts w:cs="Arial"/>
        </w:rPr>
        <w:t xml:space="preserve">výnos </w:t>
      </w:r>
      <w:r w:rsidR="00C83E10" w:rsidRPr="003035F5">
        <w:rPr>
          <w:rFonts w:cs="Arial"/>
        </w:rPr>
        <w:t>8</w:t>
      </w:r>
      <w:r w:rsidR="001B4D0D" w:rsidRPr="003035F5">
        <w:rPr>
          <w:rFonts w:cs="Arial"/>
        </w:rPr>
        <w:t>,</w:t>
      </w:r>
      <w:r w:rsidR="00C83E10" w:rsidRPr="003035F5">
        <w:rPr>
          <w:rFonts w:cs="Arial"/>
        </w:rPr>
        <w:t>2</w:t>
      </w:r>
      <w:r w:rsidR="00052298" w:rsidRPr="003035F5">
        <w:rPr>
          <w:rFonts w:cs="Arial"/>
        </w:rPr>
        <w:t xml:space="preserve"> </w:t>
      </w:r>
      <w:r w:rsidR="0068261A" w:rsidRPr="003035F5">
        <w:rPr>
          <w:rFonts w:cs="Arial"/>
        </w:rPr>
        <w:t>milionu</w:t>
      </w:r>
      <w:r w:rsidRPr="003035F5">
        <w:rPr>
          <w:rFonts w:cs="Arial"/>
        </w:rPr>
        <w:t xml:space="preserve"> </w:t>
      </w:r>
      <w:r w:rsidR="00684B0E" w:rsidRPr="003035F5">
        <w:rPr>
          <w:rFonts w:cs="Arial"/>
        </w:rPr>
        <w:t>EUR</w:t>
      </w:r>
      <w:r w:rsidR="00E52725" w:rsidRPr="003035F5">
        <w:rPr>
          <w:rFonts w:cs="Arial"/>
        </w:rPr>
        <w:t xml:space="preserve">, </w:t>
      </w:r>
      <w:r w:rsidR="00A455DF" w:rsidRPr="003035F5">
        <w:rPr>
          <w:rFonts w:cs="Arial"/>
        </w:rPr>
        <w:t>v porovnání s</w:t>
      </w:r>
      <w:r w:rsidR="00C83E10" w:rsidRPr="003035F5">
        <w:rPr>
          <w:rFonts w:cs="Arial"/>
        </w:rPr>
        <w:t> výnosem 1</w:t>
      </w:r>
      <w:r w:rsidR="00A455DF" w:rsidRPr="003035F5">
        <w:rPr>
          <w:rFonts w:cs="Arial"/>
        </w:rPr>
        <w:t>,</w:t>
      </w:r>
      <w:r w:rsidR="00C83E10" w:rsidRPr="003035F5">
        <w:rPr>
          <w:rFonts w:cs="Arial"/>
        </w:rPr>
        <w:t>1</w:t>
      </w:r>
      <w:r w:rsidR="00A455DF" w:rsidRPr="003035F5">
        <w:rPr>
          <w:rFonts w:cs="Arial"/>
        </w:rPr>
        <w:t xml:space="preserve"> milionu EUR dosažen</w:t>
      </w:r>
      <w:r w:rsidR="00A72BA1">
        <w:rPr>
          <w:rFonts w:cs="Arial"/>
        </w:rPr>
        <w:t>ý</w:t>
      </w:r>
      <w:r w:rsidR="00A455DF" w:rsidRPr="003035F5">
        <w:rPr>
          <w:rFonts w:cs="Arial"/>
        </w:rPr>
        <w:t>m ve stejném období loňského roku</w:t>
      </w:r>
      <w:r w:rsidR="00357AC0" w:rsidRPr="003035F5">
        <w:rPr>
          <w:rFonts w:cs="Arial"/>
        </w:rPr>
        <w:t xml:space="preserve">. Tato položka </w:t>
      </w:r>
      <w:r w:rsidR="007C7F93" w:rsidRPr="003035F5">
        <w:rPr>
          <w:rFonts w:cs="Arial"/>
        </w:rPr>
        <w:t xml:space="preserve">představuje </w:t>
      </w:r>
      <w:r w:rsidR="00357AC0" w:rsidRPr="003035F5">
        <w:rPr>
          <w:rFonts w:cs="Arial"/>
        </w:rPr>
        <w:t>realizované a nerealizované kurzové zisky/ztráty</w:t>
      </w:r>
      <w:r w:rsidR="00050C7B" w:rsidRPr="003035F5">
        <w:rPr>
          <w:rFonts w:cs="Arial"/>
        </w:rPr>
        <w:t xml:space="preserve"> </w:t>
      </w:r>
      <w:r w:rsidR="00BC1DB5" w:rsidRPr="003035F5">
        <w:rPr>
          <w:rFonts w:cs="Arial"/>
        </w:rPr>
        <w:t>a</w:t>
      </w:r>
      <w:r w:rsidR="00357AC0" w:rsidRPr="003035F5">
        <w:rPr>
          <w:rFonts w:cs="Arial"/>
        </w:rPr>
        <w:t xml:space="preserve"> ostatní </w:t>
      </w:r>
      <w:r w:rsidR="006902A4" w:rsidRPr="003035F5">
        <w:rPr>
          <w:rFonts w:cs="Arial"/>
        </w:rPr>
        <w:t>finanční</w:t>
      </w:r>
      <w:r w:rsidR="00357AC0" w:rsidRPr="003035F5">
        <w:rPr>
          <w:rFonts w:cs="Arial"/>
        </w:rPr>
        <w:t xml:space="preserve"> výnosy a náklady</w:t>
      </w:r>
      <w:r w:rsidR="00357AC0" w:rsidRPr="003035F5">
        <w:t>.</w:t>
      </w:r>
      <w:r w:rsidR="005F221E" w:rsidRPr="003035F5">
        <w:t xml:space="preserve"> </w:t>
      </w:r>
      <w:r w:rsidR="00AE3125" w:rsidRPr="003035F5">
        <w:t xml:space="preserve">Meziroční změna této </w:t>
      </w:r>
      <w:r w:rsidR="003035F5" w:rsidRPr="003035F5">
        <w:t xml:space="preserve">položky byla dána zejména posílením kurzu dolaru vůči EUR v prvním čtvrtletí letošního roku. Posilování dolaru vedlo k nerealizovaným kurzovým rozdílům souvisejícím s přeceněním rozvahových položek denominovaných v EUR a to zejména ve vztahu k vnitropodnikové půjčce dceřiné společnosti v Egyptě. </w:t>
      </w:r>
      <w:r w:rsidR="00050C7B" w:rsidRPr="003035F5">
        <w:t>K</w:t>
      </w:r>
      <w:r w:rsidR="009F4E29" w:rsidRPr="003035F5">
        <w:t xml:space="preserve">urzové </w:t>
      </w:r>
      <w:r w:rsidR="00050C7B" w:rsidRPr="003035F5">
        <w:t>změny</w:t>
      </w:r>
      <w:r w:rsidR="009F4E29" w:rsidRPr="003035F5">
        <w:t xml:space="preserve"> a ostatní finanční výnosy</w:t>
      </w:r>
      <w:r w:rsidR="00050C7B" w:rsidRPr="003035F5">
        <w:t>/náklady</w:t>
      </w:r>
      <w:r w:rsidR="009F4E29" w:rsidRPr="003035F5">
        <w:t xml:space="preserve"> (</w:t>
      </w:r>
      <w:r w:rsidR="006A45C3" w:rsidRPr="003035F5">
        <w:t>netto</w:t>
      </w:r>
      <w:r w:rsidR="009F4E29" w:rsidRPr="003035F5">
        <w:t xml:space="preserve">) </w:t>
      </w:r>
      <w:r w:rsidR="00050C7B" w:rsidRPr="003035F5">
        <w:t>představovaly v samotném druhém čtvrtletí</w:t>
      </w:r>
      <w:r w:rsidR="00291CA6" w:rsidRPr="003035F5">
        <w:t xml:space="preserve"> </w:t>
      </w:r>
      <w:r w:rsidR="00050C7B" w:rsidRPr="003035F5">
        <w:t>roku</w:t>
      </w:r>
      <w:r w:rsidR="001105CE" w:rsidRPr="003035F5">
        <w:t xml:space="preserve"> </w:t>
      </w:r>
      <w:r w:rsidR="002A26B6" w:rsidRPr="003035F5">
        <w:t>201</w:t>
      </w:r>
      <w:r w:rsidR="003035F5" w:rsidRPr="003035F5">
        <w:t>5</w:t>
      </w:r>
      <w:r w:rsidR="00291CA6" w:rsidRPr="003035F5">
        <w:t xml:space="preserve"> </w:t>
      </w:r>
      <w:r w:rsidR="003035F5" w:rsidRPr="003035F5">
        <w:t xml:space="preserve">náklad 0,3 milionu EUR oproti výnosu </w:t>
      </w:r>
      <w:r w:rsidR="001B4D0D" w:rsidRPr="003035F5">
        <w:t>1,5</w:t>
      </w:r>
      <w:r w:rsidR="009F4E29" w:rsidRPr="003035F5">
        <w:t xml:space="preserve"> milion</w:t>
      </w:r>
      <w:r w:rsidR="0068261A" w:rsidRPr="003035F5">
        <w:t>u</w:t>
      </w:r>
      <w:r w:rsidR="00432FEB" w:rsidRPr="003035F5">
        <w:t xml:space="preserve"> EUR</w:t>
      </w:r>
      <w:r w:rsidR="003035F5" w:rsidRPr="003035F5">
        <w:t xml:space="preserve"> ve srovnatelném období předchozího roku</w:t>
      </w:r>
      <w:r w:rsidR="00A455DF" w:rsidRPr="003035F5">
        <w:t>.</w:t>
      </w:r>
    </w:p>
    <w:p w:rsidR="007B3CEF" w:rsidRPr="009844E3" w:rsidRDefault="00357AC0" w:rsidP="004F2222">
      <w:pPr>
        <w:pStyle w:val="NormalWeb"/>
        <w:jc w:val="both"/>
        <w:rPr>
          <w:rFonts w:cs="Arial"/>
        </w:rPr>
      </w:pPr>
      <w:r w:rsidRPr="003035F5">
        <w:rPr>
          <w:rFonts w:cs="Arial"/>
        </w:rPr>
        <w:lastRenderedPageBreak/>
        <w:t>Úrokové náklady (</w:t>
      </w:r>
      <w:r w:rsidR="006A45C3" w:rsidRPr="003035F5">
        <w:rPr>
          <w:rFonts w:cs="Arial"/>
        </w:rPr>
        <w:t>netto</w:t>
      </w:r>
      <w:r w:rsidRPr="003035F5">
        <w:rPr>
          <w:rFonts w:cs="Arial"/>
        </w:rPr>
        <w:t xml:space="preserve">) spojené s </w:t>
      </w:r>
      <w:r w:rsidR="00774E05" w:rsidRPr="003035F5">
        <w:rPr>
          <w:rFonts w:cs="Arial"/>
        </w:rPr>
        <w:t>obsluhou</w:t>
      </w:r>
      <w:r w:rsidR="007C7F93" w:rsidRPr="003035F5">
        <w:rPr>
          <w:rFonts w:cs="Arial"/>
        </w:rPr>
        <w:t xml:space="preserve"> </w:t>
      </w:r>
      <w:r w:rsidRPr="003035F5">
        <w:rPr>
          <w:rFonts w:cs="Arial"/>
        </w:rPr>
        <w:t>dluhu</w:t>
      </w:r>
      <w:r w:rsidR="007C7F93" w:rsidRPr="003035F5">
        <w:rPr>
          <w:rFonts w:cs="Arial"/>
        </w:rPr>
        <w:t xml:space="preserve"> činily </w:t>
      </w:r>
      <w:r w:rsidR="00290B54" w:rsidRPr="003035F5">
        <w:rPr>
          <w:rFonts w:cs="Arial"/>
        </w:rPr>
        <w:t xml:space="preserve">v první polovině </w:t>
      </w:r>
      <w:r w:rsidR="007B3CEF" w:rsidRPr="003035F5">
        <w:rPr>
          <w:rFonts w:cs="Arial"/>
        </w:rPr>
        <w:t xml:space="preserve">tohoto </w:t>
      </w:r>
      <w:r w:rsidR="00290B54" w:rsidRPr="003035F5">
        <w:rPr>
          <w:rFonts w:cs="Arial"/>
        </w:rPr>
        <w:t xml:space="preserve">roku </w:t>
      </w:r>
      <w:r w:rsidR="003035F5" w:rsidRPr="003035F5">
        <w:rPr>
          <w:rFonts w:cs="Arial"/>
        </w:rPr>
        <w:t>3</w:t>
      </w:r>
      <w:r w:rsidR="002A26B6" w:rsidRPr="003035F5">
        <w:rPr>
          <w:rFonts w:cs="Arial"/>
        </w:rPr>
        <w:t>,</w:t>
      </w:r>
      <w:r w:rsidR="003035F5" w:rsidRPr="003035F5">
        <w:rPr>
          <w:rFonts w:cs="Arial"/>
        </w:rPr>
        <w:t>5</w:t>
      </w:r>
      <w:r w:rsidR="00052298" w:rsidRPr="003035F5">
        <w:rPr>
          <w:rFonts w:cs="Arial"/>
        </w:rPr>
        <w:t xml:space="preserve"> </w:t>
      </w:r>
      <w:r w:rsidR="0068261A" w:rsidRPr="003035F5">
        <w:rPr>
          <w:rFonts w:cs="Arial"/>
        </w:rPr>
        <w:t>milionu</w:t>
      </w:r>
      <w:r w:rsidR="007C7F93" w:rsidRPr="003035F5">
        <w:rPr>
          <w:rFonts w:cs="Arial"/>
        </w:rPr>
        <w:t xml:space="preserve"> </w:t>
      </w:r>
      <w:r w:rsidR="00684B0E" w:rsidRPr="003035F5">
        <w:rPr>
          <w:rFonts w:cs="Arial"/>
        </w:rPr>
        <w:t>EUR</w:t>
      </w:r>
      <w:r w:rsidR="007C7F93" w:rsidRPr="003035F5">
        <w:rPr>
          <w:rFonts w:cs="Arial"/>
        </w:rPr>
        <w:t xml:space="preserve">, tj. o </w:t>
      </w:r>
      <w:r w:rsidR="003035F5" w:rsidRPr="003035F5">
        <w:rPr>
          <w:rFonts w:cs="Arial"/>
        </w:rPr>
        <w:t>15</w:t>
      </w:r>
      <w:r w:rsidR="00A455DF" w:rsidRPr="003035F5">
        <w:rPr>
          <w:rFonts w:cs="Arial"/>
        </w:rPr>
        <w:t>,</w:t>
      </w:r>
      <w:r w:rsidR="003035F5" w:rsidRPr="003035F5">
        <w:rPr>
          <w:rFonts w:cs="Arial"/>
        </w:rPr>
        <w:t>9</w:t>
      </w:r>
      <w:r w:rsidR="00A455DF" w:rsidRPr="003035F5">
        <w:rPr>
          <w:rFonts w:cs="Arial"/>
        </w:rPr>
        <w:t xml:space="preserve"> </w:t>
      </w:r>
      <w:r w:rsidR="007C7F93" w:rsidRPr="003035F5">
        <w:rPr>
          <w:rFonts w:cs="Arial"/>
        </w:rPr>
        <w:t xml:space="preserve">% </w:t>
      </w:r>
      <w:r w:rsidR="003035F5" w:rsidRPr="003035F5">
        <w:rPr>
          <w:rFonts w:cs="Arial"/>
        </w:rPr>
        <w:t xml:space="preserve">méně </w:t>
      </w:r>
      <w:r w:rsidR="007C7F93" w:rsidRPr="003035F5">
        <w:rPr>
          <w:rFonts w:cs="Arial"/>
        </w:rPr>
        <w:t>ve srovn</w:t>
      </w:r>
      <w:r w:rsidR="00290B54" w:rsidRPr="003035F5">
        <w:rPr>
          <w:rFonts w:cs="Arial"/>
        </w:rPr>
        <w:t>ání se stejným obdobím roku</w:t>
      </w:r>
      <w:r w:rsidR="002A26B6" w:rsidRPr="003035F5">
        <w:rPr>
          <w:rFonts w:cs="Arial"/>
        </w:rPr>
        <w:t xml:space="preserve"> 201</w:t>
      </w:r>
      <w:r w:rsidR="003035F5" w:rsidRPr="003035F5">
        <w:rPr>
          <w:rFonts w:cs="Arial"/>
        </w:rPr>
        <w:t>4</w:t>
      </w:r>
      <w:r w:rsidR="007C7F93" w:rsidRPr="003035F5">
        <w:rPr>
          <w:rFonts w:cs="Arial"/>
        </w:rPr>
        <w:t xml:space="preserve">. </w:t>
      </w:r>
      <w:r w:rsidR="00BC4B7D" w:rsidRPr="003035F5">
        <w:rPr>
          <w:rFonts w:cs="Arial"/>
        </w:rPr>
        <w:t>Ve druhém čtvrtletí 201</w:t>
      </w:r>
      <w:r w:rsidR="003035F5" w:rsidRPr="003035F5">
        <w:rPr>
          <w:rFonts w:cs="Arial"/>
        </w:rPr>
        <w:t>5</w:t>
      </w:r>
      <w:r w:rsidR="00BC4B7D" w:rsidRPr="003035F5">
        <w:rPr>
          <w:rFonts w:cs="Arial"/>
        </w:rPr>
        <w:t xml:space="preserve"> dosáhly úrokové náklady (netto) hodnoty </w:t>
      </w:r>
      <w:r w:rsidR="003035F5" w:rsidRPr="003035F5">
        <w:rPr>
          <w:rFonts w:cs="Arial"/>
        </w:rPr>
        <w:t>1</w:t>
      </w:r>
      <w:r w:rsidR="00BC4B7D" w:rsidRPr="003035F5">
        <w:rPr>
          <w:rFonts w:cs="Arial"/>
        </w:rPr>
        <w:t>,</w:t>
      </w:r>
      <w:r w:rsidR="003035F5" w:rsidRPr="003035F5">
        <w:rPr>
          <w:rFonts w:cs="Arial"/>
        </w:rPr>
        <w:t>8</w:t>
      </w:r>
      <w:r w:rsidR="00BC4B7D" w:rsidRPr="003035F5">
        <w:rPr>
          <w:rFonts w:cs="Arial"/>
        </w:rPr>
        <w:t xml:space="preserve"> milionu EUR, o </w:t>
      </w:r>
      <w:r w:rsidR="003035F5" w:rsidRPr="003035F5">
        <w:rPr>
          <w:rFonts w:cs="Arial"/>
        </w:rPr>
        <w:t>15</w:t>
      </w:r>
      <w:r w:rsidR="0055740A" w:rsidRPr="003035F5">
        <w:rPr>
          <w:rFonts w:cs="Arial"/>
        </w:rPr>
        <w:t>,</w:t>
      </w:r>
      <w:r w:rsidR="003035F5" w:rsidRPr="003035F5">
        <w:rPr>
          <w:rFonts w:cs="Arial"/>
        </w:rPr>
        <w:t>1</w:t>
      </w:r>
      <w:r w:rsidR="00BC4B7D" w:rsidRPr="003035F5">
        <w:rPr>
          <w:rFonts w:cs="Arial"/>
        </w:rPr>
        <w:t xml:space="preserve"> % </w:t>
      </w:r>
      <w:r w:rsidR="003035F5" w:rsidRPr="003035F5">
        <w:rPr>
          <w:rFonts w:cs="Arial"/>
        </w:rPr>
        <w:t xml:space="preserve">méně </w:t>
      </w:r>
      <w:r w:rsidR="00BC4B7D" w:rsidRPr="003035F5">
        <w:rPr>
          <w:rFonts w:cs="Arial"/>
        </w:rPr>
        <w:t xml:space="preserve">ve srovnání se stejným obdobím loňského roku. </w:t>
      </w:r>
      <w:r w:rsidR="003035F5" w:rsidRPr="003035F5">
        <w:rPr>
          <w:rFonts w:cs="Arial"/>
        </w:rPr>
        <w:t>Meziroční snížení úrokových nákladů bylo způsobeno zejména poklesem úrokové sazby z bankovních úvěrů v souvislosti se zlepšením ukazatelů zadluženosti.</w:t>
      </w:r>
      <w:r w:rsidR="00DE7AF9">
        <w:rPr>
          <w:rFonts w:cs="Arial"/>
        </w:rPr>
        <w:t xml:space="preserve"> Pozitivní vliv na meziroční srovnání měla i emise dluhopisů </w:t>
      </w:r>
      <w:r w:rsidR="00DE7AF9" w:rsidRPr="009844E3">
        <w:rPr>
          <w:rFonts w:cs="Arial"/>
        </w:rPr>
        <w:t>z listopadu minulého roku.</w:t>
      </w:r>
      <w:r w:rsidR="0055740A" w:rsidRPr="009844E3">
        <w:rPr>
          <w:rFonts w:cs="Arial"/>
        </w:rPr>
        <w:t xml:space="preserve"> </w:t>
      </w:r>
    </w:p>
    <w:p w:rsidR="004F2222" w:rsidRPr="009844E3" w:rsidRDefault="00952495" w:rsidP="004F2222">
      <w:pPr>
        <w:pStyle w:val="NormalWeb"/>
        <w:jc w:val="both"/>
        <w:rPr>
          <w:rFonts w:cs="Arial"/>
          <w:b/>
        </w:rPr>
      </w:pPr>
      <w:r w:rsidRPr="009844E3">
        <w:rPr>
          <w:rFonts w:cs="Arial"/>
          <w:b/>
        </w:rPr>
        <w:t>Daň z příjm</w:t>
      </w:r>
      <w:r w:rsidR="00200660" w:rsidRPr="009844E3">
        <w:rPr>
          <w:rFonts w:cs="Arial"/>
          <w:b/>
        </w:rPr>
        <w:t>ů</w:t>
      </w:r>
    </w:p>
    <w:p w:rsidR="006C0A86" w:rsidRPr="009844E3" w:rsidRDefault="00952495" w:rsidP="004F2222">
      <w:pPr>
        <w:pStyle w:val="NormalWeb"/>
        <w:jc w:val="both"/>
      </w:pPr>
      <w:r w:rsidRPr="009844E3">
        <w:rPr>
          <w:rFonts w:cs="Arial"/>
        </w:rPr>
        <w:t xml:space="preserve">V první polovině </w:t>
      </w:r>
      <w:r w:rsidR="00064B52" w:rsidRPr="009844E3">
        <w:rPr>
          <w:rFonts w:cs="Arial"/>
        </w:rPr>
        <w:t xml:space="preserve">roku </w:t>
      </w:r>
      <w:r w:rsidR="00C031CC" w:rsidRPr="009844E3">
        <w:rPr>
          <w:rFonts w:cs="Arial"/>
        </w:rPr>
        <w:t>201</w:t>
      </w:r>
      <w:r w:rsidR="00B63E00" w:rsidRPr="009844E3">
        <w:rPr>
          <w:rFonts w:cs="Arial"/>
        </w:rPr>
        <w:t>5</w:t>
      </w:r>
      <w:r w:rsidR="00C031CC" w:rsidRPr="009844E3">
        <w:rPr>
          <w:rFonts w:cs="Arial"/>
        </w:rPr>
        <w:t xml:space="preserve"> </w:t>
      </w:r>
      <w:r w:rsidRPr="009844E3">
        <w:rPr>
          <w:rFonts w:cs="Arial"/>
        </w:rPr>
        <w:t>činila daň z příjm</w:t>
      </w:r>
      <w:r w:rsidR="00200660" w:rsidRPr="009844E3">
        <w:rPr>
          <w:rFonts w:cs="Arial"/>
        </w:rPr>
        <w:t>ů</w:t>
      </w:r>
      <w:r w:rsidRPr="009844E3">
        <w:rPr>
          <w:rFonts w:cs="Arial"/>
        </w:rPr>
        <w:t xml:space="preserve"> </w:t>
      </w:r>
      <w:r w:rsidR="00B63E00" w:rsidRPr="009844E3">
        <w:rPr>
          <w:rFonts w:cs="Arial"/>
        </w:rPr>
        <w:t>2</w:t>
      </w:r>
      <w:r w:rsidR="00DA427D" w:rsidRPr="009844E3">
        <w:rPr>
          <w:rFonts w:cs="Arial"/>
        </w:rPr>
        <w:t>,</w:t>
      </w:r>
      <w:r w:rsidR="00B63E00" w:rsidRPr="009844E3">
        <w:rPr>
          <w:rFonts w:cs="Arial"/>
        </w:rPr>
        <w:t>0</w:t>
      </w:r>
      <w:r w:rsidRPr="009844E3">
        <w:rPr>
          <w:rFonts w:cs="Arial"/>
        </w:rPr>
        <w:t xml:space="preserve"> milion</w:t>
      </w:r>
      <w:r w:rsidR="0086095E" w:rsidRPr="009844E3">
        <w:rPr>
          <w:rFonts w:cs="Arial"/>
        </w:rPr>
        <w:t>u</w:t>
      </w:r>
      <w:r w:rsidRPr="009844E3">
        <w:rPr>
          <w:rFonts w:cs="Arial"/>
        </w:rPr>
        <w:t xml:space="preserve"> </w:t>
      </w:r>
      <w:r w:rsidR="00055F93" w:rsidRPr="009844E3">
        <w:rPr>
          <w:rFonts w:cs="Arial"/>
        </w:rPr>
        <w:t>EUR</w:t>
      </w:r>
      <w:r w:rsidR="009F4E29" w:rsidRPr="009844E3">
        <w:rPr>
          <w:rFonts w:cs="Arial"/>
        </w:rPr>
        <w:t xml:space="preserve">, o </w:t>
      </w:r>
      <w:r w:rsidR="00B63E00" w:rsidRPr="009844E3">
        <w:rPr>
          <w:rFonts w:cs="Arial"/>
        </w:rPr>
        <w:t>71</w:t>
      </w:r>
      <w:r w:rsidR="00A455DF" w:rsidRPr="009844E3">
        <w:rPr>
          <w:rFonts w:cs="Arial"/>
        </w:rPr>
        <w:t>,</w:t>
      </w:r>
      <w:r w:rsidR="00B63E00" w:rsidRPr="009844E3">
        <w:rPr>
          <w:rFonts w:cs="Arial"/>
        </w:rPr>
        <w:t>2</w:t>
      </w:r>
      <w:r w:rsidR="00865CEE" w:rsidRPr="009844E3">
        <w:rPr>
          <w:rFonts w:cs="Arial"/>
        </w:rPr>
        <w:t xml:space="preserve"> </w:t>
      </w:r>
      <w:r w:rsidR="009F4E29" w:rsidRPr="009844E3">
        <w:rPr>
          <w:rFonts w:cs="Arial"/>
        </w:rPr>
        <w:t xml:space="preserve">% </w:t>
      </w:r>
      <w:r w:rsidR="00B63E00" w:rsidRPr="009844E3">
        <w:rPr>
          <w:rFonts w:cs="Arial"/>
        </w:rPr>
        <w:t xml:space="preserve">více </w:t>
      </w:r>
      <w:r w:rsidR="009F4E29" w:rsidRPr="009844E3">
        <w:rPr>
          <w:rFonts w:cs="Arial"/>
        </w:rPr>
        <w:t>než ve</w:t>
      </w:r>
      <w:r w:rsidRPr="009844E3">
        <w:rPr>
          <w:rFonts w:cs="Arial"/>
        </w:rPr>
        <w:t xml:space="preserve"> stejné</w:t>
      </w:r>
      <w:r w:rsidR="00064B52" w:rsidRPr="009844E3">
        <w:rPr>
          <w:rFonts w:cs="Arial"/>
        </w:rPr>
        <w:t>m</w:t>
      </w:r>
      <w:r w:rsidR="00DA427D" w:rsidRPr="009844E3">
        <w:rPr>
          <w:rFonts w:cs="Arial"/>
        </w:rPr>
        <w:t xml:space="preserve"> období roku 201</w:t>
      </w:r>
      <w:r w:rsidR="00B63E00" w:rsidRPr="009844E3">
        <w:rPr>
          <w:rFonts w:cs="Arial"/>
        </w:rPr>
        <w:t>4</w:t>
      </w:r>
      <w:r w:rsidRPr="009844E3">
        <w:rPr>
          <w:rFonts w:cs="Arial"/>
        </w:rPr>
        <w:t xml:space="preserve">. </w:t>
      </w:r>
      <w:r w:rsidR="00E5263E" w:rsidRPr="009844E3">
        <w:rPr>
          <w:rFonts w:cs="Arial"/>
        </w:rPr>
        <w:t>Splatná daň činila 1,</w:t>
      </w:r>
      <w:r w:rsidR="009F7881" w:rsidRPr="009844E3">
        <w:rPr>
          <w:rFonts w:cs="Arial"/>
        </w:rPr>
        <w:t>7</w:t>
      </w:r>
      <w:r w:rsidR="00E5263E" w:rsidRPr="009844E3">
        <w:rPr>
          <w:rFonts w:cs="Arial"/>
        </w:rPr>
        <w:t xml:space="preserve"> milionu EUR</w:t>
      </w:r>
      <w:r w:rsidR="005057CB" w:rsidRPr="009844E3">
        <w:rPr>
          <w:rFonts w:cs="Arial"/>
        </w:rPr>
        <w:t xml:space="preserve"> (1,</w:t>
      </w:r>
      <w:r w:rsidR="009F7881" w:rsidRPr="009844E3">
        <w:rPr>
          <w:rFonts w:cs="Arial"/>
        </w:rPr>
        <w:t>2</w:t>
      </w:r>
      <w:r w:rsidR="005057CB" w:rsidRPr="009844E3">
        <w:rPr>
          <w:rFonts w:cs="Arial"/>
        </w:rPr>
        <w:t xml:space="preserve"> milionu EUR v roce 201</w:t>
      </w:r>
      <w:r w:rsidR="009F7881" w:rsidRPr="009844E3">
        <w:rPr>
          <w:rFonts w:cs="Arial"/>
        </w:rPr>
        <w:t>4</w:t>
      </w:r>
      <w:r w:rsidR="005057CB" w:rsidRPr="009844E3">
        <w:rPr>
          <w:rFonts w:cs="Arial"/>
        </w:rPr>
        <w:t>)</w:t>
      </w:r>
      <w:r w:rsidR="00E5263E" w:rsidRPr="009844E3">
        <w:rPr>
          <w:rFonts w:cs="Arial"/>
        </w:rPr>
        <w:t xml:space="preserve">, zatímco změna v odložené dani reprezentovala </w:t>
      </w:r>
      <w:r w:rsidR="009F7881" w:rsidRPr="009844E3">
        <w:rPr>
          <w:rFonts w:cs="Arial"/>
        </w:rPr>
        <w:t xml:space="preserve">náklad </w:t>
      </w:r>
      <w:r w:rsidR="00E5263E" w:rsidRPr="009844E3">
        <w:rPr>
          <w:rFonts w:cs="Arial"/>
        </w:rPr>
        <w:t>0,</w:t>
      </w:r>
      <w:r w:rsidR="009F7881" w:rsidRPr="009844E3">
        <w:rPr>
          <w:rFonts w:cs="Arial"/>
        </w:rPr>
        <w:t>3</w:t>
      </w:r>
      <w:r w:rsidR="00E5263E" w:rsidRPr="009844E3">
        <w:rPr>
          <w:rFonts w:cs="Arial"/>
        </w:rPr>
        <w:t xml:space="preserve"> milionu EUR.</w:t>
      </w:r>
      <w:r w:rsidR="005057CB" w:rsidRPr="009844E3">
        <w:rPr>
          <w:rFonts w:cs="Arial"/>
        </w:rPr>
        <w:t xml:space="preserve"> </w:t>
      </w:r>
      <w:r w:rsidR="009F7881" w:rsidRPr="009844E3">
        <w:rPr>
          <w:rFonts w:cs="Arial"/>
        </w:rPr>
        <w:t>Nárůst splatné daně z příjmů byl způsoben zejména vypršením období investičních pobídek ve formě daňových úlev z daně příjmů právnických osob u společnosti PEGAS-NT, a.s.</w:t>
      </w:r>
      <w:r w:rsidR="009403A6" w:rsidRPr="009844E3">
        <w:rPr>
          <w:rFonts w:cs="Arial"/>
        </w:rPr>
        <w:t xml:space="preserve"> </w:t>
      </w:r>
    </w:p>
    <w:p w:rsidR="00B27F36" w:rsidRPr="00B63E00" w:rsidRDefault="005F221E" w:rsidP="00B27F36">
      <w:pPr>
        <w:pStyle w:val="NormalWeb"/>
        <w:jc w:val="both"/>
        <w:rPr>
          <w:rFonts w:cs="Arial"/>
        </w:rPr>
      </w:pPr>
      <w:r w:rsidRPr="009844E3">
        <w:rPr>
          <w:rFonts w:cs="Arial"/>
        </w:rPr>
        <w:t>V</w:t>
      </w:r>
      <w:r w:rsidR="00064B52" w:rsidRPr="009844E3">
        <w:rPr>
          <w:rFonts w:cs="Arial"/>
        </w:rPr>
        <w:t xml:space="preserve"> samotném</w:t>
      </w:r>
      <w:r w:rsidRPr="009844E3">
        <w:rPr>
          <w:rFonts w:cs="Arial"/>
        </w:rPr>
        <w:t xml:space="preserve"> druhém čtvrtletí </w:t>
      </w:r>
      <w:r w:rsidR="00C031CC" w:rsidRPr="009844E3">
        <w:rPr>
          <w:rFonts w:cs="Arial"/>
        </w:rPr>
        <w:t>201</w:t>
      </w:r>
      <w:r w:rsidR="00B63E00" w:rsidRPr="009844E3">
        <w:rPr>
          <w:rFonts w:cs="Arial"/>
        </w:rPr>
        <w:t>5</w:t>
      </w:r>
      <w:r w:rsidR="00C031CC" w:rsidRPr="009844E3">
        <w:rPr>
          <w:rFonts w:cs="Arial"/>
        </w:rPr>
        <w:t xml:space="preserve"> </w:t>
      </w:r>
      <w:r w:rsidR="009F4E29" w:rsidRPr="009844E3">
        <w:rPr>
          <w:rFonts w:cs="Arial"/>
        </w:rPr>
        <w:t>dosáhla daň z příjm</w:t>
      </w:r>
      <w:r w:rsidR="00200660" w:rsidRPr="009844E3">
        <w:rPr>
          <w:rFonts w:cs="Arial"/>
        </w:rPr>
        <w:t>ů</w:t>
      </w:r>
      <w:r w:rsidR="009F4E29" w:rsidRPr="009844E3">
        <w:rPr>
          <w:rFonts w:cs="Arial"/>
        </w:rPr>
        <w:t xml:space="preserve"> </w:t>
      </w:r>
      <w:r w:rsidR="0055740A" w:rsidRPr="009844E3">
        <w:rPr>
          <w:rFonts w:cs="Arial"/>
        </w:rPr>
        <w:t>0</w:t>
      </w:r>
      <w:r w:rsidR="00A455DF" w:rsidRPr="009844E3">
        <w:rPr>
          <w:rFonts w:cs="Arial"/>
        </w:rPr>
        <w:t>,</w:t>
      </w:r>
      <w:r w:rsidR="009844E3" w:rsidRPr="009844E3">
        <w:rPr>
          <w:rFonts w:cs="Arial"/>
        </w:rPr>
        <w:t>9</w:t>
      </w:r>
      <w:r w:rsidR="009F4E29" w:rsidRPr="009844E3">
        <w:rPr>
          <w:rFonts w:cs="Arial"/>
        </w:rPr>
        <w:t xml:space="preserve"> milion</w:t>
      </w:r>
      <w:r w:rsidR="0086095E" w:rsidRPr="009844E3">
        <w:rPr>
          <w:rFonts w:cs="Arial"/>
        </w:rPr>
        <w:t>u</w:t>
      </w:r>
      <w:r w:rsidR="009F4E29" w:rsidRPr="009844E3">
        <w:rPr>
          <w:rFonts w:cs="Arial"/>
        </w:rPr>
        <w:t xml:space="preserve"> EUR</w:t>
      </w:r>
      <w:r w:rsidR="00961655" w:rsidRPr="009844E3">
        <w:rPr>
          <w:rFonts w:cs="Arial"/>
        </w:rPr>
        <w:t xml:space="preserve"> v porovnání s</w:t>
      </w:r>
      <w:r w:rsidR="000F2D6F" w:rsidRPr="009844E3">
        <w:rPr>
          <w:rFonts w:cs="Arial"/>
        </w:rPr>
        <w:t xml:space="preserve"> částkou </w:t>
      </w:r>
      <w:r w:rsidR="00B63E00" w:rsidRPr="009844E3">
        <w:rPr>
          <w:rFonts w:cs="Arial"/>
        </w:rPr>
        <w:t>0</w:t>
      </w:r>
      <w:r w:rsidR="0055740A" w:rsidRPr="009844E3">
        <w:rPr>
          <w:rFonts w:cs="Arial"/>
        </w:rPr>
        <w:t>,</w:t>
      </w:r>
      <w:r w:rsidR="00B63E00" w:rsidRPr="009844E3">
        <w:rPr>
          <w:rFonts w:cs="Arial"/>
        </w:rPr>
        <w:t>6</w:t>
      </w:r>
      <w:r w:rsidR="00961655" w:rsidRPr="009844E3">
        <w:rPr>
          <w:rFonts w:cs="Arial"/>
        </w:rPr>
        <w:t xml:space="preserve"> milionu EUR ve stejném období minulého roku</w:t>
      </w:r>
      <w:r w:rsidR="009F4E29" w:rsidRPr="009844E3">
        <w:rPr>
          <w:rFonts w:cs="Arial"/>
        </w:rPr>
        <w:t>.</w:t>
      </w:r>
      <w:r w:rsidR="00B27F36" w:rsidRPr="009844E3">
        <w:rPr>
          <w:rFonts w:cs="Arial"/>
        </w:rPr>
        <w:t xml:space="preserve"> Splatn</w:t>
      </w:r>
      <w:r w:rsidR="00370B2E" w:rsidRPr="009844E3">
        <w:rPr>
          <w:rFonts w:cs="Arial"/>
        </w:rPr>
        <w:t>á</w:t>
      </w:r>
      <w:r w:rsidR="00B27F36" w:rsidRPr="009844E3">
        <w:rPr>
          <w:rFonts w:cs="Arial"/>
        </w:rPr>
        <w:t xml:space="preserve"> daň činila ve druhém čtvrtletí 201</w:t>
      </w:r>
      <w:r w:rsidR="005057CB" w:rsidRPr="009844E3">
        <w:rPr>
          <w:rFonts w:cs="Arial"/>
        </w:rPr>
        <w:t>4</w:t>
      </w:r>
      <w:r w:rsidR="00B27F36" w:rsidRPr="009844E3">
        <w:rPr>
          <w:rFonts w:cs="Arial"/>
        </w:rPr>
        <w:t xml:space="preserve"> </w:t>
      </w:r>
      <w:r w:rsidR="005057CB" w:rsidRPr="009844E3">
        <w:rPr>
          <w:rFonts w:cs="Arial"/>
        </w:rPr>
        <w:t>0</w:t>
      </w:r>
      <w:r w:rsidR="00B27F36" w:rsidRPr="009844E3">
        <w:rPr>
          <w:rFonts w:cs="Arial"/>
        </w:rPr>
        <w:t>,</w:t>
      </w:r>
      <w:r w:rsidR="009844E3" w:rsidRPr="009844E3">
        <w:rPr>
          <w:rFonts w:cs="Arial"/>
        </w:rPr>
        <w:t>8</w:t>
      </w:r>
      <w:r w:rsidR="00B27F36" w:rsidRPr="009844E3">
        <w:rPr>
          <w:rFonts w:cs="Arial"/>
        </w:rPr>
        <w:t xml:space="preserve"> milionu EUR, zatímco změna v odložené dani </w:t>
      </w:r>
      <w:r w:rsidR="009844E3" w:rsidRPr="009844E3">
        <w:rPr>
          <w:rFonts w:cs="Arial"/>
        </w:rPr>
        <w:t>reprezentovala náklad 0,1 milionu EUR</w:t>
      </w:r>
      <w:r w:rsidR="00B27F36" w:rsidRPr="009844E3">
        <w:rPr>
          <w:rFonts w:cs="Arial"/>
        </w:rPr>
        <w:t>.</w:t>
      </w:r>
    </w:p>
    <w:p w:rsidR="004F2222" w:rsidRPr="00B63E00" w:rsidRDefault="00D76825" w:rsidP="004F2222">
      <w:pPr>
        <w:pStyle w:val="NormalWeb"/>
        <w:jc w:val="both"/>
        <w:rPr>
          <w:rFonts w:cs="Arial"/>
          <w:b/>
        </w:rPr>
      </w:pPr>
      <w:r w:rsidRPr="00B63E00">
        <w:rPr>
          <w:rFonts w:cs="Arial"/>
          <w:b/>
        </w:rPr>
        <w:t>Čistý zisk</w:t>
      </w:r>
      <w:r w:rsidR="004F2222" w:rsidRPr="00B63E00">
        <w:rPr>
          <w:rFonts w:cs="Arial"/>
          <w:b/>
        </w:rPr>
        <w:t xml:space="preserve"> </w:t>
      </w:r>
    </w:p>
    <w:p w:rsidR="00D76825" w:rsidRPr="00B63E00" w:rsidRDefault="00D76825" w:rsidP="004F2222">
      <w:pPr>
        <w:pStyle w:val="NormalWeb"/>
        <w:jc w:val="both"/>
        <w:rPr>
          <w:rFonts w:cs="Arial"/>
        </w:rPr>
      </w:pPr>
      <w:r w:rsidRPr="00B63E00">
        <w:rPr>
          <w:rFonts w:cs="Arial"/>
        </w:rPr>
        <w:t xml:space="preserve">Čistý zisk dosáhl </w:t>
      </w:r>
      <w:r w:rsidR="008148DC" w:rsidRPr="00B63E00">
        <w:rPr>
          <w:rFonts w:cs="Arial"/>
        </w:rPr>
        <w:t xml:space="preserve">v prvním pololetí </w:t>
      </w:r>
      <w:r w:rsidR="008C39D2" w:rsidRPr="00B63E00">
        <w:rPr>
          <w:rFonts w:cs="Arial"/>
        </w:rPr>
        <w:t xml:space="preserve">roku </w:t>
      </w:r>
      <w:r w:rsidR="00C031CC" w:rsidRPr="00B63E00">
        <w:rPr>
          <w:rFonts w:cs="Arial"/>
        </w:rPr>
        <w:t>201</w:t>
      </w:r>
      <w:r w:rsidR="00B63E00">
        <w:rPr>
          <w:rFonts w:cs="Arial"/>
        </w:rPr>
        <w:t>5</w:t>
      </w:r>
      <w:r w:rsidR="00C031CC" w:rsidRPr="00B63E00">
        <w:rPr>
          <w:rFonts w:cs="Arial"/>
        </w:rPr>
        <w:t xml:space="preserve"> </w:t>
      </w:r>
      <w:r w:rsidR="008148DC" w:rsidRPr="00B63E00">
        <w:rPr>
          <w:rFonts w:cs="Arial"/>
        </w:rPr>
        <w:t>hodnoty</w:t>
      </w:r>
      <w:r w:rsidR="009400A5" w:rsidRPr="00B63E00">
        <w:rPr>
          <w:rFonts w:cs="Arial"/>
        </w:rPr>
        <w:t xml:space="preserve"> </w:t>
      </w:r>
      <w:r w:rsidR="0055740A" w:rsidRPr="00B63E00">
        <w:rPr>
          <w:rFonts w:cs="Arial"/>
        </w:rPr>
        <w:t>1</w:t>
      </w:r>
      <w:r w:rsidR="00B63E00">
        <w:rPr>
          <w:rFonts w:cs="Arial"/>
        </w:rPr>
        <w:t>6</w:t>
      </w:r>
      <w:r w:rsidR="0055740A" w:rsidRPr="00B63E00">
        <w:rPr>
          <w:rFonts w:cs="Arial"/>
        </w:rPr>
        <w:t>,</w:t>
      </w:r>
      <w:r w:rsidR="00B63E00">
        <w:rPr>
          <w:rFonts w:cs="Arial"/>
        </w:rPr>
        <w:t>3</w:t>
      </w:r>
      <w:r w:rsidRPr="00B63E00">
        <w:rPr>
          <w:rFonts w:cs="Arial"/>
        </w:rPr>
        <w:t xml:space="preserve"> </w:t>
      </w:r>
      <w:r w:rsidR="0068261A" w:rsidRPr="00B63E00">
        <w:rPr>
          <w:rFonts w:cs="Arial"/>
        </w:rPr>
        <w:t>milionu</w:t>
      </w:r>
      <w:r w:rsidRPr="00B63E00">
        <w:rPr>
          <w:rFonts w:cs="Arial"/>
        </w:rPr>
        <w:t xml:space="preserve"> </w:t>
      </w:r>
      <w:r w:rsidR="00055F93" w:rsidRPr="00B63E00">
        <w:rPr>
          <w:rFonts w:cs="Arial"/>
        </w:rPr>
        <w:t>EUR</w:t>
      </w:r>
      <w:r w:rsidRPr="00B63E00">
        <w:rPr>
          <w:rFonts w:cs="Arial"/>
        </w:rPr>
        <w:t xml:space="preserve">, </w:t>
      </w:r>
      <w:r w:rsidR="009400A5" w:rsidRPr="00B63E00">
        <w:rPr>
          <w:rFonts w:cs="Arial"/>
        </w:rPr>
        <w:t xml:space="preserve">což je </w:t>
      </w:r>
      <w:r w:rsidRPr="00B63E00">
        <w:rPr>
          <w:rFonts w:cs="Arial"/>
        </w:rPr>
        <w:t xml:space="preserve">meziročně o </w:t>
      </w:r>
      <w:r w:rsidR="005057CB" w:rsidRPr="00B63E00">
        <w:rPr>
          <w:rFonts w:cs="Arial"/>
        </w:rPr>
        <w:t>5</w:t>
      </w:r>
      <w:r w:rsidR="00B63E00">
        <w:rPr>
          <w:rFonts w:cs="Arial"/>
        </w:rPr>
        <w:t>5</w:t>
      </w:r>
      <w:r w:rsidR="0055740A" w:rsidRPr="00B63E00">
        <w:rPr>
          <w:rFonts w:cs="Arial"/>
        </w:rPr>
        <w:t>,</w:t>
      </w:r>
      <w:r w:rsidR="00B63E00">
        <w:rPr>
          <w:rFonts w:cs="Arial"/>
        </w:rPr>
        <w:t>0</w:t>
      </w:r>
      <w:r w:rsidR="0055740A" w:rsidRPr="00B63E00">
        <w:rPr>
          <w:rFonts w:cs="Arial"/>
        </w:rPr>
        <w:t xml:space="preserve"> </w:t>
      </w:r>
      <w:r w:rsidRPr="00B63E00">
        <w:rPr>
          <w:rFonts w:cs="Arial"/>
        </w:rPr>
        <w:t xml:space="preserve">% </w:t>
      </w:r>
      <w:r w:rsidR="0055740A" w:rsidRPr="00B63E00">
        <w:rPr>
          <w:rFonts w:cs="Arial"/>
        </w:rPr>
        <w:t>více</w:t>
      </w:r>
      <w:r w:rsidR="005710E1" w:rsidRPr="00B63E00">
        <w:rPr>
          <w:rFonts w:cs="Arial"/>
        </w:rPr>
        <w:t xml:space="preserve"> </w:t>
      </w:r>
      <w:r w:rsidR="0055740A" w:rsidRPr="00B63E00">
        <w:rPr>
          <w:rFonts w:cs="Arial"/>
        </w:rPr>
        <w:t xml:space="preserve">zejména </w:t>
      </w:r>
      <w:r w:rsidR="00C078BF" w:rsidRPr="00B63E00">
        <w:rPr>
          <w:rFonts w:cs="Arial"/>
        </w:rPr>
        <w:t xml:space="preserve">z titulu vykázaných </w:t>
      </w:r>
      <w:r w:rsidR="008613FD" w:rsidRPr="00B63E00">
        <w:rPr>
          <w:rFonts w:cs="Arial"/>
        </w:rPr>
        <w:t>nerealizovaný</w:t>
      </w:r>
      <w:r w:rsidR="0055740A" w:rsidRPr="00B63E00">
        <w:rPr>
          <w:rFonts w:cs="Arial"/>
        </w:rPr>
        <w:t>ch</w:t>
      </w:r>
      <w:r w:rsidR="008613FD" w:rsidRPr="00B63E00">
        <w:rPr>
          <w:rFonts w:cs="Arial"/>
        </w:rPr>
        <w:t xml:space="preserve"> kurzový</w:t>
      </w:r>
      <w:r w:rsidR="0055740A" w:rsidRPr="00B63E00">
        <w:rPr>
          <w:rFonts w:cs="Arial"/>
        </w:rPr>
        <w:t>ch</w:t>
      </w:r>
      <w:r w:rsidR="008613FD" w:rsidRPr="00B63E00">
        <w:rPr>
          <w:rFonts w:cs="Arial"/>
        </w:rPr>
        <w:t xml:space="preserve"> </w:t>
      </w:r>
      <w:r w:rsidR="0055740A" w:rsidRPr="00B63E00">
        <w:rPr>
          <w:rFonts w:cs="Arial"/>
        </w:rPr>
        <w:t>z</w:t>
      </w:r>
      <w:r w:rsidR="00C078BF" w:rsidRPr="00B63E00">
        <w:rPr>
          <w:rFonts w:cs="Arial"/>
        </w:rPr>
        <w:t>měn v porovnávaných obdobích</w:t>
      </w:r>
      <w:r w:rsidR="0086095E" w:rsidRPr="00B63E00">
        <w:rPr>
          <w:rFonts w:cs="Arial"/>
        </w:rPr>
        <w:t>.</w:t>
      </w:r>
      <w:r w:rsidR="005F221E" w:rsidRPr="00B63E00">
        <w:rPr>
          <w:rFonts w:cs="Arial"/>
        </w:rPr>
        <w:t xml:space="preserve"> </w:t>
      </w:r>
      <w:r w:rsidR="00B63E00">
        <w:rPr>
          <w:rFonts w:cs="Arial"/>
        </w:rPr>
        <w:t xml:space="preserve">Pozitivně působil i pokles úrokových nákladů. </w:t>
      </w:r>
      <w:r w:rsidR="001379A3">
        <w:rPr>
          <w:rFonts w:cs="Arial"/>
        </w:rPr>
        <w:t xml:space="preserve">Naopak negativní </w:t>
      </w:r>
      <w:r w:rsidR="0055740A" w:rsidRPr="00B63E00">
        <w:rPr>
          <w:rFonts w:cs="Arial"/>
        </w:rPr>
        <w:t>vliv na čistý zisk měl</w:t>
      </w:r>
      <w:r w:rsidR="001379A3">
        <w:rPr>
          <w:rFonts w:cs="Arial"/>
        </w:rPr>
        <w:t xml:space="preserve"> nárůst daně</w:t>
      </w:r>
      <w:r w:rsidR="00D67E9A">
        <w:rPr>
          <w:rFonts w:cs="Arial"/>
        </w:rPr>
        <w:t xml:space="preserve"> z příjmů</w:t>
      </w:r>
      <w:r w:rsidR="00167361" w:rsidRPr="00B63E00">
        <w:rPr>
          <w:rFonts w:cs="Arial"/>
        </w:rPr>
        <w:t xml:space="preserve">. </w:t>
      </w:r>
      <w:r w:rsidR="005F221E" w:rsidRPr="00B63E00">
        <w:rPr>
          <w:rFonts w:cs="Arial"/>
        </w:rPr>
        <w:t xml:space="preserve">Ve druhém čtvrtletí </w:t>
      </w:r>
      <w:r w:rsidR="00820612" w:rsidRPr="00B63E00">
        <w:rPr>
          <w:rFonts w:cs="Arial"/>
        </w:rPr>
        <w:t>201</w:t>
      </w:r>
      <w:r w:rsidR="00D67E9A">
        <w:rPr>
          <w:rFonts w:cs="Arial"/>
        </w:rPr>
        <w:t>5</w:t>
      </w:r>
      <w:r w:rsidR="00820612" w:rsidRPr="00B63E00">
        <w:rPr>
          <w:rFonts w:cs="Arial"/>
        </w:rPr>
        <w:t xml:space="preserve"> </w:t>
      </w:r>
      <w:r w:rsidR="00311123" w:rsidRPr="00B63E00">
        <w:rPr>
          <w:rFonts w:cs="Arial"/>
        </w:rPr>
        <w:t>S</w:t>
      </w:r>
      <w:r w:rsidR="0029398E" w:rsidRPr="00B63E00">
        <w:rPr>
          <w:rFonts w:cs="Arial"/>
        </w:rPr>
        <w:t xml:space="preserve">polečnost vytvořila čistý zisk ve výši </w:t>
      </w:r>
      <w:r w:rsidR="00D67E9A">
        <w:rPr>
          <w:rFonts w:cs="Arial"/>
        </w:rPr>
        <w:t>2</w:t>
      </w:r>
      <w:r w:rsidR="0055740A" w:rsidRPr="00B63E00">
        <w:rPr>
          <w:rFonts w:cs="Arial"/>
        </w:rPr>
        <w:t>,</w:t>
      </w:r>
      <w:r w:rsidR="005057CB" w:rsidRPr="00B63E00">
        <w:rPr>
          <w:rFonts w:cs="Arial"/>
        </w:rPr>
        <w:t>0</w:t>
      </w:r>
      <w:r w:rsidR="0029398E" w:rsidRPr="00B63E00">
        <w:rPr>
          <w:rFonts w:cs="Arial"/>
        </w:rPr>
        <w:t xml:space="preserve"> milion</w:t>
      </w:r>
      <w:r w:rsidR="00C35987" w:rsidRPr="00B63E00">
        <w:rPr>
          <w:rFonts w:cs="Arial"/>
        </w:rPr>
        <w:t>u</w:t>
      </w:r>
      <w:r w:rsidR="0029398E" w:rsidRPr="00B63E00">
        <w:rPr>
          <w:rFonts w:cs="Arial"/>
        </w:rPr>
        <w:t xml:space="preserve"> EUR, o </w:t>
      </w:r>
      <w:r w:rsidR="00D67E9A">
        <w:rPr>
          <w:rFonts w:cs="Arial"/>
        </w:rPr>
        <w:t>60</w:t>
      </w:r>
      <w:r w:rsidR="0055740A" w:rsidRPr="00B63E00">
        <w:rPr>
          <w:rFonts w:cs="Arial"/>
        </w:rPr>
        <w:t>,</w:t>
      </w:r>
      <w:r w:rsidR="00D67E9A">
        <w:rPr>
          <w:rFonts w:cs="Arial"/>
        </w:rPr>
        <w:t>6</w:t>
      </w:r>
      <w:r w:rsidR="00865CEE" w:rsidRPr="00B63E00">
        <w:rPr>
          <w:rFonts w:cs="Arial"/>
        </w:rPr>
        <w:t xml:space="preserve"> </w:t>
      </w:r>
      <w:r w:rsidR="0029398E" w:rsidRPr="00B63E00">
        <w:rPr>
          <w:rFonts w:cs="Arial"/>
        </w:rPr>
        <w:t xml:space="preserve">% </w:t>
      </w:r>
      <w:r w:rsidR="00D67E9A">
        <w:rPr>
          <w:rFonts w:cs="Arial"/>
        </w:rPr>
        <w:t xml:space="preserve">méně </w:t>
      </w:r>
      <w:r w:rsidR="008613FD" w:rsidRPr="00B63E00">
        <w:rPr>
          <w:rFonts w:cs="Arial"/>
        </w:rPr>
        <w:t>než ve stejném období roku 201</w:t>
      </w:r>
      <w:r w:rsidR="00D67E9A">
        <w:rPr>
          <w:rFonts w:cs="Arial"/>
        </w:rPr>
        <w:t>4</w:t>
      </w:r>
      <w:r w:rsidR="004E6091" w:rsidRPr="00B63E00">
        <w:rPr>
          <w:rFonts w:cs="Arial"/>
        </w:rPr>
        <w:t>.</w:t>
      </w:r>
      <w:r w:rsidR="00167361" w:rsidRPr="00B63E00">
        <w:rPr>
          <w:rFonts w:cs="Arial"/>
        </w:rPr>
        <w:t xml:space="preserve"> </w:t>
      </w:r>
      <w:r w:rsidR="00D67E9A">
        <w:rPr>
          <w:rFonts w:cs="Arial"/>
        </w:rPr>
        <w:t xml:space="preserve">Pokles čistého zisku byl způsoben převážně </w:t>
      </w:r>
      <w:r w:rsidR="00D67E9A" w:rsidRPr="00B63E00">
        <w:rPr>
          <w:rFonts w:cs="Arial"/>
        </w:rPr>
        <w:t>nerealizovaný</w:t>
      </w:r>
      <w:r w:rsidR="00D67E9A">
        <w:rPr>
          <w:rFonts w:cs="Arial"/>
        </w:rPr>
        <w:t>mi</w:t>
      </w:r>
      <w:r w:rsidR="00D67E9A" w:rsidRPr="00B63E00">
        <w:rPr>
          <w:rFonts w:cs="Arial"/>
        </w:rPr>
        <w:t xml:space="preserve"> kurzový</w:t>
      </w:r>
      <w:r w:rsidR="00D67E9A">
        <w:rPr>
          <w:rFonts w:cs="Arial"/>
        </w:rPr>
        <w:t>mi</w:t>
      </w:r>
      <w:r w:rsidR="00D67E9A" w:rsidRPr="00B63E00">
        <w:rPr>
          <w:rFonts w:cs="Arial"/>
        </w:rPr>
        <w:t xml:space="preserve"> změn</w:t>
      </w:r>
      <w:r w:rsidR="00D67E9A">
        <w:rPr>
          <w:rFonts w:cs="Arial"/>
        </w:rPr>
        <w:t>ami</w:t>
      </w:r>
      <w:r w:rsidR="00D67E9A" w:rsidRPr="00B63E00">
        <w:rPr>
          <w:rFonts w:cs="Arial"/>
        </w:rPr>
        <w:t xml:space="preserve"> v porovnávaných obdobích</w:t>
      </w:r>
      <w:r w:rsidR="00D67E9A">
        <w:rPr>
          <w:rFonts w:cs="Arial"/>
        </w:rPr>
        <w:t>.</w:t>
      </w:r>
    </w:p>
    <w:p w:rsidR="004F2222" w:rsidRPr="00D67E9A" w:rsidRDefault="008D1794" w:rsidP="004F2222">
      <w:pPr>
        <w:pStyle w:val="NormalWeb"/>
        <w:rPr>
          <w:rFonts w:cs="Arial"/>
        </w:rPr>
      </w:pPr>
      <w:r w:rsidRPr="00D67E9A">
        <w:rPr>
          <w:rStyle w:val="Strong"/>
          <w:rFonts w:cs="Arial"/>
        </w:rPr>
        <w:t>I</w:t>
      </w:r>
      <w:r w:rsidR="00D76825" w:rsidRPr="00D67E9A">
        <w:rPr>
          <w:rStyle w:val="Strong"/>
          <w:rFonts w:cs="Arial"/>
        </w:rPr>
        <w:t>nvestice</w:t>
      </w:r>
    </w:p>
    <w:p w:rsidR="007D0F0F" w:rsidRPr="00D67E9A" w:rsidRDefault="00FA6E60" w:rsidP="004F2222">
      <w:pPr>
        <w:pStyle w:val="NormalWeb"/>
        <w:jc w:val="both"/>
        <w:rPr>
          <w:rFonts w:cs="Arial"/>
        </w:rPr>
      </w:pPr>
      <w:r w:rsidRPr="00D67E9A">
        <w:rPr>
          <w:rFonts w:cs="Arial"/>
        </w:rPr>
        <w:t xml:space="preserve">V první polovině </w:t>
      </w:r>
      <w:r w:rsidR="00BC4F01" w:rsidRPr="00D67E9A">
        <w:rPr>
          <w:rFonts w:cs="Arial"/>
        </w:rPr>
        <w:t xml:space="preserve">roku </w:t>
      </w:r>
      <w:r w:rsidRPr="00D67E9A">
        <w:rPr>
          <w:rFonts w:cs="Arial"/>
        </w:rPr>
        <w:t>20</w:t>
      </w:r>
      <w:r w:rsidR="007D0F0F" w:rsidRPr="00D67E9A">
        <w:rPr>
          <w:rFonts w:cs="Arial"/>
        </w:rPr>
        <w:t>1</w:t>
      </w:r>
      <w:r w:rsidR="00D67E9A">
        <w:rPr>
          <w:rFonts w:cs="Arial"/>
        </w:rPr>
        <w:t>5</w:t>
      </w:r>
      <w:r w:rsidRPr="00D67E9A">
        <w:rPr>
          <w:rFonts w:cs="Arial"/>
        </w:rPr>
        <w:t xml:space="preserve"> </w:t>
      </w:r>
      <w:bookmarkStart w:id="14" w:name="OLE_LINK3"/>
      <w:bookmarkStart w:id="15" w:name="OLE_LINK4"/>
      <w:r w:rsidR="00D67E9A">
        <w:rPr>
          <w:rFonts w:cs="Arial"/>
        </w:rPr>
        <w:t xml:space="preserve">a 2014 </w:t>
      </w:r>
      <w:r w:rsidR="009400A5" w:rsidRPr="00D67E9A">
        <w:rPr>
          <w:rFonts w:cs="Arial"/>
        </w:rPr>
        <w:t xml:space="preserve">činily </w:t>
      </w:r>
      <w:r w:rsidRPr="00D67E9A">
        <w:rPr>
          <w:rFonts w:cs="Arial"/>
        </w:rPr>
        <w:t>konsolidované</w:t>
      </w:r>
      <w:r w:rsidR="008D1794" w:rsidRPr="00D67E9A">
        <w:rPr>
          <w:rFonts w:cs="Arial"/>
        </w:rPr>
        <w:t xml:space="preserve"> investiční</w:t>
      </w:r>
      <w:r w:rsidRPr="00D67E9A">
        <w:rPr>
          <w:rFonts w:cs="Arial"/>
        </w:rPr>
        <w:t xml:space="preserve"> výdaje </w:t>
      </w:r>
      <w:r w:rsidR="00A027B0" w:rsidRPr="00D67E9A">
        <w:rPr>
          <w:rFonts w:cs="Arial"/>
        </w:rPr>
        <w:t>1,5</w:t>
      </w:r>
      <w:r w:rsidRPr="00D67E9A">
        <w:rPr>
          <w:rFonts w:cs="Arial"/>
        </w:rPr>
        <w:t xml:space="preserve"> milion</w:t>
      </w:r>
      <w:r w:rsidR="0086095E" w:rsidRPr="00D67E9A">
        <w:rPr>
          <w:rFonts w:cs="Arial"/>
        </w:rPr>
        <w:t>u</w:t>
      </w:r>
      <w:r w:rsidRPr="00D67E9A">
        <w:rPr>
          <w:rFonts w:cs="Arial"/>
        </w:rPr>
        <w:t xml:space="preserve"> </w:t>
      </w:r>
      <w:r w:rsidR="00055F93" w:rsidRPr="00D67E9A">
        <w:rPr>
          <w:rFonts w:cs="Arial"/>
        </w:rPr>
        <w:t>EUR</w:t>
      </w:r>
      <w:bookmarkEnd w:id="14"/>
      <w:bookmarkEnd w:id="15"/>
      <w:r w:rsidRPr="00D67E9A">
        <w:rPr>
          <w:rFonts w:cs="Arial"/>
        </w:rPr>
        <w:t xml:space="preserve">. </w:t>
      </w:r>
      <w:r w:rsidR="00D25531" w:rsidRPr="00D67E9A">
        <w:rPr>
          <w:rFonts w:cs="Arial"/>
        </w:rPr>
        <w:t>Ve druhém čtvrtletí roku 201</w:t>
      </w:r>
      <w:r w:rsidR="00D67E9A">
        <w:rPr>
          <w:rFonts w:cs="Arial"/>
        </w:rPr>
        <w:t>5</w:t>
      </w:r>
      <w:r w:rsidR="00D25531" w:rsidRPr="00D67E9A">
        <w:rPr>
          <w:rFonts w:cs="Arial"/>
        </w:rPr>
        <w:t xml:space="preserve"> činily konsolidované investice </w:t>
      </w:r>
      <w:r w:rsidR="00A027B0" w:rsidRPr="00D67E9A">
        <w:rPr>
          <w:rFonts w:cs="Arial"/>
        </w:rPr>
        <w:t>0,</w:t>
      </w:r>
      <w:r w:rsidR="00D67E9A">
        <w:rPr>
          <w:rFonts w:cs="Arial"/>
        </w:rPr>
        <w:t>7</w:t>
      </w:r>
      <w:r w:rsidR="00D25531" w:rsidRPr="00D67E9A">
        <w:rPr>
          <w:rFonts w:cs="Arial"/>
        </w:rPr>
        <w:t xml:space="preserve"> milionu EUR, o </w:t>
      </w:r>
      <w:r w:rsidR="00D67E9A">
        <w:rPr>
          <w:rFonts w:cs="Arial"/>
        </w:rPr>
        <w:t>53</w:t>
      </w:r>
      <w:r w:rsidR="00D25531" w:rsidRPr="00D67E9A">
        <w:rPr>
          <w:rFonts w:cs="Arial"/>
        </w:rPr>
        <w:t>,</w:t>
      </w:r>
      <w:r w:rsidR="00D67E9A">
        <w:rPr>
          <w:rFonts w:cs="Arial"/>
        </w:rPr>
        <w:t>2</w:t>
      </w:r>
      <w:r w:rsidR="00D25531" w:rsidRPr="00D67E9A">
        <w:rPr>
          <w:rFonts w:cs="Arial"/>
        </w:rPr>
        <w:t xml:space="preserve"> % </w:t>
      </w:r>
      <w:r w:rsidR="00D67E9A">
        <w:rPr>
          <w:rFonts w:cs="Arial"/>
        </w:rPr>
        <w:t xml:space="preserve">více </w:t>
      </w:r>
      <w:r w:rsidR="00D25531" w:rsidRPr="00D67E9A">
        <w:rPr>
          <w:rFonts w:cs="Arial"/>
        </w:rPr>
        <w:t>ve srovnání se stejným obdobím minulého roku. Investiční výdaje v roce 201</w:t>
      </w:r>
      <w:r w:rsidR="00D67E9A">
        <w:rPr>
          <w:rFonts w:cs="Arial"/>
        </w:rPr>
        <w:t>5</w:t>
      </w:r>
      <w:r w:rsidR="00167361" w:rsidRPr="00D67E9A">
        <w:rPr>
          <w:rFonts w:cs="Arial"/>
        </w:rPr>
        <w:t xml:space="preserve"> reprezentuj</w:t>
      </w:r>
      <w:r w:rsidR="00D25531" w:rsidRPr="00D67E9A">
        <w:rPr>
          <w:rFonts w:cs="Arial"/>
        </w:rPr>
        <w:t>í</w:t>
      </w:r>
      <w:r w:rsidR="00167361" w:rsidRPr="00D67E9A">
        <w:rPr>
          <w:rFonts w:cs="Arial"/>
        </w:rPr>
        <w:t xml:space="preserve"> běžné investice na údržbu</w:t>
      </w:r>
      <w:r w:rsidR="00D25531" w:rsidRPr="00D67E9A">
        <w:rPr>
          <w:rFonts w:cs="Arial"/>
        </w:rPr>
        <w:t>.</w:t>
      </w:r>
      <w:r w:rsidR="00167361" w:rsidRPr="00D67E9A">
        <w:rPr>
          <w:rFonts w:cs="Arial"/>
        </w:rPr>
        <w:t xml:space="preserve"> </w:t>
      </w:r>
    </w:p>
    <w:p w:rsidR="004E267A" w:rsidRPr="00A624E0" w:rsidRDefault="004E267A" w:rsidP="00432FEB">
      <w:pPr>
        <w:pStyle w:val="NormalWeb"/>
        <w:jc w:val="both"/>
        <w:rPr>
          <w:rFonts w:cs="Arial"/>
        </w:rPr>
      </w:pPr>
      <w:r w:rsidRPr="00D67E9A">
        <w:rPr>
          <w:rFonts w:cs="Arial"/>
        </w:rPr>
        <w:t>Společnost plánuje, že celkové investiční výdaje v roce 201</w:t>
      </w:r>
      <w:r w:rsidR="00A624E0" w:rsidRPr="00D67E9A">
        <w:rPr>
          <w:rFonts w:cs="Arial"/>
        </w:rPr>
        <w:t>5</w:t>
      </w:r>
      <w:r w:rsidRPr="00D67E9A">
        <w:rPr>
          <w:rFonts w:cs="Arial"/>
        </w:rPr>
        <w:t xml:space="preserve"> nepřesáhnou úroveň </w:t>
      </w:r>
      <w:r w:rsidR="00D25531" w:rsidRPr="00D67E9A">
        <w:rPr>
          <w:rFonts w:cs="Arial"/>
        </w:rPr>
        <w:t>1</w:t>
      </w:r>
      <w:r w:rsidR="00A624E0" w:rsidRPr="00D67E9A">
        <w:rPr>
          <w:rFonts w:cs="Arial"/>
        </w:rPr>
        <w:t>0</w:t>
      </w:r>
      <w:r w:rsidRPr="00D67E9A">
        <w:rPr>
          <w:rFonts w:cs="Arial"/>
        </w:rPr>
        <w:t xml:space="preserve"> mili</w:t>
      </w:r>
      <w:r w:rsidR="00A624E0" w:rsidRPr="00D67E9A">
        <w:rPr>
          <w:rFonts w:cs="Arial"/>
        </w:rPr>
        <w:t>onů EUR</w:t>
      </w:r>
      <w:r w:rsidRPr="00D67E9A">
        <w:rPr>
          <w:rFonts w:cs="Arial"/>
        </w:rPr>
        <w:t>.</w:t>
      </w:r>
    </w:p>
    <w:p w:rsidR="004F2222" w:rsidRPr="00397CD6" w:rsidRDefault="00611456" w:rsidP="004F2222">
      <w:pPr>
        <w:pStyle w:val="NormalWeb"/>
        <w:rPr>
          <w:rFonts w:cs="Arial"/>
        </w:rPr>
      </w:pPr>
      <w:r w:rsidRPr="00397CD6">
        <w:rPr>
          <w:rStyle w:val="Strong"/>
          <w:rFonts w:cs="Arial"/>
        </w:rPr>
        <w:t>Peníze a zadluženost</w:t>
      </w:r>
    </w:p>
    <w:p w:rsidR="00D74947" w:rsidRPr="007A542A" w:rsidRDefault="00611456" w:rsidP="00D74947">
      <w:pPr>
        <w:pStyle w:val="NormalWeb"/>
        <w:jc w:val="both"/>
      </w:pPr>
      <w:r w:rsidRPr="00397CD6">
        <w:t xml:space="preserve">Celková výše konsolidovaných </w:t>
      </w:r>
      <w:r w:rsidR="006902A4" w:rsidRPr="00397CD6">
        <w:t>finančních</w:t>
      </w:r>
      <w:r w:rsidRPr="00397CD6">
        <w:t xml:space="preserve"> dluhů (krátkodobých </w:t>
      </w:r>
      <w:r w:rsidR="003C4A78" w:rsidRPr="00397CD6">
        <w:t>i</w:t>
      </w:r>
      <w:r w:rsidR="00397CD6">
        <w:t xml:space="preserve"> dlouhodobých) činila k 30. </w:t>
      </w:r>
      <w:r w:rsidRPr="00397CD6">
        <w:t xml:space="preserve">červnu </w:t>
      </w:r>
      <w:r w:rsidR="002A034E" w:rsidRPr="00397CD6">
        <w:t>201</w:t>
      </w:r>
      <w:r w:rsidR="00397CD6">
        <w:t>5</w:t>
      </w:r>
      <w:r w:rsidR="00820612" w:rsidRPr="00397CD6">
        <w:t xml:space="preserve"> </w:t>
      </w:r>
      <w:r w:rsidR="004E267A" w:rsidRPr="00397CD6">
        <w:t>15</w:t>
      </w:r>
      <w:r w:rsidR="00397CD6">
        <w:t>1</w:t>
      </w:r>
      <w:r w:rsidR="004E267A" w:rsidRPr="00397CD6">
        <w:t>,</w:t>
      </w:r>
      <w:r w:rsidR="00397CD6">
        <w:t>4</w:t>
      </w:r>
      <w:r w:rsidR="004E267A" w:rsidRPr="00397CD6">
        <w:t xml:space="preserve"> </w:t>
      </w:r>
      <w:r w:rsidR="00CF4152" w:rsidRPr="00397CD6">
        <w:t>milionů</w:t>
      </w:r>
      <w:r w:rsidRPr="00397CD6">
        <w:t xml:space="preserve"> </w:t>
      </w:r>
      <w:r w:rsidR="00055F93" w:rsidRPr="00397CD6">
        <w:t>EUR</w:t>
      </w:r>
      <w:r w:rsidRPr="00397CD6">
        <w:t>, tj.</w:t>
      </w:r>
      <w:r w:rsidR="002D541A" w:rsidRPr="00397CD6">
        <w:t xml:space="preserve"> o</w:t>
      </w:r>
      <w:r w:rsidRPr="00397CD6">
        <w:t xml:space="preserve"> </w:t>
      </w:r>
      <w:r w:rsidR="00397CD6">
        <w:t>0</w:t>
      </w:r>
      <w:r w:rsidR="004E267A" w:rsidRPr="00397CD6">
        <w:t>,</w:t>
      </w:r>
      <w:r w:rsidR="00397CD6">
        <w:t>3</w:t>
      </w:r>
      <w:r w:rsidR="00CD2A9F" w:rsidRPr="00397CD6">
        <w:t xml:space="preserve"> %</w:t>
      </w:r>
      <w:r w:rsidRPr="00397CD6">
        <w:t xml:space="preserve"> </w:t>
      </w:r>
      <w:r w:rsidR="00397CD6">
        <w:t xml:space="preserve">více </w:t>
      </w:r>
      <w:r w:rsidR="009719CC" w:rsidRPr="00397CD6">
        <w:t>ve srovnání s</w:t>
      </w:r>
      <w:r w:rsidR="001C7420" w:rsidRPr="00397CD6">
        <w:t> </w:t>
      </w:r>
      <w:r w:rsidR="009719CC" w:rsidRPr="00397CD6">
        <w:t>3</w:t>
      </w:r>
      <w:r w:rsidR="00FA5933" w:rsidRPr="00397CD6">
        <w:t>1</w:t>
      </w:r>
      <w:r w:rsidRPr="00397CD6">
        <w:t xml:space="preserve">. </w:t>
      </w:r>
      <w:r w:rsidR="00FA5933" w:rsidRPr="00397CD6">
        <w:t>prosincem</w:t>
      </w:r>
      <w:r w:rsidR="001C7420" w:rsidRPr="00397CD6">
        <w:t xml:space="preserve"> </w:t>
      </w:r>
      <w:r w:rsidR="002A034E" w:rsidRPr="00397CD6">
        <w:t>201</w:t>
      </w:r>
      <w:r w:rsidR="00397CD6">
        <w:t>4</w:t>
      </w:r>
      <w:r w:rsidRPr="00397CD6">
        <w:t>. Čistý dluh k 30. červnu 20</w:t>
      </w:r>
      <w:r w:rsidR="007B185F" w:rsidRPr="00397CD6">
        <w:t>1</w:t>
      </w:r>
      <w:r w:rsidR="00397CD6">
        <w:t>5</w:t>
      </w:r>
      <w:r w:rsidR="009361D0" w:rsidRPr="00397CD6">
        <w:t xml:space="preserve"> dosáhl výše </w:t>
      </w:r>
      <w:r w:rsidR="004E267A" w:rsidRPr="00397CD6">
        <w:t>14</w:t>
      </w:r>
      <w:r w:rsidR="00397CD6">
        <w:t>2</w:t>
      </w:r>
      <w:r w:rsidR="00D25531" w:rsidRPr="00397CD6">
        <w:t>,2</w:t>
      </w:r>
      <w:r w:rsidR="007B185F" w:rsidRPr="00397CD6">
        <w:t xml:space="preserve"> </w:t>
      </w:r>
      <w:r w:rsidRPr="00397CD6">
        <w:t>mi</w:t>
      </w:r>
      <w:r w:rsidR="002D541A" w:rsidRPr="00397CD6">
        <w:t>lion</w:t>
      </w:r>
      <w:r w:rsidR="004E267A" w:rsidRPr="00397CD6">
        <w:t>ů</w:t>
      </w:r>
      <w:r w:rsidR="002D541A" w:rsidRPr="00397CD6">
        <w:t xml:space="preserve"> </w:t>
      </w:r>
      <w:r w:rsidR="00055F93" w:rsidRPr="00397CD6">
        <w:t>EUR</w:t>
      </w:r>
      <w:r w:rsidR="006531A8" w:rsidRPr="00397CD6">
        <w:t xml:space="preserve">, </w:t>
      </w:r>
      <w:r w:rsidR="00BC1D7F" w:rsidRPr="00397CD6">
        <w:t>což je</w:t>
      </w:r>
      <w:r w:rsidR="002D541A" w:rsidRPr="00397CD6">
        <w:t xml:space="preserve"> </w:t>
      </w:r>
      <w:r w:rsidR="006531A8" w:rsidRPr="00397CD6">
        <w:t xml:space="preserve">o </w:t>
      </w:r>
      <w:r w:rsidR="00397CD6">
        <w:t>0</w:t>
      </w:r>
      <w:r w:rsidR="004E267A" w:rsidRPr="00397CD6">
        <w:t>,</w:t>
      </w:r>
      <w:r w:rsidR="00397CD6">
        <w:t>1</w:t>
      </w:r>
      <w:r w:rsidR="002D541A" w:rsidRPr="00397CD6">
        <w:t xml:space="preserve"> % </w:t>
      </w:r>
      <w:r w:rsidR="00397CD6">
        <w:t xml:space="preserve">více </w:t>
      </w:r>
      <w:r w:rsidR="006531A8" w:rsidRPr="00397CD6">
        <w:t>v porovnání s </w:t>
      </w:r>
      <w:r w:rsidR="001C7420" w:rsidRPr="00397CD6">
        <w:t>3</w:t>
      </w:r>
      <w:r w:rsidR="00FA5933" w:rsidRPr="00397CD6">
        <w:t>1</w:t>
      </w:r>
      <w:r w:rsidR="00397CD6">
        <w:t>. </w:t>
      </w:r>
      <w:r w:rsidR="00FA5933" w:rsidRPr="00397CD6">
        <w:t>prosincem</w:t>
      </w:r>
      <w:r w:rsidR="001C7420" w:rsidRPr="00397CD6">
        <w:t xml:space="preserve"> </w:t>
      </w:r>
      <w:r w:rsidR="002A034E" w:rsidRPr="00397CD6">
        <w:t>201</w:t>
      </w:r>
      <w:r w:rsidR="00397CD6">
        <w:t>4</w:t>
      </w:r>
      <w:r w:rsidRPr="00397CD6">
        <w:t xml:space="preserve">. </w:t>
      </w:r>
      <w:r w:rsidR="00397CD6">
        <w:t xml:space="preserve">V porovnání se stavem na konci prvního čtvrtletí 2015 se však čistý dluh snížil o téměř 7,1 milionů EUR. </w:t>
      </w:r>
      <w:r w:rsidR="00E27EB3" w:rsidRPr="00397CD6">
        <w:t>P</w:t>
      </w:r>
      <w:r w:rsidR="00D74947" w:rsidRPr="00397CD6">
        <w:t>oměr Čistý dluh</w:t>
      </w:r>
      <w:r w:rsidR="002A034E" w:rsidRPr="00397CD6">
        <w:t>/EBITDA dosáhl k 30. červnu 201</w:t>
      </w:r>
      <w:r w:rsidR="00464B4E">
        <w:t>5</w:t>
      </w:r>
      <w:r w:rsidR="002A034E" w:rsidRPr="00397CD6">
        <w:t xml:space="preserve"> 3,</w:t>
      </w:r>
      <w:r w:rsidR="00464B4E">
        <w:t>0</w:t>
      </w:r>
      <w:r w:rsidR="002D4046" w:rsidRPr="00397CD6">
        <w:t>5</w:t>
      </w:r>
      <w:r w:rsidR="00D74947" w:rsidRPr="00397CD6">
        <w:t xml:space="preserve"> násobku.</w:t>
      </w:r>
    </w:p>
    <w:p w:rsidR="009719CC" w:rsidRPr="000C1C57" w:rsidRDefault="009719CC" w:rsidP="00A72029">
      <w:pPr>
        <w:pStyle w:val="Heading2"/>
      </w:pPr>
      <w:bookmarkStart w:id="16" w:name="_Toc269907488"/>
      <w:bookmarkStart w:id="17" w:name="_Toc427918111"/>
      <w:r w:rsidRPr="000C1C57">
        <w:lastRenderedPageBreak/>
        <w:t>Pololetní přehled vývoje Společnosti</w:t>
      </w:r>
      <w:bookmarkEnd w:id="16"/>
      <w:bookmarkEnd w:id="17"/>
    </w:p>
    <w:p w:rsidR="003A7460" w:rsidRPr="00411342" w:rsidRDefault="003A7460" w:rsidP="003A7460">
      <w:pPr>
        <w:pStyle w:val="NormalWeb"/>
        <w:jc w:val="both"/>
        <w:rPr>
          <w:rFonts w:cs="Arial"/>
          <w:highlight w:val="yellow"/>
        </w:rPr>
      </w:pPr>
      <w:r w:rsidRPr="00A624E0">
        <w:rPr>
          <w:rFonts w:cs="Arial"/>
        </w:rPr>
        <w:t xml:space="preserve">Celková produkce v první jakosti dosáhla v prvním pololetí roku </w:t>
      </w:r>
      <w:r w:rsidR="007B6264" w:rsidRPr="00A624E0">
        <w:rPr>
          <w:rFonts w:cs="Arial"/>
        </w:rPr>
        <w:t>201</w:t>
      </w:r>
      <w:r w:rsidR="00A624E0" w:rsidRPr="00A624E0">
        <w:rPr>
          <w:rFonts w:cs="Arial"/>
        </w:rPr>
        <w:t>5</w:t>
      </w:r>
      <w:r w:rsidR="001C7420" w:rsidRPr="00A624E0">
        <w:rPr>
          <w:rFonts w:cs="Arial"/>
        </w:rPr>
        <w:t xml:space="preserve"> </w:t>
      </w:r>
      <w:r w:rsidR="00B07AE0" w:rsidRPr="00A624E0">
        <w:rPr>
          <w:rFonts w:cs="Arial"/>
        </w:rPr>
        <w:t xml:space="preserve">hodnoty </w:t>
      </w:r>
      <w:r w:rsidR="00A624E0" w:rsidRPr="00A624E0">
        <w:rPr>
          <w:rFonts w:cs="Arial"/>
        </w:rPr>
        <w:t>51 836</w:t>
      </w:r>
      <w:r w:rsidR="001C7420" w:rsidRPr="00A624E0">
        <w:rPr>
          <w:rFonts w:cs="Arial"/>
        </w:rPr>
        <w:t xml:space="preserve"> </w:t>
      </w:r>
      <w:r w:rsidRPr="00A624E0">
        <w:rPr>
          <w:rFonts w:cs="Arial"/>
        </w:rPr>
        <w:t xml:space="preserve">tun, což představuje nárůst o </w:t>
      </w:r>
      <w:r w:rsidR="002B6D72" w:rsidRPr="00A624E0">
        <w:rPr>
          <w:rFonts w:cs="Arial"/>
        </w:rPr>
        <w:t>4</w:t>
      </w:r>
      <w:r w:rsidR="004E267A" w:rsidRPr="00A624E0">
        <w:rPr>
          <w:rFonts w:cs="Arial"/>
        </w:rPr>
        <w:t>,</w:t>
      </w:r>
      <w:r w:rsidR="002B6D72" w:rsidRPr="00A624E0">
        <w:rPr>
          <w:rFonts w:cs="Arial"/>
        </w:rPr>
        <w:t>6</w:t>
      </w:r>
      <w:r w:rsidR="00071F1D" w:rsidRPr="00A624E0">
        <w:rPr>
          <w:rFonts w:cs="Arial"/>
        </w:rPr>
        <w:t xml:space="preserve"> </w:t>
      </w:r>
      <w:r w:rsidRPr="00A624E0">
        <w:rPr>
          <w:rFonts w:cs="Arial"/>
        </w:rPr>
        <w:t>% ve srov</w:t>
      </w:r>
      <w:r w:rsidR="006F76AA" w:rsidRPr="00A624E0">
        <w:rPr>
          <w:rFonts w:cs="Arial"/>
        </w:rPr>
        <w:t>n</w:t>
      </w:r>
      <w:r w:rsidR="00071F1D" w:rsidRPr="00A624E0">
        <w:rPr>
          <w:rFonts w:cs="Arial"/>
        </w:rPr>
        <w:t>ání s prvním pololetím roku 201</w:t>
      </w:r>
      <w:r w:rsidR="00A624E0" w:rsidRPr="00A624E0">
        <w:rPr>
          <w:rFonts w:cs="Arial"/>
        </w:rPr>
        <w:t>4</w:t>
      </w:r>
      <w:r w:rsidRPr="00A624E0">
        <w:rPr>
          <w:rFonts w:cs="Arial"/>
        </w:rPr>
        <w:t>.</w:t>
      </w:r>
      <w:r w:rsidR="002B6D72" w:rsidRPr="00A624E0">
        <w:rPr>
          <w:rFonts w:cs="Arial"/>
        </w:rPr>
        <w:t xml:space="preserve"> Ve druhém čtvrtletí 201</w:t>
      </w:r>
      <w:r w:rsidR="00A624E0" w:rsidRPr="00A624E0">
        <w:rPr>
          <w:rFonts w:cs="Arial"/>
        </w:rPr>
        <w:t>5</w:t>
      </w:r>
      <w:r w:rsidR="002B6D72" w:rsidRPr="00A624E0">
        <w:rPr>
          <w:rFonts w:cs="Arial"/>
        </w:rPr>
        <w:t xml:space="preserve"> Společnost vyrobila 2</w:t>
      </w:r>
      <w:r w:rsidR="00A624E0" w:rsidRPr="00A624E0">
        <w:rPr>
          <w:rFonts w:cs="Arial"/>
        </w:rPr>
        <w:t>5</w:t>
      </w:r>
      <w:r w:rsidR="002B6D72" w:rsidRPr="00A624E0">
        <w:rPr>
          <w:rFonts w:cs="Arial"/>
        </w:rPr>
        <w:t xml:space="preserve"> 6</w:t>
      </w:r>
      <w:r w:rsidR="00A624E0" w:rsidRPr="00A624E0">
        <w:rPr>
          <w:rFonts w:cs="Arial"/>
        </w:rPr>
        <w:t>34</w:t>
      </w:r>
      <w:r w:rsidR="002B6D72" w:rsidRPr="00A624E0">
        <w:rPr>
          <w:rFonts w:cs="Arial"/>
        </w:rPr>
        <w:t xml:space="preserve"> tun, o </w:t>
      </w:r>
      <w:r w:rsidR="00992A72" w:rsidRPr="00A624E0">
        <w:rPr>
          <w:rFonts w:cs="Arial"/>
        </w:rPr>
        <w:t>3</w:t>
      </w:r>
      <w:r w:rsidR="002B6D72" w:rsidRPr="00A624E0">
        <w:rPr>
          <w:rFonts w:cs="Arial"/>
        </w:rPr>
        <w:t>,</w:t>
      </w:r>
      <w:r w:rsidR="00A624E0" w:rsidRPr="00A624E0">
        <w:rPr>
          <w:rFonts w:cs="Arial"/>
        </w:rPr>
        <w:t>8</w:t>
      </w:r>
      <w:r w:rsidR="002B6D72" w:rsidRPr="00A624E0">
        <w:rPr>
          <w:rFonts w:cs="Arial"/>
        </w:rPr>
        <w:t xml:space="preserve"> % více v porovnání se stejným obdobím loňského roku.</w:t>
      </w:r>
      <w:r w:rsidR="00B07AE0" w:rsidRPr="00411342">
        <w:rPr>
          <w:rFonts w:cs="Arial"/>
          <w:highlight w:val="yellow"/>
        </w:rPr>
        <w:t xml:space="preserve"> </w:t>
      </w:r>
    </w:p>
    <w:p w:rsidR="00E837FB" w:rsidRDefault="003A7460" w:rsidP="003A7460">
      <w:pPr>
        <w:pStyle w:val="NormalWeb"/>
        <w:jc w:val="both"/>
        <w:rPr>
          <w:rFonts w:cs="Arial"/>
        </w:rPr>
      </w:pPr>
      <w:r w:rsidRPr="00E837FB">
        <w:rPr>
          <w:rFonts w:cs="Arial"/>
        </w:rPr>
        <w:t xml:space="preserve">Podíl výnosů z prodeje netkaných textilií určených k výrobě hygienických produktů na celkových výnosech činil v prvním </w:t>
      </w:r>
      <w:r w:rsidR="009361D0" w:rsidRPr="00E837FB">
        <w:rPr>
          <w:rFonts w:cs="Arial"/>
        </w:rPr>
        <w:t>pololetí</w:t>
      </w:r>
      <w:r w:rsidRPr="00E837FB">
        <w:rPr>
          <w:rFonts w:cs="Arial"/>
        </w:rPr>
        <w:t xml:space="preserve"> roku 20</w:t>
      </w:r>
      <w:r w:rsidR="006F76AA" w:rsidRPr="00E837FB">
        <w:rPr>
          <w:rFonts w:cs="Arial"/>
        </w:rPr>
        <w:t>1</w:t>
      </w:r>
      <w:r w:rsidR="00E837FB" w:rsidRPr="00E837FB">
        <w:rPr>
          <w:rFonts w:cs="Arial"/>
        </w:rPr>
        <w:t>5</w:t>
      </w:r>
      <w:r w:rsidRPr="00E837FB">
        <w:rPr>
          <w:rFonts w:cs="Arial"/>
        </w:rPr>
        <w:t xml:space="preserve"> </w:t>
      </w:r>
      <w:r w:rsidR="009E7EF7" w:rsidRPr="00E837FB">
        <w:rPr>
          <w:rFonts w:cs="Arial"/>
        </w:rPr>
        <w:t>8</w:t>
      </w:r>
      <w:r w:rsidR="00E837FB" w:rsidRPr="00E837FB">
        <w:rPr>
          <w:rFonts w:cs="Arial"/>
        </w:rPr>
        <w:t>5</w:t>
      </w:r>
      <w:r w:rsidR="009316E2" w:rsidRPr="00E837FB">
        <w:rPr>
          <w:rFonts w:cs="Arial"/>
        </w:rPr>
        <w:t>,</w:t>
      </w:r>
      <w:r w:rsidR="00E837FB" w:rsidRPr="00E837FB">
        <w:rPr>
          <w:rFonts w:cs="Arial"/>
        </w:rPr>
        <w:t>5</w:t>
      </w:r>
      <w:r w:rsidR="009316E2" w:rsidRPr="00E837FB">
        <w:rPr>
          <w:rFonts w:cs="Arial"/>
        </w:rPr>
        <w:t xml:space="preserve"> </w:t>
      </w:r>
      <w:r w:rsidRPr="00E837FB">
        <w:rPr>
          <w:rFonts w:cs="Arial"/>
        </w:rPr>
        <w:t>%</w:t>
      </w:r>
      <w:r w:rsidR="002B6D72" w:rsidRPr="00E837FB">
        <w:rPr>
          <w:rFonts w:cs="Arial"/>
        </w:rPr>
        <w:t xml:space="preserve"> a mírně se tak meziročně snížil</w:t>
      </w:r>
      <w:r w:rsidR="00432FEB" w:rsidRPr="00E837FB">
        <w:rPr>
          <w:rFonts w:cs="Arial"/>
        </w:rPr>
        <w:t xml:space="preserve">. </w:t>
      </w:r>
      <w:r w:rsidR="00CF50B7" w:rsidRPr="00E837FB">
        <w:rPr>
          <w:rFonts w:cs="Arial"/>
        </w:rPr>
        <w:t>Vysoký podíl výrobků v této kategorii potvrzuje významnou pozici Společnosti na tomto trhu</w:t>
      </w:r>
      <w:r w:rsidRPr="00E837FB">
        <w:rPr>
          <w:rFonts w:cs="Arial"/>
        </w:rPr>
        <w:t xml:space="preserve">. </w:t>
      </w:r>
      <w:r w:rsidR="00767FC6" w:rsidRPr="00E837FB">
        <w:rPr>
          <w:rFonts w:cs="Arial"/>
        </w:rPr>
        <w:t>Ve druhém čtvrtletí 20</w:t>
      </w:r>
      <w:r w:rsidR="00071F1D" w:rsidRPr="00E837FB">
        <w:rPr>
          <w:rFonts w:cs="Arial"/>
        </w:rPr>
        <w:t>1</w:t>
      </w:r>
      <w:r w:rsidR="00E837FB" w:rsidRPr="00E837FB">
        <w:rPr>
          <w:rFonts w:cs="Arial"/>
        </w:rPr>
        <w:t>5</w:t>
      </w:r>
      <w:r w:rsidR="00767FC6" w:rsidRPr="00E837FB">
        <w:rPr>
          <w:rFonts w:cs="Arial"/>
        </w:rPr>
        <w:t xml:space="preserve"> činil podíl výnosů z prodeje netkaných textilií určených k výrobě hygienických produktů na celkových výnosech </w:t>
      </w:r>
      <w:r w:rsidR="002B6D72" w:rsidRPr="00E837FB">
        <w:rPr>
          <w:rFonts w:cs="Arial"/>
        </w:rPr>
        <w:t>8</w:t>
      </w:r>
      <w:r w:rsidR="00E837FB" w:rsidRPr="00E837FB">
        <w:rPr>
          <w:rFonts w:cs="Arial"/>
        </w:rPr>
        <w:t>3</w:t>
      </w:r>
      <w:r w:rsidR="00541DBF" w:rsidRPr="00E837FB">
        <w:rPr>
          <w:rFonts w:cs="Arial"/>
        </w:rPr>
        <w:t>,</w:t>
      </w:r>
      <w:r w:rsidR="00E837FB" w:rsidRPr="00E837FB">
        <w:rPr>
          <w:rFonts w:cs="Arial"/>
        </w:rPr>
        <w:t>3</w:t>
      </w:r>
      <w:r w:rsidR="00865CEE" w:rsidRPr="00E837FB">
        <w:rPr>
          <w:rFonts w:cs="Arial"/>
        </w:rPr>
        <w:t xml:space="preserve"> </w:t>
      </w:r>
      <w:r w:rsidR="00767FC6" w:rsidRPr="00E837FB">
        <w:rPr>
          <w:rFonts w:cs="Arial"/>
        </w:rPr>
        <w:t xml:space="preserve">%, což představuje </w:t>
      </w:r>
      <w:r w:rsidR="002B6D72" w:rsidRPr="00E837FB">
        <w:rPr>
          <w:rFonts w:cs="Arial"/>
        </w:rPr>
        <w:t>pokles</w:t>
      </w:r>
      <w:r w:rsidR="00767FC6" w:rsidRPr="00E837FB">
        <w:rPr>
          <w:rFonts w:cs="Arial"/>
        </w:rPr>
        <w:t xml:space="preserve"> o </w:t>
      </w:r>
      <w:r w:rsidR="00E837FB" w:rsidRPr="00E837FB">
        <w:rPr>
          <w:rFonts w:cs="Arial"/>
        </w:rPr>
        <w:t>3</w:t>
      </w:r>
      <w:r w:rsidR="00541DBF" w:rsidRPr="00E837FB">
        <w:rPr>
          <w:rFonts w:cs="Arial"/>
        </w:rPr>
        <w:t>,</w:t>
      </w:r>
      <w:r w:rsidR="00E837FB" w:rsidRPr="00E837FB">
        <w:rPr>
          <w:rFonts w:cs="Arial"/>
        </w:rPr>
        <w:t>4</w:t>
      </w:r>
      <w:r w:rsidR="00767FC6" w:rsidRPr="00E837FB">
        <w:rPr>
          <w:rFonts w:cs="Arial"/>
        </w:rPr>
        <w:t xml:space="preserve"> proce</w:t>
      </w:r>
      <w:r w:rsidR="0086072E" w:rsidRPr="00E837FB">
        <w:rPr>
          <w:rFonts w:cs="Arial"/>
        </w:rPr>
        <w:t>n</w:t>
      </w:r>
      <w:r w:rsidR="00767FC6" w:rsidRPr="00E837FB">
        <w:rPr>
          <w:rFonts w:cs="Arial"/>
        </w:rPr>
        <w:t>tníh</w:t>
      </w:r>
      <w:r w:rsidR="00C931D2" w:rsidRPr="00E837FB">
        <w:rPr>
          <w:rFonts w:cs="Arial"/>
        </w:rPr>
        <w:t>o</w:t>
      </w:r>
      <w:r w:rsidR="00767FC6" w:rsidRPr="00E837FB">
        <w:rPr>
          <w:rFonts w:cs="Arial"/>
        </w:rPr>
        <w:t xml:space="preserve"> bod</w:t>
      </w:r>
      <w:r w:rsidR="00C931D2" w:rsidRPr="00E837FB">
        <w:rPr>
          <w:rFonts w:cs="Arial"/>
        </w:rPr>
        <w:t>u</w:t>
      </w:r>
      <w:r w:rsidR="00767FC6" w:rsidRPr="00E837FB">
        <w:rPr>
          <w:rFonts w:cs="Arial"/>
        </w:rPr>
        <w:t xml:space="preserve"> v porovnání se stejným obdobím loňského roku.</w:t>
      </w:r>
      <w:r w:rsidR="00E837FB" w:rsidRPr="00E837FB">
        <w:rPr>
          <w:rFonts w:cs="Arial"/>
        </w:rPr>
        <w:t xml:space="preserve"> </w:t>
      </w:r>
    </w:p>
    <w:p w:rsidR="00E837FB" w:rsidRDefault="00E837FB" w:rsidP="003A7460">
      <w:pPr>
        <w:pStyle w:val="NormalWeb"/>
        <w:jc w:val="both"/>
        <w:rPr>
          <w:rFonts w:cs="Arial"/>
        </w:rPr>
      </w:pPr>
      <w:r w:rsidRPr="00E837FB">
        <w:rPr>
          <w:rFonts w:cs="Arial"/>
        </w:rPr>
        <w:t>Podíl výnosů z prodeje produktů mimo segment hygieny na celkových výnosech v prvním pololetí roku 2015 činil 14,5 %</w:t>
      </w:r>
      <w:r w:rsidR="00835450">
        <w:rPr>
          <w:rFonts w:cs="Arial"/>
        </w:rPr>
        <w:t>, resp. 16,7 %</w:t>
      </w:r>
      <w:r w:rsidRPr="00E837FB">
        <w:rPr>
          <w:rFonts w:cs="Arial"/>
        </w:rPr>
        <w:t xml:space="preserve"> ve</w:t>
      </w:r>
      <w:r w:rsidR="00835450">
        <w:rPr>
          <w:rFonts w:cs="Arial"/>
        </w:rPr>
        <w:t xml:space="preserve"> druhém čtvrtletí.</w:t>
      </w:r>
    </w:p>
    <w:p w:rsidR="00767FC6" w:rsidRPr="00E837FB" w:rsidRDefault="00E837FB" w:rsidP="003A7460">
      <w:pPr>
        <w:pStyle w:val="NormalWeb"/>
        <w:jc w:val="both"/>
        <w:rPr>
          <w:rFonts w:cs="Arial"/>
        </w:rPr>
      </w:pPr>
      <w:r>
        <w:rPr>
          <w:rFonts w:cs="Arial"/>
        </w:rPr>
        <w:t xml:space="preserve">Snížení podílu výrobků pro oblast hygieny bylo ve větší míře způsobeno vývojem cen polymerů, kdy u výrobků pro oblast mimo hygienu </w:t>
      </w:r>
      <w:r w:rsidR="00835450">
        <w:rPr>
          <w:rFonts w:cs="Arial"/>
        </w:rPr>
        <w:t xml:space="preserve">dochází ke </w:t>
      </w:r>
      <w:r>
        <w:rPr>
          <w:rFonts w:cs="Arial"/>
        </w:rPr>
        <w:t>kratší</w:t>
      </w:r>
      <w:r w:rsidR="00835450">
        <w:rPr>
          <w:rFonts w:cs="Arial"/>
        </w:rPr>
        <w:t>mu</w:t>
      </w:r>
      <w:r>
        <w:rPr>
          <w:rFonts w:cs="Arial"/>
        </w:rPr>
        <w:t xml:space="preserve"> zpoždění v přenosovém mechanismu, než u výrobků pro oblast hygieny. V prostředí rostoucích cen polymerů jsou </w:t>
      </w:r>
      <w:r w:rsidR="00835450">
        <w:rPr>
          <w:rFonts w:cs="Arial"/>
        </w:rPr>
        <w:t xml:space="preserve">tedy ceny polymerů </w:t>
      </w:r>
      <w:r>
        <w:rPr>
          <w:rFonts w:cs="Arial"/>
        </w:rPr>
        <w:t xml:space="preserve">rychleji přenášeny </w:t>
      </w:r>
      <w:r w:rsidR="00835450">
        <w:rPr>
          <w:rFonts w:cs="Arial"/>
        </w:rPr>
        <w:t xml:space="preserve">do konečných cen zákazníkům </w:t>
      </w:r>
      <w:r>
        <w:rPr>
          <w:rFonts w:cs="Arial"/>
        </w:rPr>
        <w:t xml:space="preserve">u výrobků pro oblast mimo hygienu, </w:t>
      </w:r>
      <w:r w:rsidR="00835450">
        <w:rPr>
          <w:rFonts w:cs="Arial"/>
        </w:rPr>
        <w:t xml:space="preserve">čímž se opticky zvyšuje </w:t>
      </w:r>
      <w:r>
        <w:rPr>
          <w:rFonts w:cs="Arial"/>
        </w:rPr>
        <w:t>jejichž podíl na tržbách.</w:t>
      </w:r>
    </w:p>
    <w:p w:rsidR="003A7460" w:rsidRPr="007A542A" w:rsidRDefault="003A7460" w:rsidP="003A7460">
      <w:pPr>
        <w:pStyle w:val="NormalWeb"/>
        <w:jc w:val="both"/>
        <w:rPr>
          <w:rFonts w:cs="Arial"/>
        </w:rPr>
      </w:pPr>
      <w:r w:rsidRPr="000C1C57">
        <w:rPr>
          <w:rFonts w:cs="Arial"/>
        </w:rPr>
        <w:t>Rozdělení výnosů dle geografie trhů</w:t>
      </w:r>
      <w:r w:rsidRPr="000C1C57">
        <w:rPr>
          <w:rStyle w:val="FootnoteReference"/>
          <w:rFonts w:cs="Arial"/>
        </w:rPr>
        <w:footnoteReference w:id="1"/>
      </w:r>
      <w:r w:rsidRPr="000C1C57">
        <w:rPr>
          <w:rFonts w:cs="Arial"/>
        </w:rPr>
        <w:t xml:space="preserve"> potvrzuje stálou koncentraci odbytu Společnosti na širší oblast Evropy. Výnosy z prodejů do západní Evropy dosáhly v prvním </w:t>
      </w:r>
      <w:r w:rsidR="009361D0" w:rsidRPr="000C1C57">
        <w:rPr>
          <w:rFonts w:cs="Arial"/>
        </w:rPr>
        <w:t>pololetí</w:t>
      </w:r>
      <w:r w:rsidRPr="000C1C57">
        <w:rPr>
          <w:rFonts w:cs="Arial"/>
        </w:rPr>
        <w:t xml:space="preserve"> roku 20</w:t>
      </w:r>
      <w:r w:rsidR="006F76AA" w:rsidRPr="000C1C57">
        <w:rPr>
          <w:rFonts w:cs="Arial"/>
        </w:rPr>
        <w:t>1</w:t>
      </w:r>
      <w:r w:rsidR="00E837FB" w:rsidRPr="000C1C57">
        <w:rPr>
          <w:rFonts w:cs="Arial"/>
        </w:rPr>
        <w:t>5</w:t>
      </w:r>
      <w:r w:rsidRPr="000C1C57">
        <w:rPr>
          <w:rFonts w:cs="Arial"/>
        </w:rPr>
        <w:t xml:space="preserve"> </w:t>
      </w:r>
      <w:r w:rsidR="00E837FB" w:rsidRPr="000C1C57">
        <w:rPr>
          <w:rFonts w:cs="Arial"/>
        </w:rPr>
        <w:t>40</w:t>
      </w:r>
      <w:r w:rsidR="00B620E4" w:rsidRPr="000C1C57">
        <w:rPr>
          <w:rFonts w:cs="Arial"/>
        </w:rPr>
        <w:t>,</w:t>
      </w:r>
      <w:r w:rsidR="00E837FB" w:rsidRPr="000C1C57">
        <w:rPr>
          <w:rFonts w:cs="Arial"/>
        </w:rPr>
        <w:t>4</w:t>
      </w:r>
      <w:r w:rsidRPr="000C1C57">
        <w:rPr>
          <w:rFonts w:cs="Arial"/>
        </w:rPr>
        <w:t xml:space="preserve"> milion</w:t>
      </w:r>
      <w:r w:rsidR="00E837FB" w:rsidRPr="000C1C57">
        <w:rPr>
          <w:rFonts w:cs="Arial"/>
        </w:rPr>
        <w:t>u</w:t>
      </w:r>
      <w:r w:rsidRPr="000C1C57">
        <w:rPr>
          <w:rFonts w:cs="Arial"/>
        </w:rPr>
        <w:t xml:space="preserve"> EUR, což představuje </w:t>
      </w:r>
      <w:r w:rsidR="00B620E4" w:rsidRPr="000C1C57">
        <w:rPr>
          <w:rFonts w:cs="Arial"/>
        </w:rPr>
        <w:t>3</w:t>
      </w:r>
      <w:r w:rsidR="00E837FB" w:rsidRPr="000C1C57">
        <w:rPr>
          <w:rFonts w:cs="Arial"/>
        </w:rPr>
        <w:t>6</w:t>
      </w:r>
      <w:r w:rsidR="00B620E4" w:rsidRPr="000C1C57">
        <w:rPr>
          <w:rFonts w:cs="Arial"/>
        </w:rPr>
        <w:t>,</w:t>
      </w:r>
      <w:r w:rsidR="00E837FB" w:rsidRPr="000C1C57">
        <w:rPr>
          <w:rFonts w:cs="Arial"/>
        </w:rPr>
        <w:t>2</w:t>
      </w:r>
      <w:r w:rsidRPr="000C1C57">
        <w:rPr>
          <w:rFonts w:cs="Arial"/>
        </w:rPr>
        <w:t>% podíl na celkových výnosech ve srovnání s</w:t>
      </w:r>
      <w:r w:rsidR="00CB3B97" w:rsidRPr="000C1C57">
        <w:rPr>
          <w:rFonts w:cs="Arial"/>
        </w:rPr>
        <w:t> 3</w:t>
      </w:r>
      <w:r w:rsidR="00E837FB" w:rsidRPr="000C1C57">
        <w:rPr>
          <w:rFonts w:cs="Arial"/>
        </w:rPr>
        <w:t>2</w:t>
      </w:r>
      <w:r w:rsidR="00CB3B97" w:rsidRPr="000C1C57">
        <w:rPr>
          <w:rFonts w:cs="Arial"/>
        </w:rPr>
        <w:t>,8</w:t>
      </w:r>
      <w:r w:rsidRPr="000C1C57">
        <w:rPr>
          <w:rFonts w:cs="Arial"/>
        </w:rPr>
        <w:t>% po</w:t>
      </w:r>
      <w:r w:rsidR="006F76AA" w:rsidRPr="000C1C57">
        <w:rPr>
          <w:rFonts w:cs="Arial"/>
        </w:rPr>
        <w:t>d</w:t>
      </w:r>
      <w:r w:rsidR="00F437E8" w:rsidRPr="000C1C57">
        <w:rPr>
          <w:rFonts w:cs="Arial"/>
        </w:rPr>
        <w:t>ílem ve stejném období roku 201</w:t>
      </w:r>
      <w:r w:rsidR="00E837FB" w:rsidRPr="000C1C57">
        <w:rPr>
          <w:rFonts w:cs="Arial"/>
        </w:rPr>
        <w:t>4</w:t>
      </w:r>
      <w:r w:rsidRPr="000C1C57">
        <w:rPr>
          <w:rFonts w:cs="Arial"/>
        </w:rPr>
        <w:t xml:space="preserve">. Výnosy z prodeje do střední a východní Evropy a Ruska dosáhly v tomto období výše </w:t>
      </w:r>
      <w:r w:rsidR="00E837FB" w:rsidRPr="000C1C57">
        <w:rPr>
          <w:rFonts w:cs="Arial"/>
        </w:rPr>
        <w:t>43</w:t>
      </w:r>
      <w:r w:rsidR="00B620E4" w:rsidRPr="000C1C57">
        <w:rPr>
          <w:rFonts w:cs="Arial"/>
        </w:rPr>
        <w:t>,</w:t>
      </w:r>
      <w:r w:rsidR="00E837FB" w:rsidRPr="000C1C57">
        <w:rPr>
          <w:rFonts w:cs="Arial"/>
        </w:rPr>
        <w:t>5</w:t>
      </w:r>
      <w:r w:rsidRPr="000C1C57">
        <w:rPr>
          <w:rFonts w:cs="Arial"/>
        </w:rPr>
        <w:t xml:space="preserve"> milionu EUR a představovaly tak </w:t>
      </w:r>
      <w:r w:rsidR="00E837FB" w:rsidRPr="000C1C57">
        <w:rPr>
          <w:rFonts w:cs="Arial"/>
        </w:rPr>
        <w:t>38</w:t>
      </w:r>
      <w:r w:rsidR="00B620E4" w:rsidRPr="000C1C57">
        <w:rPr>
          <w:rFonts w:cs="Arial"/>
        </w:rPr>
        <w:t>,</w:t>
      </w:r>
      <w:r w:rsidR="00E837FB" w:rsidRPr="000C1C57">
        <w:rPr>
          <w:rFonts w:cs="Arial"/>
        </w:rPr>
        <w:t>9</w:t>
      </w:r>
      <w:r w:rsidR="00835450">
        <w:rPr>
          <w:rFonts w:cs="Arial"/>
        </w:rPr>
        <w:t>% podíl na celkových výnosech</w:t>
      </w:r>
      <w:r w:rsidR="0086072E" w:rsidRPr="000C1C57">
        <w:rPr>
          <w:rFonts w:cs="Arial"/>
        </w:rPr>
        <w:t>.</w:t>
      </w:r>
      <w:r w:rsidRPr="000C1C57">
        <w:rPr>
          <w:rFonts w:cs="Arial"/>
        </w:rPr>
        <w:t xml:space="preserve"> Výnosy z prodeje do ostatních teritorií činily </w:t>
      </w:r>
      <w:r w:rsidR="00CB3B97" w:rsidRPr="000C1C57">
        <w:rPr>
          <w:rFonts w:cs="Arial"/>
        </w:rPr>
        <w:t>2</w:t>
      </w:r>
      <w:r w:rsidR="00E837FB" w:rsidRPr="000C1C57">
        <w:rPr>
          <w:rFonts w:cs="Arial"/>
        </w:rPr>
        <w:t>7</w:t>
      </w:r>
      <w:r w:rsidR="00B620E4" w:rsidRPr="000C1C57">
        <w:rPr>
          <w:rFonts w:cs="Arial"/>
        </w:rPr>
        <w:t>,</w:t>
      </w:r>
      <w:r w:rsidR="00E837FB" w:rsidRPr="000C1C57">
        <w:rPr>
          <w:rFonts w:cs="Arial"/>
        </w:rPr>
        <w:t>9</w:t>
      </w:r>
      <w:r w:rsidRPr="000C1C57">
        <w:rPr>
          <w:rFonts w:cs="Arial"/>
        </w:rPr>
        <w:t xml:space="preserve"> milion</w:t>
      </w:r>
      <w:r w:rsidR="007822F3" w:rsidRPr="000C1C57">
        <w:rPr>
          <w:rFonts w:cs="Arial"/>
        </w:rPr>
        <w:t>u</w:t>
      </w:r>
      <w:r w:rsidRPr="000C1C57">
        <w:rPr>
          <w:rFonts w:cs="Arial"/>
        </w:rPr>
        <w:t xml:space="preserve"> EUR a představovaly </w:t>
      </w:r>
      <w:r w:rsidR="00E837FB" w:rsidRPr="000C1C57">
        <w:rPr>
          <w:rFonts w:cs="Arial"/>
        </w:rPr>
        <w:t>25</w:t>
      </w:r>
      <w:r w:rsidR="00B620E4" w:rsidRPr="000C1C57">
        <w:rPr>
          <w:rFonts w:cs="Arial"/>
        </w:rPr>
        <w:t>,</w:t>
      </w:r>
      <w:r w:rsidR="00E837FB" w:rsidRPr="000C1C57">
        <w:rPr>
          <w:rFonts w:cs="Arial"/>
        </w:rPr>
        <w:t>0</w:t>
      </w:r>
      <w:r w:rsidRPr="000C1C57">
        <w:rPr>
          <w:rFonts w:cs="Arial"/>
        </w:rPr>
        <w:t>%</w:t>
      </w:r>
      <w:r w:rsidR="00835450">
        <w:rPr>
          <w:rFonts w:cs="Arial"/>
        </w:rPr>
        <w:t xml:space="preserve"> </w:t>
      </w:r>
      <w:r w:rsidRPr="000C1C57">
        <w:rPr>
          <w:rFonts w:cs="Arial"/>
        </w:rPr>
        <w:t>podíl na celkových výnosech</w:t>
      </w:r>
      <w:r w:rsidR="00602AC8" w:rsidRPr="000C1C57">
        <w:rPr>
          <w:rFonts w:cs="Arial"/>
        </w:rPr>
        <w:t>.</w:t>
      </w:r>
    </w:p>
    <w:p w:rsidR="00403C79" w:rsidRPr="000C1C57" w:rsidRDefault="00677CAE" w:rsidP="00A72029">
      <w:pPr>
        <w:pStyle w:val="Heading2"/>
      </w:pPr>
      <w:bookmarkStart w:id="18" w:name="_Toc269907490"/>
      <w:bookmarkStart w:id="19" w:name="_Toc427918112"/>
      <w:bookmarkStart w:id="20" w:name="OLE_LINK1"/>
      <w:bookmarkStart w:id="21" w:name="OLE_LINK2"/>
      <w:bookmarkStart w:id="22" w:name="_Toc165188441"/>
      <w:r w:rsidRPr="000C1C57">
        <w:t>Výzkum</w:t>
      </w:r>
      <w:r w:rsidR="001C2FF9" w:rsidRPr="000C1C57">
        <w:t xml:space="preserve"> a</w:t>
      </w:r>
      <w:r w:rsidR="00403C79" w:rsidRPr="000C1C57">
        <w:t xml:space="preserve"> </w:t>
      </w:r>
      <w:r w:rsidRPr="000C1C57">
        <w:t>vývoj</w:t>
      </w:r>
      <w:bookmarkEnd w:id="18"/>
      <w:bookmarkEnd w:id="19"/>
    </w:p>
    <w:p w:rsidR="00411342" w:rsidRPr="00411342" w:rsidRDefault="00411342" w:rsidP="00411342">
      <w:pPr>
        <w:pStyle w:val="AODocTxtCharChar"/>
        <w:rPr>
          <w:color w:val="000000"/>
          <w:sz w:val="24"/>
          <w:szCs w:val="24"/>
          <w:lang w:val="cs-CZ"/>
        </w:rPr>
      </w:pPr>
      <w:bookmarkStart w:id="23" w:name="_Toc269111121"/>
      <w:bookmarkStart w:id="24" w:name="_Toc269118394"/>
      <w:bookmarkStart w:id="25" w:name="_Toc269139293"/>
      <w:bookmarkStart w:id="26" w:name="_Toc269111123"/>
      <w:bookmarkStart w:id="27" w:name="_Toc269118396"/>
      <w:bookmarkStart w:id="28" w:name="_Toc269139295"/>
      <w:bookmarkStart w:id="29" w:name="_Toc269111128"/>
      <w:bookmarkStart w:id="30" w:name="_Toc269118401"/>
      <w:bookmarkStart w:id="31" w:name="_Toc269139300"/>
      <w:bookmarkStart w:id="32" w:name="_Toc269907491"/>
      <w:bookmarkEnd w:id="20"/>
      <w:bookmarkEnd w:id="21"/>
      <w:bookmarkEnd w:id="23"/>
      <w:bookmarkEnd w:id="24"/>
      <w:bookmarkEnd w:id="25"/>
      <w:bookmarkEnd w:id="26"/>
      <w:bookmarkEnd w:id="27"/>
      <w:bookmarkEnd w:id="28"/>
      <w:bookmarkEnd w:id="29"/>
      <w:bookmarkEnd w:id="30"/>
      <w:bookmarkEnd w:id="31"/>
      <w:r w:rsidRPr="00411342">
        <w:rPr>
          <w:color w:val="000000"/>
          <w:sz w:val="24"/>
          <w:szCs w:val="24"/>
          <w:lang w:val="cs-CZ"/>
        </w:rPr>
        <w:t xml:space="preserve">Vývoj nových aplikací, výrobků a optimalizace technologií jsou jednou z klíčových součástí současné a budoucí strategie Společnosti. Tato základna je podporována týmem techniků, kteří se věnují vývoji výrobků, zákaznické a technické podpoře. Tento tým se postupně vytvářel po dobu více než 10 let. </w:t>
      </w:r>
    </w:p>
    <w:p w:rsidR="00411342" w:rsidRPr="00411342" w:rsidRDefault="00411342" w:rsidP="00411342">
      <w:pPr>
        <w:pStyle w:val="AODocTxtCharChar"/>
        <w:rPr>
          <w:color w:val="000000"/>
          <w:sz w:val="24"/>
          <w:szCs w:val="24"/>
          <w:lang w:val="cs-CZ"/>
        </w:rPr>
      </w:pPr>
      <w:r w:rsidRPr="00411342">
        <w:rPr>
          <w:color w:val="000000"/>
          <w:sz w:val="24"/>
          <w:szCs w:val="24"/>
          <w:lang w:val="cs-CZ"/>
        </w:rPr>
        <w:t>Tým se zaměřuje na více směrů, které je možné obecně rozdělit na průmyslové a hygienické aplikace, s primární koncentrací na oblast hygieny jako zásadní oblast většiny důležitých projektů Společnosti.</w:t>
      </w:r>
    </w:p>
    <w:p w:rsidR="00411342" w:rsidRPr="00411342" w:rsidRDefault="00411342" w:rsidP="00411342">
      <w:pPr>
        <w:pStyle w:val="AODocTxtCharChar"/>
        <w:rPr>
          <w:color w:val="000000"/>
          <w:sz w:val="24"/>
          <w:szCs w:val="24"/>
          <w:lang w:val="cs-CZ"/>
        </w:rPr>
      </w:pPr>
      <w:r w:rsidRPr="00411342">
        <w:rPr>
          <w:color w:val="000000"/>
          <w:sz w:val="24"/>
          <w:szCs w:val="24"/>
          <w:lang w:val="cs-CZ"/>
        </w:rPr>
        <w:t xml:space="preserve">Z technologického hlediska pracuje technické oddělení na dvou základních cílech: </w:t>
      </w:r>
    </w:p>
    <w:p w:rsidR="00411342" w:rsidRPr="00411342" w:rsidRDefault="00411342" w:rsidP="00411342">
      <w:pPr>
        <w:pStyle w:val="AODocTxtCharChar"/>
        <w:rPr>
          <w:color w:val="000000"/>
          <w:sz w:val="24"/>
          <w:szCs w:val="24"/>
          <w:lang w:val="cs-CZ"/>
        </w:rPr>
      </w:pPr>
      <w:r w:rsidRPr="00411342">
        <w:rPr>
          <w:color w:val="000000"/>
          <w:sz w:val="24"/>
          <w:szCs w:val="24"/>
          <w:lang w:val="cs-CZ"/>
        </w:rPr>
        <w:t xml:space="preserve">1) zlepšit kvalitu, výkonnost a efektivnost výroby standardních výrobků a </w:t>
      </w:r>
    </w:p>
    <w:p w:rsidR="00411342" w:rsidRPr="00411342" w:rsidRDefault="00411342" w:rsidP="00411342">
      <w:pPr>
        <w:pStyle w:val="AODocTxtCharChar"/>
        <w:rPr>
          <w:color w:val="000000"/>
          <w:sz w:val="24"/>
          <w:szCs w:val="24"/>
          <w:lang w:val="cs-CZ"/>
        </w:rPr>
      </w:pPr>
      <w:r w:rsidRPr="00411342">
        <w:rPr>
          <w:color w:val="000000"/>
          <w:sz w:val="24"/>
          <w:szCs w:val="24"/>
          <w:lang w:val="cs-CZ"/>
        </w:rPr>
        <w:t>2) vyvíjet výrobky s přidanou hodnotou prostřednictvím současných a nových technologií včetně bikomponentní technologie zvlákňování.</w:t>
      </w:r>
    </w:p>
    <w:p w:rsidR="00411342" w:rsidRPr="00411342" w:rsidRDefault="00411342" w:rsidP="00411342">
      <w:pPr>
        <w:pStyle w:val="AODocTxtCharChar"/>
        <w:rPr>
          <w:color w:val="000000"/>
          <w:sz w:val="24"/>
          <w:szCs w:val="24"/>
          <w:lang w:val="cs-CZ"/>
        </w:rPr>
      </w:pPr>
      <w:r w:rsidRPr="00411342">
        <w:rPr>
          <w:color w:val="000000"/>
          <w:sz w:val="24"/>
          <w:szCs w:val="24"/>
          <w:lang w:val="cs-CZ"/>
        </w:rPr>
        <w:lastRenderedPageBreak/>
        <w:t xml:space="preserve">Oba cíle jsou naplňovány společně s dodavateli surovin za použití standardních a nových speciálních polymerů a/nebo s dodavateli zařízení, což umožňuje Společnosti dosáhnout přidané hodnoty pro své zákazníky. </w:t>
      </w:r>
    </w:p>
    <w:p w:rsidR="00411342" w:rsidRPr="00411342" w:rsidRDefault="00411342" w:rsidP="00411342">
      <w:pPr>
        <w:pStyle w:val="AODocTxtCharChar"/>
        <w:rPr>
          <w:color w:val="000000"/>
          <w:sz w:val="24"/>
          <w:szCs w:val="24"/>
          <w:lang w:val="cs-CZ"/>
        </w:rPr>
      </w:pPr>
      <w:r w:rsidRPr="00411342">
        <w:rPr>
          <w:color w:val="000000"/>
          <w:sz w:val="24"/>
          <w:szCs w:val="24"/>
          <w:lang w:val="cs-CZ"/>
        </w:rPr>
        <w:t xml:space="preserve">V oblasti technologií pokračuje PEGAS v komercializaci ultralehkých materiálů vyráběných na nejnovější výrobní lince. Tato poslední linka potvrdila očekávané parametry vyráběných materiálů a celkovou výrobní efektivitu. Navíc linka umožňuje Společnosti přinést na trh nový technologický a výrobkový design a podpoří posilování přední pozice PEGASu v oblasti technologie. </w:t>
      </w:r>
    </w:p>
    <w:p w:rsidR="00411342" w:rsidRPr="00411342" w:rsidRDefault="00411342" w:rsidP="00411342">
      <w:pPr>
        <w:pStyle w:val="AODocTxtCharChar"/>
        <w:rPr>
          <w:color w:val="000000"/>
          <w:sz w:val="24"/>
          <w:szCs w:val="24"/>
          <w:lang w:val="cs-CZ"/>
        </w:rPr>
      </w:pPr>
      <w:r w:rsidRPr="00411342">
        <w:rPr>
          <w:color w:val="000000"/>
          <w:sz w:val="24"/>
          <w:szCs w:val="24"/>
          <w:lang w:val="cs-CZ"/>
        </w:rPr>
        <w:t>Kromě ultralehkých materiálů PEGAS aktivně pracuje na vývoji netkaných textilií, které jsou jemné, splývavé, objemné a příjemné na dotek. Tyto materiály jsou již dnes postupně úspěšně uváděny do komerční výroby, a přináší řadu výhod zákazníkům.  Vývoj v této oblasti bude dále zaměřen na tzv. 3D struktury netkaných textilií s potenciální vizualizací.</w:t>
      </w:r>
    </w:p>
    <w:p w:rsidR="00411342" w:rsidRPr="00411342" w:rsidRDefault="00411342" w:rsidP="00411342">
      <w:pPr>
        <w:pStyle w:val="AODocTxtCharChar"/>
        <w:rPr>
          <w:color w:val="000000"/>
          <w:sz w:val="24"/>
          <w:szCs w:val="24"/>
          <w:lang w:val="cs-CZ"/>
        </w:rPr>
      </w:pPr>
      <w:r w:rsidRPr="00411342">
        <w:rPr>
          <w:color w:val="000000"/>
          <w:sz w:val="24"/>
          <w:szCs w:val="24"/>
          <w:lang w:val="cs-CZ"/>
        </w:rPr>
        <w:t>Další oblastí vývoje je rovněž využití netradičních polymerů mimo klasické ropné zdroje. Pegas proto nyní ověřuje použitelnost především biopolymerů či polymerů na bázi obnovitelných zdrojů pro stávající zvlákňovací spunmelt technologie, které Společnost používá.</w:t>
      </w:r>
    </w:p>
    <w:p w:rsidR="00411342" w:rsidRPr="00411342" w:rsidRDefault="00411342" w:rsidP="00411342">
      <w:pPr>
        <w:pStyle w:val="AODocTxtCharChar"/>
        <w:rPr>
          <w:color w:val="000000"/>
          <w:sz w:val="24"/>
          <w:szCs w:val="24"/>
          <w:lang w:val="cs-CZ"/>
        </w:rPr>
      </w:pPr>
      <w:r w:rsidRPr="00411342">
        <w:rPr>
          <w:color w:val="000000"/>
          <w:sz w:val="24"/>
          <w:szCs w:val="24"/>
          <w:lang w:val="cs-CZ"/>
        </w:rPr>
        <w:t>Jedním z dalších možných směrů může být v budoucnu i prověření možnosti komercializace modifikované MB technologie do oblasti nanovláken a výroba netkané textilie na jejich bázi.</w:t>
      </w:r>
    </w:p>
    <w:p w:rsidR="00411342" w:rsidRPr="00411342" w:rsidRDefault="00411342" w:rsidP="00411342">
      <w:pPr>
        <w:pStyle w:val="AODocTxtCharChar"/>
        <w:rPr>
          <w:color w:val="000000"/>
          <w:sz w:val="24"/>
          <w:szCs w:val="24"/>
          <w:lang w:val="cs-CZ"/>
        </w:rPr>
      </w:pPr>
      <w:r w:rsidRPr="00411342">
        <w:rPr>
          <w:color w:val="000000"/>
          <w:sz w:val="24"/>
          <w:szCs w:val="24"/>
          <w:lang w:val="cs-CZ"/>
        </w:rPr>
        <w:t xml:space="preserve">PEGAS spolupracuje s mnoha institucemi, které pozitivně podporují výzkumné zdroje Společnosti, zejména v oblastech modelování struktur netkaných textilií s cílem dosáhnout objemnosti a příjemného omaku, resp. efektivní bariérové ochranné funkce.  Jsou to některé z univerzit a výzkumných center především v České republice a na Slovensku, ale také v západní Evropě, které poskytují zvláštní podporu Společnosti v různých odborných a sofistikovaných laboratorních oblastech.  </w:t>
      </w:r>
    </w:p>
    <w:p w:rsidR="00411342" w:rsidRPr="007A542A" w:rsidRDefault="00411342" w:rsidP="00411342">
      <w:pPr>
        <w:pStyle w:val="AODocTxtCharChar"/>
        <w:rPr>
          <w:color w:val="000000"/>
          <w:sz w:val="24"/>
          <w:szCs w:val="24"/>
          <w:lang w:val="cs-CZ"/>
        </w:rPr>
      </w:pPr>
      <w:r w:rsidRPr="00411342">
        <w:rPr>
          <w:color w:val="000000"/>
          <w:sz w:val="24"/>
          <w:szCs w:val="24"/>
          <w:lang w:val="cs-CZ"/>
        </w:rPr>
        <w:t>S cílem zlepšit využití výrobních kapacit a akcelerovat vývojové projekty, PEGAS využívá několik pilotních projektů, jež se připravují za zvláštních smluvních podmínek u dodavatelů. Všechny projekty jsou spojeny buď s novými technologiemi přímo nebo s využitím nově vyvinutých surovin v technologiích nebo projektech přímo zaměřených na konkrétní zákazníky. Jsou to projekty, kde spolupracují všechny tři strany společně a zahrnují tímto celý dodavatelský řetězec.</w:t>
      </w:r>
    </w:p>
    <w:p w:rsidR="006372C0" w:rsidRPr="00E211EF" w:rsidRDefault="00313F5E" w:rsidP="00A72029">
      <w:pPr>
        <w:pStyle w:val="Heading2"/>
        <w:rPr>
          <w:rFonts w:ascii="Times New Roman" w:hAnsi="Times New Roman" w:cs="Times New Roman"/>
        </w:rPr>
      </w:pPr>
      <w:bookmarkStart w:id="33" w:name="_Toc427918113"/>
      <w:r w:rsidRPr="00E211EF">
        <w:rPr>
          <w:rFonts w:ascii="Times New Roman" w:hAnsi="Times New Roman" w:cs="Times New Roman"/>
        </w:rPr>
        <w:t>Strategie</w:t>
      </w:r>
      <w:bookmarkEnd w:id="32"/>
      <w:bookmarkEnd w:id="33"/>
    </w:p>
    <w:p w:rsidR="008D5593" w:rsidRPr="008D5593" w:rsidRDefault="008D5593" w:rsidP="008D5593">
      <w:pPr>
        <w:pStyle w:val="AODocTxtCharChar"/>
        <w:rPr>
          <w:rFonts w:eastAsia="Times New Roman"/>
          <w:sz w:val="24"/>
          <w:szCs w:val="24"/>
          <w:lang w:val="cs-CZ" w:eastAsia="cs-CZ"/>
        </w:rPr>
      </w:pPr>
      <w:r w:rsidRPr="008D5593">
        <w:rPr>
          <w:rFonts w:eastAsia="Times New Roman"/>
          <w:sz w:val="24"/>
          <w:szCs w:val="24"/>
          <w:lang w:val="cs-CZ" w:eastAsia="cs-CZ"/>
        </w:rPr>
        <w:t xml:space="preserve">Strategickým záměrem Společnosti v budoucnosti bude: </w:t>
      </w:r>
    </w:p>
    <w:p w:rsidR="008D5593" w:rsidRPr="008D5593" w:rsidRDefault="008D5593" w:rsidP="008D5593">
      <w:pPr>
        <w:pStyle w:val="AODocTxtCharChar"/>
        <w:rPr>
          <w:rFonts w:eastAsia="Times New Roman"/>
          <w:sz w:val="24"/>
          <w:szCs w:val="24"/>
          <w:lang w:val="cs-CZ" w:eastAsia="cs-CZ"/>
        </w:rPr>
      </w:pPr>
      <w:r w:rsidRPr="008D5593">
        <w:rPr>
          <w:rFonts w:eastAsia="Times New Roman"/>
          <w:sz w:val="24"/>
          <w:szCs w:val="24"/>
          <w:lang w:val="cs-CZ" w:eastAsia="cs-CZ"/>
        </w:rPr>
        <w:t>1) rozvíjení a využití růstových tržních příležitostí k posílení tržní pozice,</w:t>
      </w:r>
    </w:p>
    <w:p w:rsidR="008D5593" w:rsidRPr="008D5593" w:rsidRDefault="008D5593" w:rsidP="008D5593">
      <w:pPr>
        <w:pStyle w:val="AODocTxtCharChar"/>
        <w:rPr>
          <w:rFonts w:eastAsia="Times New Roman"/>
          <w:sz w:val="24"/>
          <w:szCs w:val="24"/>
          <w:lang w:val="cs-CZ" w:eastAsia="cs-CZ"/>
        </w:rPr>
      </w:pPr>
      <w:r w:rsidRPr="008D5593">
        <w:rPr>
          <w:rFonts w:eastAsia="Times New Roman"/>
          <w:sz w:val="24"/>
          <w:szCs w:val="24"/>
          <w:lang w:val="cs-CZ" w:eastAsia="cs-CZ"/>
        </w:rPr>
        <w:t>2) udržení a rozšíření technologického prvenství na evropském trhu netkaných textilií typu spunmelt pro výrobu hygienických výrobků na jednorázové použití v EMEA regionu, a</w:t>
      </w:r>
    </w:p>
    <w:p w:rsidR="008D5593" w:rsidRPr="008D5593" w:rsidRDefault="008D5593" w:rsidP="008D5593">
      <w:pPr>
        <w:pStyle w:val="AODocTxtCharChar"/>
        <w:rPr>
          <w:rFonts w:eastAsia="Times New Roman"/>
          <w:sz w:val="24"/>
          <w:szCs w:val="24"/>
          <w:lang w:val="cs-CZ" w:eastAsia="cs-CZ"/>
        </w:rPr>
      </w:pPr>
      <w:r w:rsidRPr="008D5593">
        <w:rPr>
          <w:rFonts w:eastAsia="Times New Roman"/>
          <w:sz w:val="24"/>
          <w:szCs w:val="24"/>
          <w:lang w:val="cs-CZ" w:eastAsia="cs-CZ"/>
        </w:rPr>
        <w:t xml:space="preserve">3) zajištění solidní návratnosti pro akcionáře. </w:t>
      </w:r>
    </w:p>
    <w:p w:rsidR="008D5593" w:rsidRPr="008D5593" w:rsidRDefault="008D5593" w:rsidP="008D5593">
      <w:pPr>
        <w:pStyle w:val="AODocTxtCharChar"/>
        <w:rPr>
          <w:rFonts w:eastAsia="Times New Roman"/>
          <w:sz w:val="24"/>
          <w:szCs w:val="24"/>
          <w:lang w:val="cs-CZ" w:eastAsia="cs-CZ"/>
        </w:rPr>
      </w:pPr>
      <w:r w:rsidRPr="008D5593">
        <w:rPr>
          <w:rFonts w:eastAsia="Times New Roman"/>
          <w:sz w:val="24"/>
          <w:szCs w:val="24"/>
          <w:lang w:val="cs-CZ" w:eastAsia="cs-CZ"/>
        </w:rPr>
        <w:t>Záměrem PEGASu je naplňovat tuto strategii tím, že se zaměří na následující oblasti:</w:t>
      </w:r>
    </w:p>
    <w:p w:rsidR="008D5593" w:rsidRPr="008D5593" w:rsidRDefault="008D5593" w:rsidP="008D5593">
      <w:pPr>
        <w:pStyle w:val="AODocTxtCharChar"/>
        <w:rPr>
          <w:rFonts w:eastAsia="Times New Roman"/>
          <w:sz w:val="24"/>
          <w:szCs w:val="24"/>
          <w:lang w:val="cs-CZ" w:eastAsia="cs-CZ"/>
        </w:rPr>
      </w:pPr>
      <w:r w:rsidRPr="008D5593">
        <w:rPr>
          <w:rFonts w:eastAsia="Times New Roman"/>
          <w:b/>
          <w:sz w:val="24"/>
          <w:szCs w:val="24"/>
          <w:lang w:val="cs-CZ" w:eastAsia="cs-CZ"/>
        </w:rPr>
        <w:t>Pokračování v investicích do technologicky vyspělých výrobních kapacit:</w:t>
      </w:r>
      <w:r w:rsidRPr="008D5593">
        <w:rPr>
          <w:rFonts w:eastAsia="Times New Roman"/>
          <w:sz w:val="24"/>
          <w:szCs w:val="24"/>
          <w:lang w:val="cs-CZ" w:eastAsia="cs-CZ"/>
        </w:rPr>
        <w:t xml:space="preserve"> PEGAS bude pokračovat v instalacích nejmodernějších výrobních kapacit s předstihem svých evropských </w:t>
      </w:r>
      <w:r w:rsidRPr="008D5593">
        <w:rPr>
          <w:rFonts w:eastAsia="Times New Roman"/>
          <w:sz w:val="24"/>
          <w:szCs w:val="24"/>
          <w:lang w:val="cs-CZ" w:eastAsia="cs-CZ"/>
        </w:rPr>
        <w:lastRenderedPageBreak/>
        <w:t xml:space="preserve">konkurentů. Poslední výrobní linka ve Znojmě byla spuštěna ve druhé polovině roku 2011 a nová výrobní linka v Egyptě započala výrobu v roce 2013. </w:t>
      </w:r>
    </w:p>
    <w:p w:rsidR="008D5593" w:rsidRPr="008D5593" w:rsidRDefault="008D5593" w:rsidP="008D5593">
      <w:pPr>
        <w:pStyle w:val="AODocTxtCharChar"/>
        <w:rPr>
          <w:rFonts w:eastAsia="Times New Roman"/>
          <w:sz w:val="24"/>
          <w:szCs w:val="24"/>
          <w:lang w:val="cs-CZ" w:eastAsia="cs-CZ"/>
        </w:rPr>
      </w:pPr>
      <w:r w:rsidRPr="008D5593">
        <w:rPr>
          <w:rFonts w:eastAsia="Times New Roman"/>
          <w:b/>
          <w:sz w:val="24"/>
          <w:szCs w:val="24"/>
          <w:lang w:val="cs-CZ" w:eastAsia="cs-CZ"/>
        </w:rPr>
        <w:t>Úzká spolupráce se zákazníky a dodavateli:</w:t>
      </w:r>
      <w:r w:rsidRPr="008D5593">
        <w:rPr>
          <w:rFonts w:eastAsia="Times New Roman"/>
          <w:sz w:val="24"/>
          <w:szCs w:val="24"/>
          <w:lang w:val="cs-CZ" w:eastAsia="cs-CZ"/>
        </w:rPr>
        <w:t xml:space="preserve"> PEGAS bude dále pokračovat ve spolupráci se svými zákazníky, výrobci zařízení a dodavateli surovin ve vývoji nových projektů výzkumu a vývoje s předstihem trhu. Cílem Společnosti je zůstat na špičce technického rozvoje v odvětví, dodávat zákazníkům výrobky té nejvyšší kvality a pravidelně vyvíjet nové materiály.</w:t>
      </w:r>
    </w:p>
    <w:p w:rsidR="008D5593" w:rsidRPr="008D5593" w:rsidRDefault="008D5593" w:rsidP="008D5593">
      <w:pPr>
        <w:pStyle w:val="AODocTxtCharChar"/>
        <w:rPr>
          <w:rFonts w:eastAsia="Times New Roman"/>
          <w:sz w:val="24"/>
          <w:szCs w:val="24"/>
          <w:lang w:val="cs-CZ" w:eastAsia="cs-CZ"/>
        </w:rPr>
      </w:pPr>
      <w:r w:rsidRPr="008D5593">
        <w:rPr>
          <w:rFonts w:eastAsia="Times New Roman"/>
          <w:b/>
          <w:sz w:val="24"/>
          <w:szCs w:val="24"/>
          <w:lang w:val="cs-CZ" w:eastAsia="cs-CZ"/>
        </w:rPr>
        <w:t>Zaměření na technologicky pokročilé produkty:</w:t>
      </w:r>
      <w:r w:rsidRPr="008D5593">
        <w:rPr>
          <w:rFonts w:eastAsia="Times New Roman"/>
          <w:sz w:val="24"/>
          <w:szCs w:val="24"/>
          <w:lang w:val="cs-CZ" w:eastAsia="cs-CZ"/>
        </w:rPr>
        <w:t xml:space="preserve"> PEGAS je největším výrobcem speciálních bi-komponentních netkaných textilií typu spunmelt v regionu EMEA s rozsáhlými zkušenostmi s konfigurací a výrobou ultralehkých materiálů. V</w:t>
      </w:r>
      <w:r w:rsidR="00D73DC3">
        <w:rPr>
          <w:rFonts w:eastAsia="Times New Roman"/>
          <w:sz w:val="24"/>
          <w:szCs w:val="24"/>
          <w:lang w:val="cs-CZ" w:eastAsia="cs-CZ"/>
        </w:rPr>
        <w:t xml:space="preserve"> minulých </w:t>
      </w:r>
      <w:r w:rsidRPr="008D5593">
        <w:rPr>
          <w:rFonts w:eastAsia="Times New Roman"/>
          <w:sz w:val="24"/>
          <w:szCs w:val="24"/>
          <w:lang w:val="cs-CZ" w:eastAsia="cs-CZ"/>
        </w:rPr>
        <w:t>letech Společnost úspěšně komercializovala nové materiály s mimořádnými vlastnostmi.</w:t>
      </w:r>
    </w:p>
    <w:p w:rsidR="008D5593" w:rsidRPr="008D5593" w:rsidRDefault="008D5593" w:rsidP="008D5593">
      <w:pPr>
        <w:pStyle w:val="AODocTxtCharChar"/>
        <w:rPr>
          <w:rFonts w:eastAsia="Times New Roman"/>
          <w:sz w:val="24"/>
          <w:szCs w:val="24"/>
          <w:lang w:val="cs-CZ" w:eastAsia="cs-CZ"/>
        </w:rPr>
      </w:pPr>
      <w:r w:rsidRPr="008D5593">
        <w:rPr>
          <w:rFonts w:eastAsia="Times New Roman"/>
          <w:b/>
          <w:sz w:val="24"/>
          <w:szCs w:val="24"/>
          <w:lang w:val="cs-CZ" w:eastAsia="cs-CZ"/>
        </w:rPr>
        <w:t>Udržení vynikající finanční výkonnosti v odvětví:</w:t>
      </w:r>
      <w:r w:rsidRPr="008D5593">
        <w:rPr>
          <w:rFonts w:eastAsia="Times New Roman"/>
          <w:sz w:val="24"/>
          <w:szCs w:val="24"/>
          <w:lang w:val="cs-CZ" w:eastAsia="cs-CZ"/>
        </w:rPr>
        <w:t xml:space="preserve">  Hlavními cíli PEGASu je růst spolu se svým hlavním trhem, vykazování tržeb v souladu s tímto růstem a  dosahování vysokých provozních marží v porovnání se svými konkurenty. PEGAS efektivně vytváří velk</w:t>
      </w:r>
      <w:r w:rsidR="000B30D5">
        <w:rPr>
          <w:rFonts w:eastAsia="Times New Roman"/>
          <w:sz w:val="24"/>
          <w:szCs w:val="24"/>
          <w:lang w:val="cs-CZ" w:eastAsia="cs-CZ"/>
        </w:rPr>
        <w:t>ý objem</w:t>
      </w:r>
      <w:r w:rsidRPr="008D5593">
        <w:rPr>
          <w:rFonts w:eastAsia="Times New Roman"/>
          <w:sz w:val="24"/>
          <w:szCs w:val="24"/>
          <w:lang w:val="cs-CZ" w:eastAsia="cs-CZ"/>
        </w:rPr>
        <w:t xml:space="preserve"> hotovostní</w:t>
      </w:r>
      <w:r w:rsidR="000B30D5">
        <w:rPr>
          <w:rFonts w:eastAsia="Times New Roman"/>
          <w:sz w:val="24"/>
          <w:szCs w:val="24"/>
          <w:lang w:val="cs-CZ" w:eastAsia="cs-CZ"/>
        </w:rPr>
        <w:t>ch</w:t>
      </w:r>
      <w:r w:rsidRPr="008D5593">
        <w:rPr>
          <w:rFonts w:eastAsia="Times New Roman"/>
          <w:sz w:val="24"/>
          <w:szCs w:val="24"/>
          <w:lang w:val="cs-CZ" w:eastAsia="cs-CZ"/>
        </w:rPr>
        <w:t xml:space="preserve"> prostředk</w:t>
      </w:r>
      <w:r w:rsidR="000B30D5">
        <w:rPr>
          <w:rFonts w:eastAsia="Times New Roman"/>
          <w:sz w:val="24"/>
          <w:szCs w:val="24"/>
          <w:lang w:val="cs-CZ" w:eastAsia="cs-CZ"/>
        </w:rPr>
        <w:t>ů</w:t>
      </w:r>
      <w:r w:rsidRPr="008D5593">
        <w:rPr>
          <w:rFonts w:eastAsia="Times New Roman"/>
          <w:sz w:val="24"/>
          <w:szCs w:val="24"/>
          <w:lang w:val="cs-CZ" w:eastAsia="cs-CZ"/>
        </w:rPr>
        <w:t>, které jsou dále používány na další expanzi, snížení dluhu a umožňují výplatu dividendy.</w:t>
      </w:r>
    </w:p>
    <w:p w:rsidR="008D5593" w:rsidRPr="007A542A" w:rsidRDefault="008D5593" w:rsidP="008D5593">
      <w:pPr>
        <w:pStyle w:val="AODocTxtCharChar"/>
        <w:rPr>
          <w:rFonts w:eastAsia="Times New Roman"/>
          <w:sz w:val="24"/>
          <w:szCs w:val="24"/>
          <w:lang w:val="cs-CZ" w:eastAsia="cs-CZ"/>
        </w:rPr>
      </w:pPr>
      <w:r w:rsidRPr="008D5593">
        <w:rPr>
          <w:rFonts w:eastAsia="Times New Roman"/>
          <w:b/>
          <w:sz w:val="24"/>
          <w:szCs w:val="24"/>
          <w:lang w:val="cs-CZ" w:eastAsia="cs-CZ"/>
        </w:rPr>
        <w:t>Monitorování investičních příležitostí:</w:t>
      </w:r>
      <w:r w:rsidRPr="008D5593">
        <w:rPr>
          <w:rFonts w:eastAsia="Times New Roman"/>
          <w:sz w:val="24"/>
          <w:szCs w:val="24"/>
          <w:lang w:val="cs-CZ" w:eastAsia="cs-CZ"/>
        </w:rPr>
        <w:t xml:space="preserve"> Společnost bude i nadále monitorovat investiční příležitosti mimo Českou republiku, jež by mohly vést buď k akvizici, nebo k otevření výrobních kapacit v jiných teritoriích.</w:t>
      </w:r>
    </w:p>
    <w:p w:rsidR="00C80B0E" w:rsidRPr="00E211EF" w:rsidRDefault="00161F66" w:rsidP="00A72029">
      <w:pPr>
        <w:pStyle w:val="Heading2"/>
        <w:rPr>
          <w:rFonts w:ascii="Times New Roman" w:hAnsi="Times New Roman" w:cs="Times New Roman"/>
        </w:rPr>
      </w:pPr>
      <w:bookmarkStart w:id="34" w:name="_Toc269907492"/>
      <w:bookmarkStart w:id="35" w:name="_Toc427918114"/>
      <w:r w:rsidRPr="00E211EF">
        <w:rPr>
          <w:rFonts w:ascii="Times New Roman" w:hAnsi="Times New Roman" w:cs="Times New Roman"/>
        </w:rPr>
        <w:t>Rizikové faktory</w:t>
      </w:r>
      <w:bookmarkEnd w:id="34"/>
      <w:bookmarkEnd w:id="35"/>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Podnikání, provozní a finanční činnost Společnosti mohou být nepříznivě ovlivněny následujícími faktory:</w:t>
      </w:r>
    </w:p>
    <w:p w:rsidR="008D5593" w:rsidRPr="008D5593" w:rsidRDefault="008D5593" w:rsidP="008D5593">
      <w:pPr>
        <w:pStyle w:val="AODocTxtCharChar"/>
        <w:rPr>
          <w:rFonts w:eastAsia="Times New Roman"/>
          <w:b/>
          <w:color w:val="000000"/>
          <w:sz w:val="24"/>
          <w:szCs w:val="24"/>
          <w:lang w:val="cs-CZ" w:eastAsia="cs-CZ"/>
        </w:rPr>
      </w:pPr>
      <w:r w:rsidRPr="008D5593">
        <w:rPr>
          <w:rFonts w:eastAsia="Times New Roman"/>
          <w:b/>
          <w:color w:val="000000"/>
          <w:sz w:val="24"/>
          <w:szCs w:val="24"/>
          <w:lang w:val="cs-CZ" w:eastAsia="cs-CZ"/>
        </w:rPr>
        <w:t>Marketing a Prodej</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PEGAS provozuje podnikání na vysoce konkurenčním trhu a vznik nových konkurentů nebo spuštění nových výrobních kapacit jedním ze stávajících konkurentů může negativně ovlivnit prodeje a marže Společnosti.</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Vysoká koncentrace zákazníků, kteří představují významné procento tržeb Společnosti a ztráta jednoho nebo více takových zákazníků může mít negativní vliv na tržby a ziskovost Společnosti.</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Změna v poptávce koncových uživatelů hygienických výrobků a přesun preferencí k levnějším výrobkům může vést ke změně prodejního portfolia a ovlivnit prodeje a ziskovost Společnosti.</w:t>
      </w:r>
    </w:p>
    <w:p w:rsidR="008D5593" w:rsidRPr="008D5593" w:rsidRDefault="008D5593" w:rsidP="008D5593">
      <w:pPr>
        <w:pStyle w:val="AODocTxtCharChar"/>
        <w:rPr>
          <w:rFonts w:eastAsia="Times New Roman"/>
          <w:b/>
          <w:color w:val="000000"/>
          <w:sz w:val="24"/>
          <w:szCs w:val="24"/>
          <w:lang w:val="cs-CZ" w:eastAsia="cs-CZ"/>
        </w:rPr>
      </w:pPr>
      <w:r w:rsidRPr="008D5593">
        <w:rPr>
          <w:rFonts w:eastAsia="Times New Roman"/>
          <w:b/>
          <w:color w:val="000000"/>
          <w:sz w:val="24"/>
          <w:szCs w:val="24"/>
          <w:lang w:val="cs-CZ" w:eastAsia="cs-CZ"/>
        </w:rPr>
        <w:t>Výroba</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Přerušení výroby může mít materiální vliv na chod Společnosti. PEGAS je závislý na jednom výrobci strojů a poskytovateli technické podpory výrobních linek. PEGAS nebude moci rekonfigurovat své výrobní linky včas a tímto reagovat na změny poptávky po určitých typech netkaných textilií. Výrobní zařízení od jiných výrobců se mohou ukázat jako výkonnější a rychleji rozvíjející se nežli dodavatel zařízení pro PEGAS.</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lastRenderedPageBreak/>
        <w:t>Konkurenti Společnosti mohou mít přístup k většímu objemu kapitálových zdrojů za lepších podmínek a tímto mohou být schopni modernizovat a ex</w:t>
      </w:r>
      <w:r w:rsidR="000B30D5">
        <w:rPr>
          <w:rFonts w:eastAsia="Times New Roman"/>
          <w:color w:val="000000"/>
          <w:sz w:val="24"/>
          <w:szCs w:val="24"/>
          <w:lang w:val="cs-CZ" w:eastAsia="cs-CZ"/>
        </w:rPr>
        <w:t xml:space="preserve">pandovat jejich výrobu rychleji než </w:t>
      </w:r>
      <w:r w:rsidRPr="008D5593">
        <w:rPr>
          <w:rFonts w:eastAsia="Times New Roman"/>
          <w:color w:val="000000"/>
          <w:sz w:val="24"/>
          <w:szCs w:val="24"/>
          <w:lang w:val="cs-CZ" w:eastAsia="cs-CZ"/>
        </w:rPr>
        <w:t>PEGAS a získat tak významnou konkurenční výhodu.</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 xml:space="preserve">Stabilita dodávek a dopravy výrobků Společnosti zákazníkům může být předmětem rizik a nejistot. </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 xml:space="preserve">PEGAS je závislý na externích dodavatelích klíčových surovin a růst nákladů surovin a elektrické energie může mít materiální vliv na finanční a provozní výkonnost Společnosti, přestože je růst cen polymerů převážně přenesen do zákaznických cen. </w:t>
      </w:r>
    </w:p>
    <w:p w:rsidR="008D5593" w:rsidRPr="008D5593" w:rsidRDefault="008D5593" w:rsidP="008D5593">
      <w:pPr>
        <w:pStyle w:val="AODocTxtCharChar"/>
        <w:rPr>
          <w:rFonts w:eastAsia="Times New Roman"/>
          <w:b/>
          <w:color w:val="000000"/>
          <w:sz w:val="24"/>
          <w:szCs w:val="24"/>
          <w:lang w:val="cs-CZ" w:eastAsia="cs-CZ"/>
        </w:rPr>
      </w:pPr>
      <w:r w:rsidRPr="008D5593">
        <w:rPr>
          <w:rFonts w:eastAsia="Times New Roman"/>
          <w:b/>
          <w:color w:val="000000"/>
          <w:sz w:val="24"/>
          <w:szCs w:val="24"/>
          <w:lang w:val="cs-CZ" w:eastAsia="cs-CZ"/>
        </w:rPr>
        <w:t>Výzkum a vývoj</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 xml:space="preserve">Konkurenti Společnosti mohou vyvinout nové materiály požadované zákazníky a získat tak konkurenční výhodu, jenž může mít negativní vliv na tržby a ziskovost Společnosti. </w:t>
      </w:r>
    </w:p>
    <w:p w:rsidR="008D5593" w:rsidRPr="008D5593" w:rsidRDefault="008D5593" w:rsidP="008D5593">
      <w:pPr>
        <w:pStyle w:val="AODocTxtCharChar"/>
        <w:rPr>
          <w:rFonts w:eastAsia="Times New Roman"/>
          <w:b/>
          <w:color w:val="000000"/>
          <w:sz w:val="24"/>
          <w:szCs w:val="24"/>
          <w:lang w:val="cs-CZ" w:eastAsia="cs-CZ"/>
        </w:rPr>
      </w:pPr>
      <w:r w:rsidRPr="008D5593">
        <w:rPr>
          <w:rFonts w:eastAsia="Times New Roman"/>
          <w:b/>
          <w:color w:val="000000"/>
          <w:sz w:val="24"/>
          <w:szCs w:val="24"/>
          <w:lang w:val="cs-CZ" w:eastAsia="cs-CZ"/>
        </w:rPr>
        <w:t>Potenciální expanze</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PEGAS je vystaven riziku spojeném</w:t>
      </w:r>
      <w:r w:rsidR="000B30D5">
        <w:rPr>
          <w:rFonts w:eastAsia="Times New Roman"/>
          <w:color w:val="000000"/>
          <w:sz w:val="24"/>
          <w:szCs w:val="24"/>
          <w:lang w:val="cs-CZ" w:eastAsia="cs-CZ"/>
        </w:rPr>
        <w:t>u</w:t>
      </w:r>
      <w:r w:rsidRPr="008D5593">
        <w:rPr>
          <w:rFonts w:eastAsia="Times New Roman"/>
          <w:color w:val="000000"/>
          <w:sz w:val="24"/>
          <w:szCs w:val="24"/>
          <w:lang w:val="cs-CZ" w:eastAsia="cs-CZ"/>
        </w:rPr>
        <w:t xml:space="preserve"> s možnými akvizicemi, investicemi, strategickým partnerstvím nebo aliancím, zahrnující identifikaci příležitosti, riziko dokončení transakce integrace třetích stran do Společnosti.</w:t>
      </w:r>
    </w:p>
    <w:p w:rsidR="008D5593" w:rsidRPr="008D5593" w:rsidRDefault="008D5593" w:rsidP="008D5593">
      <w:pPr>
        <w:pStyle w:val="AODocTxtCharChar"/>
        <w:rPr>
          <w:rFonts w:eastAsia="Times New Roman"/>
          <w:b/>
          <w:color w:val="000000"/>
          <w:sz w:val="24"/>
          <w:szCs w:val="24"/>
          <w:lang w:val="cs-CZ" w:eastAsia="cs-CZ"/>
        </w:rPr>
      </w:pPr>
      <w:r w:rsidRPr="008D5593">
        <w:rPr>
          <w:rFonts w:eastAsia="Times New Roman"/>
          <w:b/>
          <w:color w:val="000000"/>
          <w:sz w:val="24"/>
          <w:szCs w:val="24"/>
          <w:lang w:val="cs-CZ" w:eastAsia="cs-CZ"/>
        </w:rPr>
        <w:t>Právo a duševní vlastnictví</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 xml:space="preserve">Podnikání Společnosti je vystaveno finančním a provozním nejistotám a ovlivněno legislativou a právním rámcem, jež mohou mít vliv na provozní a finanční výkonnost.  </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 xml:space="preserve">PEGAS může porušovat právo týkající se duševního vlastnictví jiných osob. </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Negativní výsledek soudních sporů PEGASu může mít vliv na chod Společnosti a její budoucí výhledy.</w:t>
      </w:r>
    </w:p>
    <w:p w:rsidR="008D5593" w:rsidRPr="008D5593" w:rsidRDefault="008D5593" w:rsidP="008D5593">
      <w:pPr>
        <w:pStyle w:val="AODocTxtCharChar"/>
        <w:rPr>
          <w:rFonts w:eastAsia="Times New Roman"/>
          <w:b/>
          <w:color w:val="000000"/>
          <w:sz w:val="24"/>
          <w:szCs w:val="24"/>
          <w:lang w:val="cs-CZ" w:eastAsia="cs-CZ"/>
        </w:rPr>
      </w:pPr>
      <w:r w:rsidRPr="008D5593">
        <w:rPr>
          <w:rFonts w:eastAsia="Times New Roman"/>
          <w:b/>
          <w:color w:val="000000"/>
          <w:sz w:val="24"/>
          <w:szCs w:val="24"/>
          <w:lang w:val="cs-CZ" w:eastAsia="cs-CZ"/>
        </w:rPr>
        <w:t>Finance</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Zadlužení Společnosti může negativně ovlivnit finanční podmínky a provozní výsledky. Výše úroků placených na externím dluhu může být bankami přehodnocena důsledkem krize finančního sektoru a zvýšené úrokové náklady mohou negativně ovlivnit ziskovost Společnosti.</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Současné vysoké zadlužení a změna podmínek externího dluhu (kovenanty) mohou vést k změně současné progresivní dividendové politiky Společnosti.</w:t>
      </w:r>
    </w:p>
    <w:p w:rsidR="000B30D5"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Volatilit</w:t>
      </w:r>
      <w:r w:rsidR="000B30D5">
        <w:rPr>
          <w:rFonts w:eastAsia="Times New Roman"/>
          <w:color w:val="000000"/>
          <w:sz w:val="24"/>
          <w:szCs w:val="24"/>
          <w:lang w:val="cs-CZ" w:eastAsia="cs-CZ"/>
        </w:rPr>
        <w:t>a</w:t>
      </w:r>
      <w:r w:rsidRPr="008D5593">
        <w:rPr>
          <w:rFonts w:eastAsia="Times New Roman"/>
          <w:color w:val="000000"/>
          <w:sz w:val="24"/>
          <w:szCs w:val="24"/>
          <w:lang w:val="cs-CZ" w:eastAsia="cs-CZ"/>
        </w:rPr>
        <w:t xml:space="preserve"> kurzu české koruny</w:t>
      </w:r>
      <w:r w:rsidR="000B30D5">
        <w:rPr>
          <w:rFonts w:eastAsia="Times New Roman"/>
          <w:color w:val="000000"/>
          <w:sz w:val="24"/>
          <w:szCs w:val="24"/>
          <w:lang w:val="cs-CZ" w:eastAsia="cs-CZ"/>
        </w:rPr>
        <w:t>, amerického dolaru</w:t>
      </w:r>
      <w:r w:rsidRPr="008D5593">
        <w:rPr>
          <w:rFonts w:eastAsia="Times New Roman"/>
          <w:color w:val="000000"/>
          <w:sz w:val="24"/>
          <w:szCs w:val="24"/>
          <w:lang w:val="cs-CZ" w:eastAsia="cs-CZ"/>
        </w:rPr>
        <w:t xml:space="preserve"> a Eura </w:t>
      </w:r>
      <w:r w:rsidR="000B30D5">
        <w:rPr>
          <w:rFonts w:eastAsia="Times New Roman"/>
          <w:color w:val="000000"/>
          <w:sz w:val="24"/>
          <w:szCs w:val="24"/>
          <w:lang w:val="cs-CZ" w:eastAsia="cs-CZ"/>
        </w:rPr>
        <w:t xml:space="preserve">může </w:t>
      </w:r>
      <w:r w:rsidRPr="008D5593">
        <w:rPr>
          <w:rFonts w:eastAsia="Times New Roman"/>
          <w:color w:val="000000"/>
          <w:sz w:val="24"/>
          <w:szCs w:val="24"/>
          <w:lang w:val="cs-CZ" w:eastAsia="cs-CZ"/>
        </w:rPr>
        <w:t xml:space="preserve">negativně ovlivnit ziskovost Společnosti. </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Provozní společnosti PEGASu těží z daňových výhod přiznaných českou vládou. Pokud dojde ke změnám v daňovém systému, snížení nebo zrušení daňových výhod, bude to mít negativní vliv na ziskovost Společnosti.</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Fluktuace cen polymerů, jež je přenášena na zákazníka s určitým zpožděním může krátkodobě ovlivnit výnosy Společnosti a její ziskovost.</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lastRenderedPageBreak/>
        <w:t>Pojistné krytí nemusí dostatečně krýt veškerá rizika ztráty.</w:t>
      </w:r>
    </w:p>
    <w:p w:rsidR="008D5593" w:rsidRPr="008D5593" w:rsidRDefault="008D5593" w:rsidP="008D5593">
      <w:pPr>
        <w:pStyle w:val="AODocTxtCharChar"/>
        <w:rPr>
          <w:rFonts w:eastAsia="Times New Roman"/>
          <w:b/>
          <w:color w:val="000000"/>
          <w:sz w:val="24"/>
          <w:szCs w:val="24"/>
          <w:lang w:val="cs-CZ" w:eastAsia="cs-CZ"/>
        </w:rPr>
      </w:pPr>
      <w:r w:rsidRPr="008D5593">
        <w:rPr>
          <w:rFonts w:eastAsia="Times New Roman"/>
          <w:b/>
          <w:color w:val="000000"/>
          <w:sz w:val="24"/>
          <w:szCs w:val="24"/>
          <w:lang w:val="cs-CZ" w:eastAsia="cs-CZ"/>
        </w:rPr>
        <w:t>Bezpečnost, životní prostředí a bezpečnost práce</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Plnění zákonných povinností a změny v zákonech týkající se bezpečnosti, zdraví a životního prostředí mohou mít vliv na provozní a finanční výkonnost Společnosti.</w:t>
      </w:r>
    </w:p>
    <w:p w:rsidR="008D5593" w:rsidRPr="008D5593" w:rsidRDefault="008D5593" w:rsidP="008D5593">
      <w:pPr>
        <w:pStyle w:val="AODocTxtCharChar"/>
        <w:rPr>
          <w:rFonts w:eastAsia="Times New Roman"/>
          <w:b/>
          <w:color w:val="000000"/>
          <w:sz w:val="24"/>
          <w:szCs w:val="24"/>
          <w:lang w:val="cs-CZ" w:eastAsia="cs-CZ"/>
        </w:rPr>
      </w:pPr>
      <w:r w:rsidRPr="008D5593">
        <w:rPr>
          <w:rFonts w:eastAsia="Times New Roman"/>
          <w:b/>
          <w:color w:val="000000"/>
          <w:sz w:val="24"/>
          <w:szCs w:val="24"/>
          <w:lang w:val="cs-CZ" w:eastAsia="cs-CZ"/>
        </w:rPr>
        <w:t xml:space="preserve">Klíčoví zaměstnanci a technická expertíza </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 xml:space="preserve">Ztráta klíčových manažerů Společnosti může mít negativní vliv na chod Společnosti. </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 xml:space="preserve">PEGAS nemusí být schopen zaměstnat a udržet požadovaný počet kvalifikovaných pracovních sil vzhledem k jejich omezenému počtu na trhu a vysoké poptávce. </w:t>
      </w:r>
    </w:p>
    <w:p w:rsidR="008D5593" w:rsidRPr="008D5593" w:rsidRDefault="008D5593" w:rsidP="008D5593">
      <w:pPr>
        <w:pStyle w:val="AODocTxtCharChar"/>
        <w:rPr>
          <w:rFonts w:eastAsia="Times New Roman"/>
          <w:b/>
          <w:color w:val="000000"/>
          <w:sz w:val="24"/>
          <w:szCs w:val="24"/>
          <w:lang w:val="cs-CZ" w:eastAsia="cs-CZ"/>
        </w:rPr>
      </w:pPr>
      <w:r w:rsidRPr="008D5593">
        <w:rPr>
          <w:rFonts w:eastAsia="Times New Roman"/>
          <w:b/>
          <w:color w:val="000000"/>
          <w:sz w:val="24"/>
          <w:szCs w:val="24"/>
          <w:lang w:val="cs-CZ" w:eastAsia="cs-CZ"/>
        </w:rPr>
        <w:t>Změny vlastnictví</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 xml:space="preserve">100% akcií PEGASu je volně obchodovatelných a vlastnická struktura je velmi roztříštěná a rozdělená mezi mnoho akcionářů. Potenciální vstup majoritního investora do Společnosti může vést k náhlé změně dlouhodobé strategie a ovlivnit hodnotu akcií. </w:t>
      </w:r>
    </w:p>
    <w:p w:rsidR="008D5593" w:rsidRPr="008D5593" w:rsidRDefault="008D5593" w:rsidP="008D5593">
      <w:pPr>
        <w:pStyle w:val="AODocTxtCharChar"/>
        <w:rPr>
          <w:rFonts w:eastAsia="Times New Roman"/>
          <w:b/>
          <w:color w:val="000000"/>
          <w:sz w:val="24"/>
          <w:szCs w:val="24"/>
          <w:lang w:val="cs-CZ" w:eastAsia="cs-CZ"/>
        </w:rPr>
      </w:pPr>
      <w:r w:rsidRPr="008D5593">
        <w:rPr>
          <w:rFonts w:eastAsia="Times New Roman"/>
          <w:b/>
          <w:color w:val="000000"/>
          <w:sz w:val="24"/>
          <w:szCs w:val="24"/>
          <w:lang w:val="cs-CZ" w:eastAsia="cs-CZ"/>
        </w:rPr>
        <w:t>Rizikové faktory související s investicí v Egyptě</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 xml:space="preserve">Investice na rozvíjejících se trzích jako je Egypt obvykle nesou vyšší úroveň rizika nežli investice v rozvinutějších zemích. Tyto rizika zahrnují, ale nejsou omezeny na, změny v politickém prostředí, transfer zisků, znárodnění nebo politicky motivované páchání škod. Egyptská ekonomika může být v budoucnu náchylná k negativním dopadům, které jsou obdobné jako v jiných rozvíjejících se zemích. </w:t>
      </w:r>
    </w:p>
    <w:p w:rsidR="008D5593" w:rsidRPr="008D5593" w:rsidRDefault="008D5593" w:rsidP="008D5593">
      <w:pPr>
        <w:pStyle w:val="AODocTxtCharChar"/>
        <w:rPr>
          <w:rFonts w:eastAsia="Times New Roman"/>
          <w:color w:val="000000"/>
          <w:sz w:val="24"/>
          <w:szCs w:val="24"/>
          <w:lang w:val="cs-CZ" w:eastAsia="cs-CZ"/>
        </w:rPr>
      </w:pPr>
      <w:r w:rsidRPr="008D5593">
        <w:rPr>
          <w:rFonts w:eastAsia="Times New Roman"/>
          <w:color w:val="000000"/>
          <w:sz w:val="24"/>
          <w:szCs w:val="24"/>
          <w:lang w:val="cs-CZ" w:eastAsia="cs-CZ"/>
        </w:rPr>
        <w:t xml:space="preserve">Egypt se nachází v regionu, který je zejména v posledních letech předmětem neustálých politických a bezpečnostních nepokojů. Stejně jako v jiných zemích v tomto regionu, Egypt byl v minulosti cílem náhodných teroristických útoků. Není zaručeno, že extremisté nebo teroristické skupiny nebudou vyvolávat nebo pokračovat v Egyptě v náhodných aktech násilí nebo že vláda bude i nadále schopna relativně úspěšně udržet současnou úroveň pořádku a stability v zemi. </w:t>
      </w:r>
    </w:p>
    <w:p w:rsidR="007B4094" w:rsidRPr="005A2B64" w:rsidRDefault="008D5593" w:rsidP="007B4094">
      <w:pPr>
        <w:pStyle w:val="AODocTxtCharChar"/>
        <w:rPr>
          <w:rFonts w:ascii="Arial" w:hAnsi="Arial" w:cs="Arial"/>
          <w:lang w:val="cs-CZ"/>
        </w:rPr>
      </w:pPr>
      <w:r w:rsidRPr="00C14D65">
        <w:rPr>
          <w:rFonts w:eastAsia="Times New Roman"/>
          <w:color w:val="000000"/>
          <w:sz w:val="24"/>
          <w:szCs w:val="24"/>
          <w:lang w:val="cs-CZ" w:eastAsia="cs-CZ"/>
        </w:rPr>
        <w:t>Ačkoliv PEGAS uzavřel pojistnou smlouvu s EGAPem na krytí rizik spojených s investicí v Egyptě, která zahrnuje pojištění investice vůči rizikům jako je ochrana transferu zisků, znárodnění nebo politicky motivované páchání škod, je tu riziko, že pojistné krytí dostatečně neochrání PEGAS vůči veškerým možným ztrátám v souvislosti s investicí v Egyptě.</w:t>
      </w:r>
    </w:p>
    <w:p w:rsidR="00BD78CE" w:rsidRPr="007A542A" w:rsidRDefault="00BD78CE" w:rsidP="00BF2F32">
      <w:pPr>
        <w:pStyle w:val="NormalWeb"/>
        <w:jc w:val="both"/>
      </w:pPr>
      <w:r w:rsidRPr="007A542A">
        <w:t xml:space="preserve"> </w:t>
      </w:r>
    </w:p>
    <w:p w:rsidR="00A910E6" w:rsidRPr="007A542A" w:rsidRDefault="00A910E6" w:rsidP="00727FF7">
      <w:pPr>
        <w:pStyle w:val="Heading1"/>
        <w:tabs>
          <w:tab w:val="num" w:pos="0"/>
        </w:tabs>
        <w:ind w:left="0" w:firstLine="0"/>
        <w:rPr>
          <w:rFonts w:ascii="Times New Roman" w:hAnsi="Times New Roman" w:cs="Times New Roman"/>
        </w:rPr>
        <w:sectPr w:rsidR="00A910E6" w:rsidRPr="007A542A" w:rsidSect="00B520ED">
          <w:pgSz w:w="11906" w:h="16838"/>
          <w:pgMar w:top="1417" w:right="1417" w:bottom="1417" w:left="1417" w:header="708" w:footer="708" w:gutter="0"/>
          <w:cols w:space="708"/>
          <w:docGrid w:linePitch="360"/>
        </w:sectPr>
      </w:pPr>
      <w:bookmarkStart w:id="36" w:name="_Toc165188447"/>
      <w:bookmarkEnd w:id="22"/>
    </w:p>
    <w:p w:rsidR="00153CF7" w:rsidRPr="00E211EF" w:rsidRDefault="00A910E6" w:rsidP="00727FF7">
      <w:pPr>
        <w:pStyle w:val="Heading1"/>
        <w:tabs>
          <w:tab w:val="num" w:pos="0"/>
        </w:tabs>
        <w:ind w:left="0" w:firstLine="0"/>
        <w:rPr>
          <w:rFonts w:ascii="Times New Roman" w:hAnsi="Times New Roman" w:cs="Times New Roman"/>
        </w:rPr>
      </w:pPr>
      <w:bookmarkStart w:id="37" w:name="_Toc269907493"/>
      <w:bookmarkStart w:id="38" w:name="_Toc427918115"/>
      <w:r w:rsidRPr="00E211EF">
        <w:rPr>
          <w:rFonts w:ascii="Times New Roman" w:hAnsi="Times New Roman" w:cs="Times New Roman"/>
        </w:rPr>
        <w:lastRenderedPageBreak/>
        <w:t>Akcie a akcionářská struktura</w:t>
      </w:r>
      <w:bookmarkEnd w:id="37"/>
      <w:bookmarkEnd w:id="38"/>
      <w:r w:rsidR="00153CF7" w:rsidRPr="00E211EF">
        <w:rPr>
          <w:rFonts w:ascii="Times New Roman" w:hAnsi="Times New Roman" w:cs="Times New Roman"/>
        </w:rPr>
        <w:t xml:space="preserve"> </w:t>
      </w:r>
    </w:p>
    <w:p w:rsidR="00C7706F" w:rsidRPr="007A542A" w:rsidRDefault="00A910E6" w:rsidP="00C7706F">
      <w:pPr>
        <w:pStyle w:val="NormalWeb"/>
        <w:jc w:val="both"/>
        <w:rPr>
          <w:b/>
        </w:rPr>
      </w:pPr>
      <w:r w:rsidRPr="007A5E29">
        <w:rPr>
          <w:b/>
        </w:rPr>
        <w:t>Struktura akcionářů k 30</w:t>
      </w:r>
      <w:r w:rsidR="00EC395D" w:rsidRPr="007A5E29">
        <w:rPr>
          <w:b/>
        </w:rPr>
        <w:t>. červnu 201</w:t>
      </w:r>
      <w:r w:rsidR="00E72C01" w:rsidRPr="007A5E29">
        <w:rPr>
          <w:b/>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3"/>
        <w:gridCol w:w="2465"/>
      </w:tblGrid>
      <w:tr w:rsidR="00C7706F" w:rsidRPr="007A542A" w:rsidTr="00F86F85">
        <w:tc>
          <w:tcPr>
            <w:tcW w:w="3673" w:type="pct"/>
          </w:tcPr>
          <w:p w:rsidR="00C7706F" w:rsidRPr="007A542A" w:rsidRDefault="00A910E6" w:rsidP="005D5701">
            <w:r w:rsidRPr="007A542A">
              <w:t>Institucionální a drobní investoři (společně volný trh)</w:t>
            </w:r>
          </w:p>
        </w:tc>
        <w:tc>
          <w:tcPr>
            <w:tcW w:w="1327" w:type="pct"/>
          </w:tcPr>
          <w:p w:rsidR="00C7706F" w:rsidRPr="007A542A" w:rsidRDefault="00D04D50" w:rsidP="00F86F85">
            <w:pPr>
              <w:jc w:val="right"/>
            </w:pPr>
            <w:r w:rsidRPr="007A542A">
              <w:t>100</w:t>
            </w:r>
            <w:r w:rsidR="00865CEE" w:rsidRPr="007A542A">
              <w:t xml:space="preserve"> </w:t>
            </w:r>
            <w:r w:rsidR="00C7706F" w:rsidRPr="007A542A">
              <w:t>%</w:t>
            </w:r>
          </w:p>
        </w:tc>
      </w:tr>
      <w:tr w:rsidR="00C7706F" w:rsidRPr="007A542A" w:rsidTr="00F86F85">
        <w:tc>
          <w:tcPr>
            <w:tcW w:w="3673" w:type="pct"/>
          </w:tcPr>
          <w:p w:rsidR="00C7706F" w:rsidRPr="007A542A" w:rsidRDefault="00A54BDF" w:rsidP="00A54BDF">
            <w:r w:rsidRPr="007A542A">
              <w:t xml:space="preserve">     </w:t>
            </w:r>
            <w:r w:rsidR="000D6B8A" w:rsidRPr="007A542A">
              <w:t>z</w:t>
            </w:r>
            <w:r w:rsidR="0094528D" w:rsidRPr="007A542A">
              <w:t xml:space="preserve"> toho</w:t>
            </w:r>
            <w:r w:rsidR="00A910E6" w:rsidRPr="007A542A">
              <w:t xml:space="preserve"> </w:t>
            </w:r>
            <w:r w:rsidR="00CF2597" w:rsidRPr="007A542A">
              <w:t xml:space="preserve">vrcholový </w:t>
            </w:r>
            <w:r w:rsidR="00A910E6" w:rsidRPr="007A542A">
              <w:t>management Společnosti</w:t>
            </w:r>
          </w:p>
        </w:tc>
        <w:tc>
          <w:tcPr>
            <w:tcW w:w="1327" w:type="pct"/>
          </w:tcPr>
          <w:p w:rsidR="00C7706F" w:rsidRPr="007A542A" w:rsidRDefault="004D2A3A" w:rsidP="00F86F85">
            <w:pPr>
              <w:jc w:val="right"/>
            </w:pPr>
            <w:r w:rsidRPr="007A542A">
              <w:t>0,7</w:t>
            </w:r>
            <w:r w:rsidR="002A78C5" w:rsidRPr="007A542A">
              <w:t xml:space="preserve"> </w:t>
            </w:r>
            <w:r w:rsidR="00C7706F" w:rsidRPr="007A542A">
              <w:t>%</w:t>
            </w:r>
          </w:p>
        </w:tc>
      </w:tr>
    </w:tbl>
    <w:p w:rsidR="00C7706F" w:rsidRPr="007A542A" w:rsidRDefault="008966E1" w:rsidP="00C7706F">
      <w:pPr>
        <w:rPr>
          <w:sz w:val="20"/>
          <w:szCs w:val="20"/>
        </w:rPr>
      </w:pPr>
      <w:r w:rsidRPr="007A542A">
        <w:rPr>
          <w:sz w:val="20"/>
          <w:szCs w:val="20"/>
        </w:rPr>
        <w:t>Zdroj</w:t>
      </w:r>
      <w:r w:rsidR="00C7706F" w:rsidRPr="007A542A">
        <w:rPr>
          <w:sz w:val="20"/>
          <w:szCs w:val="20"/>
        </w:rPr>
        <w:t xml:space="preserve">: </w:t>
      </w:r>
      <w:r w:rsidR="0094528D" w:rsidRPr="007A542A">
        <w:rPr>
          <w:sz w:val="20"/>
          <w:szCs w:val="20"/>
        </w:rPr>
        <w:t>Údaje S</w:t>
      </w:r>
      <w:r w:rsidRPr="007A542A">
        <w:rPr>
          <w:sz w:val="20"/>
          <w:szCs w:val="20"/>
        </w:rPr>
        <w:t>polečnosti</w:t>
      </w:r>
    </w:p>
    <w:p w:rsidR="00A910E6" w:rsidRPr="007A542A" w:rsidRDefault="00052298" w:rsidP="00A910E6">
      <w:pPr>
        <w:pStyle w:val="NormalWeb"/>
        <w:jc w:val="both"/>
      </w:pPr>
      <w:r w:rsidRPr="007A542A">
        <w:t>C</w:t>
      </w:r>
      <w:r w:rsidR="00EB18EC" w:rsidRPr="007A542A">
        <w:t>elkov</w:t>
      </w:r>
      <w:r w:rsidR="008966E1" w:rsidRPr="007A542A">
        <w:t>ý</w:t>
      </w:r>
      <w:r w:rsidR="00EB18EC" w:rsidRPr="007A542A">
        <w:t xml:space="preserve"> podíl </w:t>
      </w:r>
      <w:r w:rsidR="00C036D9" w:rsidRPr="007A542A">
        <w:t xml:space="preserve">akcií </w:t>
      </w:r>
      <w:r w:rsidR="00EB18EC" w:rsidRPr="007A542A">
        <w:t xml:space="preserve">ve vlastnictví členů </w:t>
      </w:r>
      <w:r w:rsidR="004C4DE2" w:rsidRPr="007A542A">
        <w:t>managementu</w:t>
      </w:r>
      <w:r w:rsidR="00A910E6" w:rsidRPr="007A542A">
        <w:t xml:space="preserve"> Společnosti </w:t>
      </w:r>
      <w:r w:rsidR="002A78C5" w:rsidRPr="007A542A">
        <w:t xml:space="preserve">činil </w:t>
      </w:r>
      <w:r w:rsidR="00D14C8B" w:rsidRPr="007A542A">
        <w:t>k 30</w:t>
      </w:r>
      <w:r w:rsidR="00BF2F32" w:rsidRPr="007A542A">
        <w:t xml:space="preserve">. </w:t>
      </w:r>
      <w:r w:rsidR="007C48F2" w:rsidRPr="007A542A">
        <w:t>červnu</w:t>
      </w:r>
      <w:r w:rsidR="00801657" w:rsidRPr="007A542A">
        <w:t xml:space="preserve"> 201</w:t>
      </w:r>
      <w:r w:rsidR="00E72C01">
        <w:t>5</w:t>
      </w:r>
      <w:r w:rsidRPr="007A542A">
        <w:t xml:space="preserve"> </w:t>
      </w:r>
      <w:r w:rsidR="004D2A3A" w:rsidRPr="007A542A">
        <w:br/>
        <w:t>0,7</w:t>
      </w:r>
      <w:r w:rsidR="002A78C5" w:rsidRPr="007A542A">
        <w:t xml:space="preserve"> </w:t>
      </w:r>
      <w:r w:rsidR="005A75AA" w:rsidRPr="007A542A">
        <w:t xml:space="preserve">% a </w:t>
      </w:r>
      <w:r w:rsidR="00801657" w:rsidRPr="007A542A">
        <w:t>od konce roku 201</w:t>
      </w:r>
      <w:r w:rsidR="00E72C01">
        <w:t>4</w:t>
      </w:r>
      <w:r w:rsidR="00D14C8B" w:rsidRPr="007A542A">
        <w:t xml:space="preserve"> se nezměnil.</w:t>
      </w:r>
      <w:r w:rsidR="003426C4" w:rsidRPr="007A542A">
        <w:t xml:space="preserve"> </w:t>
      </w:r>
    </w:p>
    <w:p w:rsidR="00E72C01" w:rsidRDefault="00E72C01" w:rsidP="00E72C01">
      <w:pPr>
        <w:autoSpaceDE w:val="0"/>
        <w:autoSpaceDN w:val="0"/>
        <w:adjustRightInd w:val="0"/>
        <w:spacing w:after="240"/>
        <w:jc w:val="both"/>
      </w:pPr>
      <w:r>
        <w:t>Dne 22. června 2015 obdržela Společnost hlášení akcionáře o tom, že společnost Wood Textiles Holding Limited se sídlem TG Complex, Suite 2, Level 3, Brewery Street, Mrieħel BKR 3000, Malta, držela ke dni 15. června 2015 1 885 983 akcií společnosti PEGAS NONWOVENS SA, což představuje 20,43% podíl na základním kapitálu a hlasovacích právech Společnosti. Před 15. červnem 2015 Wood Textiles Holding Limited držel 1 843 007 akcií Společnosti, což představovalo 19,97% podíl na základním kapitálu a hlasovacích právech Společnosti.</w:t>
      </w:r>
    </w:p>
    <w:p w:rsidR="00801657" w:rsidRPr="007A542A" w:rsidRDefault="004D2A3A" w:rsidP="00801657">
      <w:pPr>
        <w:autoSpaceDE w:val="0"/>
        <w:autoSpaceDN w:val="0"/>
        <w:adjustRightInd w:val="0"/>
        <w:spacing w:after="240"/>
        <w:jc w:val="both"/>
      </w:pPr>
      <w:r w:rsidRPr="007A542A">
        <w:t xml:space="preserve">Kromě tohoto hlášení Společnost neobdržela za </w:t>
      </w:r>
      <w:r w:rsidR="00BD78CE" w:rsidRPr="007A542A">
        <w:t>období prvních šesti měsíc</w:t>
      </w:r>
      <w:r w:rsidR="00A34576" w:rsidRPr="007A542A">
        <w:t xml:space="preserve">ů </w:t>
      </w:r>
      <w:r w:rsidR="007F2709" w:rsidRPr="007A542A">
        <w:t>roku</w:t>
      </w:r>
      <w:r w:rsidR="00801657" w:rsidRPr="007A542A">
        <w:t xml:space="preserve"> 201</w:t>
      </w:r>
      <w:r w:rsidR="00E72C01">
        <w:t>5</w:t>
      </w:r>
      <w:r w:rsidR="003426C4" w:rsidRPr="007A542A">
        <w:t xml:space="preserve"> žádn</w:t>
      </w:r>
      <w:r w:rsidR="008601BB" w:rsidRPr="007A542A">
        <w:t>é</w:t>
      </w:r>
      <w:r w:rsidR="003426C4" w:rsidRPr="007A542A">
        <w:t xml:space="preserve"> </w:t>
      </w:r>
      <w:r w:rsidRPr="007A542A">
        <w:t xml:space="preserve">další </w:t>
      </w:r>
      <w:r w:rsidR="003426C4" w:rsidRPr="007A542A">
        <w:t xml:space="preserve">hlášení akcionáře o nabytí či změně významného podílu na základním kapitálu a hlasovacích právech </w:t>
      </w:r>
      <w:r w:rsidR="00BD1725" w:rsidRPr="007A542A">
        <w:t>spojených s akciemi vydan</w:t>
      </w:r>
      <w:r w:rsidR="006902A4" w:rsidRPr="007A542A">
        <w:t xml:space="preserve">ých Společností. </w:t>
      </w:r>
    </w:p>
    <w:p w:rsidR="00C7706F" w:rsidRPr="007A542A" w:rsidRDefault="00BD1725" w:rsidP="00C7706F">
      <w:pPr>
        <w:rPr>
          <w:b/>
        </w:rPr>
      </w:pPr>
      <w:r w:rsidRPr="007A542A">
        <w:rPr>
          <w:b/>
        </w:rPr>
        <w:t xml:space="preserve">Vývoj ceny akcií a vývoj obchodování v první polovině </w:t>
      </w:r>
      <w:r w:rsidR="00C036D9" w:rsidRPr="007A542A">
        <w:rPr>
          <w:b/>
        </w:rPr>
        <w:t xml:space="preserve">roku </w:t>
      </w:r>
      <w:r w:rsidR="003426C4" w:rsidRPr="007A542A">
        <w:rPr>
          <w:b/>
        </w:rPr>
        <w:t>20</w:t>
      </w:r>
      <w:r w:rsidR="00640CBC" w:rsidRPr="007A542A">
        <w:rPr>
          <w:b/>
        </w:rPr>
        <w:t>1</w:t>
      </w:r>
      <w:r w:rsidR="00E72C01">
        <w:rPr>
          <w:b/>
        </w:rPr>
        <w:t>5</w:t>
      </w:r>
      <w:r w:rsidR="00F85AB0" w:rsidRPr="007A542A">
        <w:rPr>
          <w:rStyle w:val="FootnoteReference"/>
          <w:b/>
        </w:rPr>
        <w:footnoteReference w:id="2"/>
      </w:r>
    </w:p>
    <w:p w:rsidR="006505EC" w:rsidRPr="007A542A" w:rsidRDefault="006505EC" w:rsidP="006505EC">
      <w:pPr>
        <w:pStyle w:val="NormalWeb"/>
        <w:jc w:val="both"/>
      </w:pPr>
      <w:r w:rsidRPr="007A542A">
        <w:t>Akc</w:t>
      </w:r>
      <w:r w:rsidR="00C00806" w:rsidRPr="007A542A">
        <w:t xml:space="preserve">ie jsou obchodovány na </w:t>
      </w:r>
      <w:r w:rsidR="00C036D9" w:rsidRPr="007A542A">
        <w:t xml:space="preserve">burze cenných papírů </w:t>
      </w:r>
      <w:r w:rsidR="00187ADB" w:rsidRPr="007A542A">
        <w:t xml:space="preserve">v </w:t>
      </w:r>
      <w:r w:rsidR="00C036D9" w:rsidRPr="007A542A">
        <w:t>Pra</w:t>
      </w:r>
      <w:r w:rsidR="00187ADB" w:rsidRPr="007A542A">
        <w:t>ze</w:t>
      </w:r>
      <w:r w:rsidR="00C036D9" w:rsidRPr="007A542A">
        <w:t xml:space="preserve"> (</w:t>
      </w:r>
      <w:r w:rsidR="00C00806" w:rsidRPr="007A542A">
        <w:t>BCP</w:t>
      </w:r>
      <w:r w:rsidRPr="007A542A">
        <w:t>P</w:t>
      </w:r>
      <w:r w:rsidR="00C036D9" w:rsidRPr="007A542A">
        <w:t>)</w:t>
      </w:r>
      <w:r w:rsidRPr="007A542A">
        <w:t xml:space="preserve"> pod </w:t>
      </w:r>
      <w:r w:rsidR="00C036D9" w:rsidRPr="007A542A">
        <w:t xml:space="preserve">identifikačním číslem </w:t>
      </w:r>
      <w:r w:rsidR="00C7706F" w:rsidRPr="007A542A">
        <w:t>ISIN LU0275164910</w:t>
      </w:r>
      <w:r w:rsidR="00C036D9" w:rsidRPr="007A542A">
        <w:t xml:space="preserve">, zkratkou </w:t>
      </w:r>
      <w:r w:rsidR="00C7706F" w:rsidRPr="007A542A">
        <w:t>BAAPEGAS a</w:t>
      </w:r>
      <w:r w:rsidRPr="007A542A">
        <w:t xml:space="preserve"> na burze ve Varšavě pod </w:t>
      </w:r>
      <w:r w:rsidR="00C036D9" w:rsidRPr="007A542A">
        <w:t xml:space="preserve">zkratkou </w:t>
      </w:r>
      <w:r w:rsidR="00C7706F" w:rsidRPr="007A542A">
        <w:t xml:space="preserve">PGS. </w:t>
      </w:r>
      <w:r w:rsidRPr="007A542A">
        <w:t>Akcie</w:t>
      </w:r>
      <w:r w:rsidR="00C7706F" w:rsidRPr="007A542A">
        <w:t xml:space="preserve"> PEGAS </w:t>
      </w:r>
      <w:r w:rsidR="004A3055" w:rsidRPr="007A542A">
        <w:t>NONWOVENS SA</w:t>
      </w:r>
      <w:r w:rsidR="00C7706F" w:rsidRPr="007A542A">
        <w:t xml:space="preserve"> </w:t>
      </w:r>
      <w:r w:rsidRPr="007A542A">
        <w:t xml:space="preserve">jsou od 19. března 2007 součástí </w:t>
      </w:r>
      <w:r w:rsidR="00C7706F" w:rsidRPr="007A542A">
        <w:t>PX index</w:t>
      </w:r>
      <w:r w:rsidRPr="007A542A">
        <w:t>u</w:t>
      </w:r>
      <w:r w:rsidR="00C7706F" w:rsidRPr="007A542A">
        <w:t>,</w:t>
      </w:r>
      <w:r w:rsidRPr="007A542A">
        <w:t xml:space="preserve"> jenž se sestává</w:t>
      </w:r>
      <w:r w:rsidR="00EB18EC" w:rsidRPr="007A542A">
        <w:t xml:space="preserve"> ze všech hlavních emisí na B</w:t>
      </w:r>
      <w:r w:rsidRPr="007A542A">
        <w:t>CP</w:t>
      </w:r>
      <w:r w:rsidR="00EB18EC" w:rsidRPr="007A542A">
        <w:t>P</w:t>
      </w:r>
      <w:r w:rsidRPr="007A542A">
        <w:t>.</w:t>
      </w:r>
      <w:r w:rsidR="00C7706F" w:rsidRPr="007A542A">
        <w:t xml:space="preserve"> </w:t>
      </w:r>
    </w:p>
    <w:p w:rsidR="006505EC" w:rsidRPr="007A542A" w:rsidRDefault="00EE3124" w:rsidP="006505EC">
      <w:pPr>
        <w:pStyle w:val="NormalWeb"/>
        <w:jc w:val="both"/>
      </w:pPr>
      <w:r w:rsidRPr="007A542A">
        <w:t xml:space="preserve">V první polovině </w:t>
      </w:r>
      <w:r w:rsidR="00187ADB" w:rsidRPr="007A542A">
        <w:t xml:space="preserve">roku </w:t>
      </w:r>
      <w:r w:rsidRPr="007A542A">
        <w:t>201</w:t>
      </w:r>
      <w:r w:rsidR="00E72C01">
        <w:t>5</w:t>
      </w:r>
      <w:r w:rsidR="006505EC" w:rsidRPr="007A542A">
        <w:t xml:space="preserve"> se akcie PEGASu na BC</w:t>
      </w:r>
      <w:r w:rsidR="00C00806" w:rsidRPr="007A542A">
        <w:t>P</w:t>
      </w:r>
      <w:r w:rsidR="006505EC" w:rsidRPr="007A542A">
        <w:t xml:space="preserve">P zobchodovaly v celkovém objemu </w:t>
      </w:r>
      <w:r w:rsidR="00E72C01">
        <w:t>751</w:t>
      </w:r>
      <w:r w:rsidR="001D4B26" w:rsidRPr="007A542A">
        <w:t xml:space="preserve"> </w:t>
      </w:r>
      <w:r w:rsidR="00B37D73" w:rsidRPr="007A542A">
        <w:t>milionů</w:t>
      </w:r>
      <w:r w:rsidR="006505EC" w:rsidRPr="007A542A">
        <w:t xml:space="preserve"> Kč a na burze ve Varšavě v celkovém objemu </w:t>
      </w:r>
      <w:r w:rsidR="007A5E29">
        <w:t>2,8</w:t>
      </w:r>
      <w:r w:rsidR="00B37D73" w:rsidRPr="007A542A">
        <w:t xml:space="preserve"> </w:t>
      </w:r>
      <w:r w:rsidR="00326B49" w:rsidRPr="007A542A">
        <w:t>milionu</w:t>
      </w:r>
      <w:r w:rsidR="006505EC" w:rsidRPr="007A542A">
        <w:t xml:space="preserve"> PLN. Nejnižší cena byl</w:t>
      </w:r>
      <w:r w:rsidR="00D04D50" w:rsidRPr="007A542A">
        <w:t>a</w:t>
      </w:r>
      <w:r w:rsidR="00C036D9" w:rsidRPr="007A542A">
        <w:t xml:space="preserve"> </w:t>
      </w:r>
      <w:r w:rsidR="005F221E" w:rsidRPr="007A542A">
        <w:t>v průběhu</w:t>
      </w:r>
      <w:r w:rsidR="00C036D9" w:rsidRPr="007A542A">
        <w:t xml:space="preserve"> </w:t>
      </w:r>
      <w:r w:rsidR="0084562B" w:rsidRPr="007A542A">
        <w:t xml:space="preserve">prvních </w:t>
      </w:r>
      <w:r w:rsidR="005F221E" w:rsidRPr="007A542A">
        <w:t>šesti</w:t>
      </w:r>
      <w:r w:rsidR="00C036D9" w:rsidRPr="007A542A">
        <w:t xml:space="preserve"> měsíců</w:t>
      </w:r>
      <w:r w:rsidR="00D04D50" w:rsidRPr="007A542A">
        <w:t xml:space="preserve"> </w:t>
      </w:r>
      <w:r w:rsidR="00801657" w:rsidRPr="007A542A">
        <w:t>roku 201</w:t>
      </w:r>
      <w:r w:rsidR="00E72C01">
        <w:t>5</w:t>
      </w:r>
      <w:r w:rsidR="0084562B" w:rsidRPr="007A542A">
        <w:t xml:space="preserve"> </w:t>
      </w:r>
      <w:r w:rsidR="00E72C01">
        <w:t>641</w:t>
      </w:r>
      <w:r w:rsidR="001D4B26" w:rsidRPr="007A542A">
        <w:t xml:space="preserve"> </w:t>
      </w:r>
      <w:r w:rsidR="00C036D9" w:rsidRPr="007A542A">
        <w:t xml:space="preserve">Kč a </w:t>
      </w:r>
      <w:r w:rsidR="00E72C01">
        <w:t>98,70</w:t>
      </w:r>
      <w:r w:rsidR="003426C4" w:rsidRPr="007A542A">
        <w:t xml:space="preserve"> </w:t>
      </w:r>
      <w:r w:rsidR="00C036D9" w:rsidRPr="007A542A">
        <w:t>PLN a nejvyšší</w:t>
      </w:r>
      <w:r w:rsidR="006505EC" w:rsidRPr="007A542A">
        <w:t xml:space="preserve"> </w:t>
      </w:r>
      <w:r w:rsidR="00E72C01">
        <w:t>836</w:t>
      </w:r>
      <w:r w:rsidR="001D4B26" w:rsidRPr="007A542A">
        <w:t xml:space="preserve"> </w:t>
      </w:r>
      <w:r w:rsidR="00BD78CE" w:rsidRPr="007A542A">
        <w:t xml:space="preserve">Kč </w:t>
      </w:r>
      <w:r w:rsidR="006505EC" w:rsidRPr="007A542A">
        <w:t>a</w:t>
      </w:r>
      <w:r w:rsidR="00E72C01">
        <w:t xml:space="preserve"> 124,05 </w:t>
      </w:r>
      <w:r w:rsidR="006505EC" w:rsidRPr="007A542A">
        <w:t>PLN na</w:t>
      </w:r>
      <w:r w:rsidR="00C00806" w:rsidRPr="007A542A">
        <w:t xml:space="preserve"> BCP</w:t>
      </w:r>
      <w:r w:rsidR="001736F6" w:rsidRPr="007A542A">
        <w:t>P a varšavské burze.</w:t>
      </w:r>
    </w:p>
    <w:p w:rsidR="00C7706F" w:rsidRPr="007A542A" w:rsidRDefault="006505EC" w:rsidP="006505EC">
      <w:pPr>
        <w:pStyle w:val="NormalWeb"/>
        <w:jc w:val="both"/>
      </w:pPr>
      <w:r w:rsidRPr="007A542A">
        <w:t>Z</w:t>
      </w:r>
      <w:r w:rsidR="00C036D9" w:rsidRPr="007A542A">
        <w:t>ávěrečná</w:t>
      </w:r>
      <w:r w:rsidR="0028728A" w:rsidRPr="007A542A">
        <w:t xml:space="preserve"> cena 30. června 201</w:t>
      </w:r>
      <w:r w:rsidR="00E72C01">
        <w:t>5</w:t>
      </w:r>
      <w:r w:rsidRPr="007A542A">
        <w:t xml:space="preserve"> činila </w:t>
      </w:r>
      <w:r w:rsidR="00E72C01">
        <w:t>826</w:t>
      </w:r>
      <w:r w:rsidR="001D4B26" w:rsidRPr="007A542A">
        <w:t xml:space="preserve"> </w:t>
      </w:r>
      <w:r w:rsidRPr="007A542A">
        <w:t xml:space="preserve">Kč </w:t>
      </w:r>
      <w:r w:rsidR="00C00806" w:rsidRPr="007A542A">
        <w:t>na BCP</w:t>
      </w:r>
      <w:r w:rsidRPr="007A542A">
        <w:t xml:space="preserve">P a </w:t>
      </w:r>
      <w:r w:rsidR="00E72C01" w:rsidRPr="00E72C01">
        <w:t>12</w:t>
      </w:r>
      <w:r w:rsidR="007A5E29">
        <w:t>0</w:t>
      </w:r>
      <w:r w:rsidR="003C4710" w:rsidRPr="00E72C01">
        <w:t>,</w:t>
      </w:r>
      <w:r w:rsidR="00E72C01" w:rsidRPr="00E72C01">
        <w:t>30</w:t>
      </w:r>
      <w:r w:rsidR="001346B0" w:rsidRPr="007A542A">
        <w:t xml:space="preserve"> </w:t>
      </w:r>
      <w:r w:rsidR="00C00806" w:rsidRPr="007A542A">
        <w:t xml:space="preserve">PLN na burze ve Varšavě a tržní kapitalizace dosáhla </w:t>
      </w:r>
      <w:r w:rsidR="00E72C01">
        <w:t>7</w:t>
      </w:r>
      <w:r w:rsidR="00326B49" w:rsidRPr="007A542A">
        <w:t>,</w:t>
      </w:r>
      <w:r w:rsidR="00E72C01">
        <w:t>6</w:t>
      </w:r>
      <w:r w:rsidR="00C00806" w:rsidRPr="007A542A">
        <w:t xml:space="preserve"> miliard</w:t>
      </w:r>
      <w:r w:rsidR="006762F4" w:rsidRPr="007A542A">
        <w:t>y</w:t>
      </w:r>
      <w:r w:rsidR="00C00806" w:rsidRPr="007A542A">
        <w:t xml:space="preserve"> Kč (dle ceny na BCPP)</w:t>
      </w:r>
      <w:r w:rsidR="003E2244" w:rsidRPr="007A542A">
        <w:t>.</w:t>
      </w:r>
      <w:r w:rsidR="00C00806" w:rsidRPr="007A542A">
        <w:t xml:space="preserve"> </w:t>
      </w:r>
    </w:p>
    <w:p w:rsidR="00C7706F" w:rsidRPr="007A542A" w:rsidRDefault="00C7706F" w:rsidP="00C7706F">
      <w:pPr>
        <w:rPr>
          <w:u w:val="single"/>
        </w:rPr>
      </w:pPr>
    </w:p>
    <w:p w:rsidR="009C1106" w:rsidRPr="007A542A" w:rsidRDefault="009C1106">
      <w:pPr>
        <w:rPr>
          <w:b/>
        </w:rPr>
      </w:pPr>
      <w:r w:rsidRPr="007A542A">
        <w:rPr>
          <w:b/>
        </w:rPr>
        <w:br w:type="page"/>
      </w:r>
    </w:p>
    <w:p w:rsidR="003C4710" w:rsidRPr="007A542A" w:rsidRDefault="00B07026" w:rsidP="00C7706F">
      <w:pPr>
        <w:rPr>
          <w:b/>
        </w:rPr>
      </w:pPr>
      <w:r w:rsidRPr="00E211EF">
        <w:rPr>
          <w:b/>
        </w:rPr>
        <w:lastRenderedPageBreak/>
        <w:t>Vývoj ceny akcie PEGASu na BCPP</w:t>
      </w:r>
      <w:r w:rsidR="00C7706F" w:rsidRPr="00E211EF">
        <w:rPr>
          <w:b/>
        </w:rPr>
        <w:t xml:space="preserve"> (</w:t>
      </w:r>
      <w:r w:rsidR="00CF2597" w:rsidRPr="00E211EF">
        <w:rPr>
          <w:b/>
        </w:rPr>
        <w:t>od 1. led</w:t>
      </w:r>
      <w:r w:rsidRPr="00E211EF">
        <w:rPr>
          <w:b/>
        </w:rPr>
        <w:t>n</w:t>
      </w:r>
      <w:r w:rsidR="00CF2597" w:rsidRPr="00E211EF">
        <w:rPr>
          <w:b/>
        </w:rPr>
        <w:t>a</w:t>
      </w:r>
      <w:r w:rsidR="00801657" w:rsidRPr="00E211EF">
        <w:rPr>
          <w:b/>
        </w:rPr>
        <w:t xml:space="preserve"> 201</w:t>
      </w:r>
      <w:r w:rsidR="007A5E29" w:rsidRPr="00E211EF">
        <w:rPr>
          <w:b/>
        </w:rPr>
        <w:t>5</w:t>
      </w:r>
      <w:r w:rsidR="00CF2597" w:rsidRPr="00E211EF">
        <w:rPr>
          <w:b/>
        </w:rPr>
        <w:t xml:space="preserve"> do</w:t>
      </w:r>
      <w:r w:rsidR="00C7706F" w:rsidRPr="00E211EF">
        <w:rPr>
          <w:b/>
        </w:rPr>
        <w:t xml:space="preserve"> </w:t>
      </w:r>
      <w:r w:rsidRPr="00E211EF">
        <w:rPr>
          <w:b/>
        </w:rPr>
        <w:t>30. červn</w:t>
      </w:r>
      <w:r w:rsidR="00CF2597" w:rsidRPr="00E211EF">
        <w:rPr>
          <w:b/>
        </w:rPr>
        <w:t>a</w:t>
      </w:r>
      <w:r w:rsidRPr="00E211EF">
        <w:rPr>
          <w:b/>
        </w:rPr>
        <w:t xml:space="preserve"> </w:t>
      </w:r>
      <w:r w:rsidR="00666921" w:rsidRPr="00E211EF">
        <w:rPr>
          <w:b/>
        </w:rPr>
        <w:t>201</w:t>
      </w:r>
      <w:r w:rsidR="007A5E29" w:rsidRPr="00E211EF">
        <w:rPr>
          <w:b/>
        </w:rPr>
        <w:t>5</w:t>
      </w:r>
      <w:r w:rsidR="00C7706F" w:rsidRPr="00E211EF">
        <w:rPr>
          <w:b/>
        </w:rPr>
        <w:t>)</w:t>
      </w:r>
    </w:p>
    <w:p w:rsidR="003C4710" w:rsidRPr="007A542A" w:rsidRDefault="003C4710" w:rsidP="00C7706F">
      <w:pPr>
        <w:rPr>
          <w:b/>
        </w:rPr>
      </w:pPr>
    </w:p>
    <w:p w:rsidR="003C4710" w:rsidRPr="007A542A" w:rsidRDefault="003C4710" w:rsidP="00C7706F">
      <w:pPr>
        <w:rPr>
          <w:b/>
        </w:rPr>
      </w:pPr>
    </w:p>
    <w:p w:rsidR="003C4710" w:rsidRPr="007A542A" w:rsidRDefault="007A5E29" w:rsidP="00C7706F">
      <w:pPr>
        <w:rPr>
          <w:b/>
        </w:rPr>
      </w:pPr>
      <w:r>
        <w:rPr>
          <w:noProof/>
        </w:rPr>
        <w:drawing>
          <wp:inline distT="0" distB="0" distL="0" distR="0" wp14:anchorId="7FCB5528" wp14:editId="368EE308">
            <wp:extent cx="5494020" cy="3337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94020" cy="3337560"/>
                    </a:xfrm>
                    <a:prstGeom prst="rect">
                      <a:avLst/>
                    </a:prstGeom>
                  </pic:spPr>
                </pic:pic>
              </a:graphicData>
            </a:graphic>
          </wp:inline>
        </w:drawing>
      </w:r>
    </w:p>
    <w:p w:rsidR="00CB450F" w:rsidRDefault="00CB450F" w:rsidP="00C7706F">
      <w:pPr>
        <w:rPr>
          <w:b/>
        </w:rPr>
      </w:pPr>
    </w:p>
    <w:p w:rsidR="00CB450F" w:rsidRDefault="00CB450F" w:rsidP="00C7706F">
      <w:pPr>
        <w:rPr>
          <w:b/>
        </w:rPr>
      </w:pPr>
    </w:p>
    <w:p w:rsidR="003C4710" w:rsidRPr="007A542A" w:rsidRDefault="007A5E29" w:rsidP="00C7706F">
      <w:pPr>
        <w:rPr>
          <w:b/>
        </w:rPr>
      </w:pPr>
      <w:r>
        <w:rPr>
          <w:noProof/>
        </w:rPr>
        <w:drawing>
          <wp:inline distT="0" distB="0" distL="0" distR="0" wp14:anchorId="22A87B5B" wp14:editId="3491168B">
            <wp:extent cx="5509260" cy="2049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09260" cy="2049780"/>
                    </a:xfrm>
                    <a:prstGeom prst="rect">
                      <a:avLst/>
                    </a:prstGeom>
                  </pic:spPr>
                </pic:pic>
              </a:graphicData>
            </a:graphic>
          </wp:inline>
        </w:drawing>
      </w:r>
    </w:p>
    <w:p w:rsidR="003C4710" w:rsidRPr="007A542A" w:rsidRDefault="003C4710" w:rsidP="00C7706F">
      <w:pPr>
        <w:rPr>
          <w:b/>
        </w:rPr>
      </w:pPr>
    </w:p>
    <w:p w:rsidR="00C7706F" w:rsidRPr="007A542A" w:rsidRDefault="003C4710" w:rsidP="00C7706F">
      <w:r w:rsidRPr="007A542A">
        <w:t xml:space="preserve"> </w:t>
      </w:r>
      <w:r w:rsidR="00B07026" w:rsidRPr="007A542A">
        <w:t>Zdroj</w:t>
      </w:r>
      <w:r w:rsidR="006D11CC" w:rsidRPr="007A542A">
        <w:t>: BCPP</w:t>
      </w:r>
    </w:p>
    <w:p w:rsidR="00F85AB0" w:rsidRPr="007A542A" w:rsidRDefault="00F85AB0" w:rsidP="00C7706F">
      <w:pPr>
        <w:sectPr w:rsidR="00F85AB0" w:rsidRPr="007A542A" w:rsidSect="00B520ED">
          <w:pgSz w:w="11906" w:h="16838"/>
          <w:pgMar w:top="1417" w:right="1417" w:bottom="1417" w:left="1417" w:header="708" w:footer="708" w:gutter="0"/>
          <w:cols w:space="708"/>
          <w:docGrid w:linePitch="360"/>
        </w:sectPr>
      </w:pPr>
    </w:p>
    <w:p w:rsidR="00943A77" w:rsidRPr="00E211EF" w:rsidRDefault="00943A77" w:rsidP="006762F4">
      <w:pPr>
        <w:pStyle w:val="Heading1"/>
        <w:tabs>
          <w:tab w:val="num" w:pos="0"/>
        </w:tabs>
        <w:ind w:left="1418" w:hanging="1418"/>
        <w:rPr>
          <w:rFonts w:ascii="Times New Roman" w:hAnsi="Times New Roman" w:cs="Times New Roman"/>
        </w:rPr>
      </w:pPr>
      <w:bookmarkStart w:id="39" w:name="_Toc269907494"/>
      <w:bookmarkStart w:id="40" w:name="_Toc427918116"/>
      <w:r w:rsidRPr="00E211EF">
        <w:rPr>
          <w:rFonts w:ascii="Times New Roman" w:hAnsi="Times New Roman" w:cs="Times New Roman"/>
        </w:rPr>
        <w:lastRenderedPageBreak/>
        <w:t>Dividend</w:t>
      </w:r>
      <w:r w:rsidR="00E96538" w:rsidRPr="00E211EF">
        <w:rPr>
          <w:rFonts w:ascii="Times New Roman" w:hAnsi="Times New Roman" w:cs="Times New Roman"/>
        </w:rPr>
        <w:t>ová politika a vyhlášení dividendy</w:t>
      </w:r>
      <w:bookmarkEnd w:id="39"/>
      <w:bookmarkEnd w:id="40"/>
    </w:p>
    <w:p w:rsidR="00C52BAC" w:rsidRPr="007A542A" w:rsidRDefault="00C52BAC" w:rsidP="00C52BAC">
      <w:pPr>
        <w:pStyle w:val="NormalWeb"/>
        <w:spacing w:before="0" w:beforeAutospacing="0" w:after="0" w:afterAutospacing="0"/>
        <w:jc w:val="both"/>
      </w:pPr>
    </w:p>
    <w:p w:rsidR="00C52BAC" w:rsidRPr="007A542A" w:rsidRDefault="00C52BAC" w:rsidP="00C52BAC">
      <w:pPr>
        <w:pStyle w:val="NormalWeb"/>
        <w:spacing w:before="0" w:beforeAutospacing="0" w:after="0" w:afterAutospacing="0"/>
        <w:jc w:val="both"/>
      </w:pPr>
      <w:r w:rsidRPr="007A542A">
        <w:t>Řádná valná hromada společnosti PEGAS NONWOVENS SA, jež se konala dne 1</w:t>
      </w:r>
      <w:r w:rsidR="00CB450F">
        <w:t>5</w:t>
      </w:r>
      <w:r w:rsidRPr="007A542A">
        <w:t>. června 201</w:t>
      </w:r>
      <w:r w:rsidR="00CB450F">
        <w:t>5</w:t>
      </w:r>
      <w:r w:rsidRPr="007A542A">
        <w:t xml:space="preserve"> v Lucemburku, rozhodla o schválení navržené výplaty dividendy ve výši </w:t>
      </w:r>
      <w:r w:rsidR="003C4710" w:rsidRPr="007A542A">
        <w:t xml:space="preserve">10 </w:t>
      </w:r>
      <w:r w:rsidR="00CB450F">
        <w:t>613</w:t>
      </w:r>
      <w:r w:rsidR="003C4710" w:rsidRPr="007A542A">
        <w:t xml:space="preserve"> </w:t>
      </w:r>
      <w:r w:rsidR="00CB450F">
        <w:t>81</w:t>
      </w:r>
      <w:r w:rsidR="003C4710" w:rsidRPr="007A542A">
        <w:t xml:space="preserve">0 </w:t>
      </w:r>
      <w:r w:rsidRPr="007A542A">
        <w:t>EUR, tj. 1,</w:t>
      </w:r>
      <w:r w:rsidR="003C4710" w:rsidRPr="007A542A">
        <w:t>1</w:t>
      </w:r>
      <w:r w:rsidR="00CB450F">
        <w:t>5</w:t>
      </w:r>
      <w:r w:rsidRPr="007A542A">
        <w:t xml:space="preserve"> EUR na akcii. Zdrojem výplaty dividendy bude zisk roku 201</w:t>
      </w:r>
      <w:r w:rsidR="00CB450F">
        <w:t>4</w:t>
      </w:r>
      <w:r w:rsidRPr="007A542A">
        <w:t xml:space="preserve"> a nerozdělený zisk minulých let. Rozhodný den pro vznik nároku na dividendu (tj. den, na jehož konci jsou akcie s nárokem na dividendu registrovány na účtech oprávněných osob ve vypořádacích systémech Centrálního depozitáře cenných papírů, a.s., Krajowy Depozyt Papierów Wartościowych Spółka Akcyjna či jiných příslušných vypořádacích systémů) byl stanoven na 1</w:t>
      </w:r>
      <w:r w:rsidR="00CB450F">
        <w:t>6</w:t>
      </w:r>
      <w:r w:rsidRPr="007A542A">
        <w:t>. října 201</w:t>
      </w:r>
      <w:r w:rsidR="00CB450F">
        <w:t>5</w:t>
      </w:r>
      <w:r w:rsidRPr="007A542A">
        <w:t xml:space="preserve"> a den výplaty dividendy na </w:t>
      </w:r>
      <w:r w:rsidR="00871F2A" w:rsidRPr="007A542A">
        <w:t>2</w:t>
      </w:r>
      <w:r w:rsidR="00CB450F">
        <w:t>8</w:t>
      </w:r>
      <w:r w:rsidRPr="007A542A">
        <w:t>. října 201</w:t>
      </w:r>
      <w:r w:rsidR="00CB450F">
        <w:t>5</w:t>
      </w:r>
      <w:r w:rsidRPr="007A542A">
        <w:t>.</w:t>
      </w:r>
    </w:p>
    <w:p w:rsidR="00C52BAC" w:rsidRPr="007A542A" w:rsidRDefault="00C52BAC" w:rsidP="00C52BAC">
      <w:pPr>
        <w:pStyle w:val="NormalWeb"/>
        <w:spacing w:before="0" w:beforeAutospacing="0" w:after="0" w:afterAutospacing="0"/>
        <w:jc w:val="both"/>
      </w:pPr>
    </w:p>
    <w:p w:rsidR="00111C15" w:rsidRPr="007A542A" w:rsidRDefault="0028728A" w:rsidP="00C52BAC">
      <w:pPr>
        <w:pStyle w:val="NormalWeb"/>
        <w:spacing w:before="0" w:beforeAutospacing="0" w:after="0" w:afterAutospacing="0"/>
        <w:jc w:val="both"/>
      </w:pPr>
      <w:r w:rsidRPr="007A542A">
        <w:t xml:space="preserve">Podaří-li se udržet uspokojivé finanční výsledky a nevyskytnou-li se jiné atraktivní </w:t>
      </w:r>
      <w:r w:rsidR="003C4710" w:rsidRPr="007A542A">
        <w:t xml:space="preserve">investiční </w:t>
      </w:r>
      <w:r w:rsidRPr="007A542A">
        <w:t>příležitosti, bude se PEGAS snažit pokračovat ve své progresivní dividendové politice. Konkrétní cíle jako poměr výplaty dividendy na čistém zisku nebo předpokládaný dividendový výnos nebyly Společností stanoveny.</w:t>
      </w:r>
    </w:p>
    <w:p w:rsidR="00C7706F" w:rsidRPr="007A542A" w:rsidRDefault="00C7706F" w:rsidP="00C7706F"/>
    <w:p w:rsidR="00F85AB0" w:rsidRPr="007A542A" w:rsidRDefault="00F85AB0" w:rsidP="00943A77">
      <w:pPr>
        <w:sectPr w:rsidR="00F85AB0" w:rsidRPr="007A542A" w:rsidSect="00B520ED">
          <w:pgSz w:w="11906" w:h="16838"/>
          <w:pgMar w:top="1417" w:right="1417" w:bottom="1417" w:left="1417" w:header="708" w:footer="708" w:gutter="0"/>
          <w:cols w:space="708"/>
          <w:docGrid w:linePitch="360"/>
        </w:sectPr>
      </w:pPr>
    </w:p>
    <w:p w:rsidR="00943A77" w:rsidRPr="000C1C57" w:rsidRDefault="00136A1A" w:rsidP="0070412E">
      <w:pPr>
        <w:pStyle w:val="Heading1"/>
        <w:tabs>
          <w:tab w:val="num" w:pos="0"/>
        </w:tabs>
        <w:ind w:left="1418" w:hanging="1418"/>
        <w:rPr>
          <w:rFonts w:ascii="Times New Roman" w:hAnsi="Times New Roman" w:cs="Times New Roman"/>
        </w:rPr>
      </w:pPr>
      <w:bookmarkStart w:id="41" w:name="_Toc269907495"/>
      <w:bookmarkStart w:id="42" w:name="_Toc427918117"/>
      <w:r w:rsidRPr="000C1C57">
        <w:rPr>
          <w:rFonts w:ascii="Times New Roman" w:hAnsi="Times New Roman" w:cs="Times New Roman"/>
        </w:rPr>
        <w:lastRenderedPageBreak/>
        <w:t>Zpráva o vztazích</w:t>
      </w:r>
      <w:bookmarkEnd w:id="41"/>
      <w:bookmarkEnd w:id="42"/>
    </w:p>
    <w:p w:rsidR="00943A77" w:rsidRPr="000C1C57" w:rsidRDefault="00943A77" w:rsidP="00943A77"/>
    <w:p w:rsidR="00BD2B0F" w:rsidRPr="000C1C57" w:rsidRDefault="00BD2B0F" w:rsidP="005D115D">
      <w:r w:rsidRPr="000C1C57">
        <w:rPr>
          <w:b/>
        </w:rPr>
        <w:t>Odměňování exekutivní</w:t>
      </w:r>
      <w:r w:rsidR="00851A96" w:rsidRPr="000C1C57">
        <w:rPr>
          <w:b/>
        </w:rPr>
        <w:t>ch</w:t>
      </w:r>
      <w:r w:rsidRPr="000C1C57">
        <w:rPr>
          <w:b/>
        </w:rPr>
        <w:t xml:space="preserve"> a neexekutivních ředitelů</w:t>
      </w:r>
    </w:p>
    <w:p w:rsidR="008E60DA" w:rsidRPr="000C1C57" w:rsidRDefault="008E60DA" w:rsidP="008E60DA"/>
    <w:p w:rsidR="008E60DA" w:rsidRPr="000C1C57" w:rsidRDefault="008E60DA" w:rsidP="008E60DA">
      <w:pPr>
        <w:jc w:val="both"/>
      </w:pPr>
      <w:r w:rsidRPr="000C1C57">
        <w:t xml:space="preserve">Společnost </w:t>
      </w:r>
      <w:r w:rsidR="000A3491" w:rsidRPr="000C1C57">
        <w:t xml:space="preserve">PEGAS NONWOVENS SA </w:t>
      </w:r>
      <w:r w:rsidRPr="000C1C57">
        <w:t>uzavřela se svými exekutivními a neexekutivními řediteli smlouv</w:t>
      </w:r>
      <w:r w:rsidR="002673F3" w:rsidRPr="000C1C57">
        <w:t>y</w:t>
      </w:r>
      <w:r w:rsidRPr="000C1C57">
        <w:t xml:space="preserve"> o poskytování služeb. </w:t>
      </w:r>
      <w:r w:rsidR="000A3491" w:rsidRPr="000C1C57">
        <w:t>Exekutivní ředitelé získávají od dceřiných společností Společnosti odměny za své služby.</w:t>
      </w:r>
      <w:r w:rsidRPr="000C1C57">
        <w:t xml:space="preserve"> </w:t>
      </w:r>
    </w:p>
    <w:p w:rsidR="008E60DA" w:rsidRPr="000C1C57" w:rsidRDefault="008E60DA" w:rsidP="008E60DA"/>
    <w:p w:rsidR="00BD2B0F" w:rsidRPr="007A542A" w:rsidRDefault="008E60DA" w:rsidP="008E60DA">
      <w:pPr>
        <w:jc w:val="both"/>
      </w:pPr>
      <w:r w:rsidRPr="000C1C57">
        <w:t xml:space="preserve">Exekutivní </w:t>
      </w:r>
      <w:r w:rsidR="002673F3" w:rsidRPr="000C1C57">
        <w:t xml:space="preserve">ředitelé, resp. </w:t>
      </w:r>
      <w:r w:rsidRPr="000C1C57">
        <w:t>člen</w:t>
      </w:r>
      <w:r w:rsidR="002673F3" w:rsidRPr="000C1C57">
        <w:t>ové</w:t>
      </w:r>
      <w:r w:rsidRPr="000C1C57">
        <w:t xml:space="preserve"> představenst</w:t>
      </w:r>
      <w:r w:rsidR="002673F3" w:rsidRPr="000C1C57">
        <w:t>e</w:t>
      </w:r>
      <w:r w:rsidRPr="000C1C57">
        <w:t>v</w:t>
      </w:r>
      <w:r w:rsidR="002673F3" w:rsidRPr="000C1C57">
        <w:t xml:space="preserve"> a jednatelé v České republice</w:t>
      </w:r>
      <w:r w:rsidRPr="000C1C57">
        <w:t xml:space="preserve"> smí používat služební automobily i pro soukromé účely. Kromě výše zmíněného</w:t>
      </w:r>
      <w:r w:rsidR="00BC115C" w:rsidRPr="000C1C57">
        <w:t xml:space="preserve"> nevyužívají exekutivní ředitelé</w:t>
      </w:r>
      <w:r w:rsidRPr="000C1C57">
        <w:t xml:space="preserve"> žádných dalších výhod.</w:t>
      </w:r>
    </w:p>
    <w:p w:rsidR="008E60DA" w:rsidRPr="007A542A" w:rsidRDefault="008E60DA" w:rsidP="00BD2B0F">
      <w:pPr>
        <w:rPr>
          <w:b/>
        </w:rPr>
      </w:pPr>
    </w:p>
    <w:p w:rsidR="00BD2B0F" w:rsidRPr="007A542A" w:rsidRDefault="008254AA" w:rsidP="00BD2B0F">
      <w:pPr>
        <w:rPr>
          <w:b/>
        </w:rPr>
      </w:pPr>
      <w:r w:rsidRPr="00E211EF">
        <w:rPr>
          <w:b/>
        </w:rPr>
        <w:t>Peněžní platby závislé na ceně akcií</w:t>
      </w:r>
    </w:p>
    <w:p w:rsidR="00BD2B0F" w:rsidRPr="007A542A" w:rsidRDefault="00BD2B0F" w:rsidP="00BD2B0F">
      <w:pPr>
        <w:jc w:val="both"/>
      </w:pPr>
    </w:p>
    <w:p w:rsidR="00921AF0" w:rsidRPr="007A542A" w:rsidRDefault="00BD2B0F" w:rsidP="00BD2B0F">
      <w:pPr>
        <w:autoSpaceDE w:val="0"/>
        <w:autoSpaceDN w:val="0"/>
        <w:adjustRightInd w:val="0"/>
        <w:jc w:val="both"/>
      </w:pPr>
      <w:r w:rsidRPr="007A542A">
        <w:t xml:space="preserve">V roce 2007 Společnost vytvořila pro </w:t>
      </w:r>
      <w:r w:rsidR="00610A66" w:rsidRPr="007A542A">
        <w:t xml:space="preserve">pro členy vrcholového vedení </w:t>
      </w:r>
      <w:r w:rsidRPr="007A542A">
        <w:t xml:space="preserve">a členy představenstva </w:t>
      </w:r>
      <w:r w:rsidR="00851A96" w:rsidRPr="007A542A">
        <w:t>schéma</w:t>
      </w:r>
      <w:r w:rsidRPr="007A542A">
        <w:t xml:space="preserve"> bonusů závislých na ceně akcií. </w:t>
      </w:r>
      <w:r w:rsidR="00921AF0" w:rsidRPr="007A542A">
        <w:t xml:space="preserve">Toto </w:t>
      </w:r>
      <w:r w:rsidR="00851A96" w:rsidRPr="007A542A">
        <w:t>schéma</w:t>
      </w:r>
      <w:r w:rsidR="00921AF0" w:rsidRPr="007A542A">
        <w:t xml:space="preserve"> je realizováno prostřednictvím stínových opcí. </w:t>
      </w:r>
    </w:p>
    <w:p w:rsidR="00BD2B0F" w:rsidRPr="007A542A" w:rsidRDefault="00BD2B0F" w:rsidP="00BD2B0F"/>
    <w:p w:rsidR="00652AB4" w:rsidRPr="007A542A" w:rsidRDefault="00652AB4" w:rsidP="00BD2B0F">
      <w:pPr>
        <w:autoSpaceDE w:val="0"/>
        <w:autoSpaceDN w:val="0"/>
        <w:adjustRightInd w:val="0"/>
        <w:jc w:val="both"/>
      </w:pPr>
      <w:r w:rsidRPr="007A542A">
        <w:t>Valná hromada dne 15. června 2007 schválila udělení celkového počtu 230 735 stínových akcií šesti exekutivním manažerům a dvěma neexekutivním ředitelům, a to bez náhrady. Dnem udělení stínových opcí byl 24. květen 2007. Každá stínová op</w:t>
      </w:r>
      <w:r w:rsidR="00610A66" w:rsidRPr="007A542A">
        <w:t>ce, v případě uplatnění, udělovala</w:t>
      </w:r>
      <w:r w:rsidRPr="007A542A">
        <w:t xml:space="preserve"> manažerovi právo získat hotovostní plnění vypočtené jako závěrečná cena jedné akcie Společnosti na </w:t>
      </w:r>
      <w:r w:rsidR="005F221E" w:rsidRPr="007A542A">
        <w:t>Burze cenných papírů Praha</w:t>
      </w:r>
      <w:r w:rsidRPr="007A542A">
        <w:t xml:space="preserve"> (nebo na jiném trhu v případě přerušení obchodování na BCPP) v den předcházející uplatnění stínové opce snížené o 749,20 Kč, tedy částku představující cenu, která byla nabídnuta při </w:t>
      </w:r>
      <w:r w:rsidR="00851A96" w:rsidRPr="007A542A">
        <w:t>primární emisi akcií společnosti</w:t>
      </w:r>
      <w:r w:rsidRPr="007A542A">
        <w:t xml:space="preserve"> PEGAS NONWOVENS SA (</w:t>
      </w:r>
      <w:r w:rsidR="00610A66" w:rsidRPr="007A542A">
        <w:t>cena IPO). Každý rok bylo</w:t>
      </w:r>
      <w:r w:rsidRPr="007A542A">
        <w:t xml:space="preserve"> </w:t>
      </w:r>
      <w:r w:rsidR="00610A66" w:rsidRPr="007A542A">
        <w:t>možné uplatnit</w:t>
      </w:r>
      <w:r w:rsidRPr="007A542A">
        <w:t xml:space="preserve"> 25 % stínových opcí, první opce </w:t>
      </w:r>
      <w:r w:rsidR="00610A66" w:rsidRPr="007A542A">
        <w:t>mohly</w:t>
      </w:r>
      <w:r w:rsidR="00C23A63" w:rsidRPr="007A542A">
        <w:t xml:space="preserve"> být uplatněny od 18. prosince</w:t>
      </w:r>
      <w:r w:rsidRPr="007A542A">
        <w:t xml:space="preserve"> </w:t>
      </w:r>
      <w:smartTag w:uri="urn:schemas-microsoft-com:office:smarttags" w:element="metricconverter">
        <w:smartTagPr>
          <w:attr w:name="ProductID" w:val="2007 a"/>
        </w:smartTagPr>
        <w:r w:rsidRPr="007A542A">
          <w:t>2007</w:t>
        </w:r>
        <w:r w:rsidR="008254AA" w:rsidRPr="007A542A">
          <w:t xml:space="preserve"> a</w:t>
        </w:r>
      </w:smartTag>
      <w:r w:rsidR="008254AA" w:rsidRPr="007A542A">
        <w:t xml:space="preserve"> poslední </w:t>
      </w:r>
      <w:r w:rsidR="00610A66" w:rsidRPr="007A542A">
        <w:t>mohly</w:t>
      </w:r>
      <w:r w:rsidR="008254AA" w:rsidRPr="007A542A">
        <w:t xml:space="preserve"> být uplatněny </w:t>
      </w:r>
      <w:r w:rsidR="00C23A63" w:rsidRPr="007A542A">
        <w:t>od</w:t>
      </w:r>
      <w:r w:rsidR="00610A66" w:rsidRPr="007A542A">
        <w:t> 18. prosinc</w:t>
      </w:r>
      <w:r w:rsidR="00C23A63" w:rsidRPr="007A542A">
        <w:t>e</w:t>
      </w:r>
      <w:r w:rsidR="00610A66" w:rsidRPr="007A542A">
        <w:t xml:space="preserve"> 2010</w:t>
      </w:r>
      <w:r w:rsidR="008254AA" w:rsidRPr="007A542A">
        <w:t>.</w:t>
      </w:r>
    </w:p>
    <w:p w:rsidR="008E60DA" w:rsidRPr="007A542A" w:rsidRDefault="008E60DA" w:rsidP="00BD2B0F">
      <w:pPr>
        <w:autoSpaceDE w:val="0"/>
        <w:autoSpaceDN w:val="0"/>
        <w:adjustRightInd w:val="0"/>
        <w:jc w:val="both"/>
      </w:pPr>
    </w:p>
    <w:p w:rsidR="00610A66" w:rsidRPr="007A542A" w:rsidRDefault="00E54803" w:rsidP="008E60DA">
      <w:pPr>
        <w:autoSpaceDE w:val="0"/>
        <w:autoSpaceDN w:val="0"/>
        <w:adjustRightInd w:val="0"/>
        <w:jc w:val="both"/>
      </w:pPr>
      <w:r w:rsidRPr="007A542A">
        <w:t xml:space="preserve">Valná hromada konaná dne 15. června 2010 rozhodla o schválení úhrnného počtu 230 735 virtuálních opcí (které představují 2,5 % základního kapitálu společnosti PEGAS) pro členy </w:t>
      </w:r>
      <w:r w:rsidRPr="007A542A">
        <w:lastRenderedPageBreak/>
        <w:t xml:space="preserve">představenstva a vrcholové vedení společnosti PEGAS a/nebo jejich propojené osoby, a to bezúplatně. Každá virtuální opce dává členu představenstva v případě realizace právo na virtuální akcii, tj. právo na částku v hotovosti rovnající se rozdílu mezi částkou 473,00 Kč představující kurz akcií společnosti PEGAS na Burze cenných papírů Praha („BCP“) ke dni 15. prosince 2009, zvýšený o 10 %, a závěrečnou cenou akcií na BCP v den předcházející dni realizace virtuální opce (nebo na jiném trhu, pokud bude obchodování na BCP přerušeno). 25 % virtuálních opcí (tj. 57 684 kusů opcí) na ně přechází každým rokem, tj. první opce mohly být uplatněny </w:t>
      </w:r>
      <w:r w:rsidR="00C23A63" w:rsidRPr="007A542A">
        <w:t xml:space="preserve">od </w:t>
      </w:r>
      <w:r w:rsidRPr="007A542A">
        <w:t xml:space="preserve">18. prosince 2010 a poslední </w:t>
      </w:r>
      <w:r w:rsidR="00C23A63" w:rsidRPr="007A542A">
        <w:t xml:space="preserve">od </w:t>
      </w:r>
      <w:r w:rsidRPr="007A542A">
        <w:t xml:space="preserve">18. prosince 2013. První opce tohoto akciového programu (s možným datem uplatnění </w:t>
      </w:r>
      <w:r w:rsidR="00C23A63" w:rsidRPr="007A542A">
        <w:t xml:space="preserve">od </w:t>
      </w:r>
      <w:r w:rsidRPr="007A542A">
        <w:t xml:space="preserve">18. prosince 2010) plně nahradily poslední opce v rámci akciového bonusového programu, který ŘVH schválila v roce 2007 (se stejným datem možného uplatnění). Právo na 34 008 kusů opcí </w:t>
      </w:r>
      <w:r w:rsidR="00C23A63" w:rsidRPr="007A542A">
        <w:t xml:space="preserve">se </w:t>
      </w:r>
      <w:r w:rsidRPr="007A542A">
        <w:t>dnem možného uplatnění 18. prosince 2010, jež byly uděleny v roce 2007 a schváleny valnou hromadou dne 15. června 2007, tedy zaniklo. Práva na část stínových opcí udělených v roce 2007 zanikla z důvodu odchodu bývalých ředitelů Společnosti.</w:t>
      </w:r>
    </w:p>
    <w:p w:rsidR="00E54803" w:rsidRPr="007A542A" w:rsidRDefault="00E54803" w:rsidP="008E60DA">
      <w:pPr>
        <w:autoSpaceDE w:val="0"/>
        <w:autoSpaceDN w:val="0"/>
        <w:adjustRightInd w:val="0"/>
        <w:jc w:val="both"/>
      </w:pPr>
    </w:p>
    <w:p w:rsidR="008E60DA" w:rsidRPr="007A542A" w:rsidRDefault="008E60DA" w:rsidP="008E60DA">
      <w:pPr>
        <w:autoSpaceDE w:val="0"/>
        <w:autoSpaceDN w:val="0"/>
        <w:adjustRightInd w:val="0"/>
        <w:jc w:val="both"/>
      </w:pPr>
      <w:r w:rsidRPr="007A542A">
        <w:t xml:space="preserve">Valná hromada </w:t>
      </w:r>
      <w:r w:rsidR="00610A66" w:rsidRPr="007A542A">
        <w:t>udělila</w:t>
      </w:r>
      <w:r w:rsidRPr="007A542A">
        <w:t xml:space="preserve"> představenstvu pokyn a oprávnění k alokaci uvedených </w:t>
      </w:r>
      <w:r w:rsidR="00610A66" w:rsidRPr="007A542A">
        <w:t>stínových</w:t>
      </w:r>
      <w:r w:rsidRPr="007A542A">
        <w:t xml:space="preserve"> opcí mezi členy pře</w:t>
      </w:r>
      <w:r w:rsidR="00610A66" w:rsidRPr="007A542A">
        <w:t>dstavenstva a vrcholové vedení S</w:t>
      </w:r>
      <w:r w:rsidRPr="007A542A">
        <w:t>polečnosti v souladu s kritérii, které představenstvo stanoví na základě svého posouzení.</w:t>
      </w:r>
    </w:p>
    <w:p w:rsidR="00BD2B0F" w:rsidRDefault="00BD2B0F" w:rsidP="00BD2B0F">
      <w:pPr>
        <w:autoSpaceDE w:val="0"/>
        <w:autoSpaceDN w:val="0"/>
        <w:adjustRightInd w:val="0"/>
        <w:jc w:val="both"/>
      </w:pPr>
    </w:p>
    <w:p w:rsidR="001E6F47" w:rsidRDefault="001E6F47" w:rsidP="001E6F47">
      <w:pPr>
        <w:autoSpaceDE w:val="0"/>
        <w:autoSpaceDN w:val="0"/>
        <w:adjustRightInd w:val="0"/>
        <w:jc w:val="both"/>
      </w:pPr>
      <w:r>
        <w:t xml:space="preserve">Mimořádná valná hromada konaná dne 21. července 2014 rozhodla o konverzi 230 735 virtuálních opcí (phantom options) udělených v letech 2010-2013 společností PEGAS na 230 735 warrantů. Každý warrant při uplatnění zakládá právo majitele na (i) jednu akcii společnosti PEGAS za realizační cenu ve výši 473 Kč, která představuje cenu akcií společnosti PEGAS na Burze cenných papírů Praha (“BCPP”) ke dni 15. prosince 2009 zvýšenou o 10%, nebo (ii) výplatu v hotovosti ve výši odpovídající konečné ceně jedné akcie společnosti PEGAS na BCPP v pracovní den předcházející dni uplatnění, sníženou o 473 Kč, což představuje cenu akcie společnosti PEGAS na BCPP ke dni 15. prosince 2009 zvýšenou o 10%. Rozhodný den pro uplatnění (vesting) warrantů nastane dnem udělení a na warranty se bude vztahovat stejné období pro uplatnění, jaké bylo původně plánováno ve vztahu k virtuálním opcím (phantom options). </w:t>
      </w:r>
    </w:p>
    <w:p w:rsidR="001E6F47" w:rsidRDefault="001E6F47" w:rsidP="001E6F47">
      <w:pPr>
        <w:autoSpaceDE w:val="0"/>
        <w:autoSpaceDN w:val="0"/>
        <w:adjustRightInd w:val="0"/>
        <w:jc w:val="both"/>
      </w:pPr>
    </w:p>
    <w:p w:rsidR="001E6F47" w:rsidRDefault="001E6F47" w:rsidP="001E6F47">
      <w:pPr>
        <w:autoSpaceDE w:val="0"/>
        <w:autoSpaceDN w:val="0"/>
        <w:adjustRightInd w:val="0"/>
        <w:jc w:val="both"/>
      </w:pPr>
      <w:r>
        <w:t>Mimořádná valná hromada konaná dne 21. července 2014 zmocňuje a pověřuje představenstvo ke zdokumentování a realizaci konverze 230 735 virtuálních opcí (phantom options) na 230 735 warrantů formou podpisu smluv a jiných dokumentů k tomu potřebných nebo nezbytných.</w:t>
      </w:r>
    </w:p>
    <w:p w:rsidR="001E6F47" w:rsidRDefault="001E6F47" w:rsidP="001E6F47">
      <w:pPr>
        <w:autoSpaceDE w:val="0"/>
        <w:autoSpaceDN w:val="0"/>
        <w:adjustRightInd w:val="0"/>
        <w:jc w:val="both"/>
      </w:pPr>
    </w:p>
    <w:p w:rsidR="001E6F47" w:rsidRDefault="001E6F47" w:rsidP="001E6F47">
      <w:pPr>
        <w:autoSpaceDE w:val="0"/>
        <w:autoSpaceDN w:val="0"/>
        <w:adjustRightInd w:val="0"/>
        <w:jc w:val="both"/>
      </w:pPr>
      <w:r>
        <w:t xml:space="preserve">Mimořádná valná hromada konaná dne 21. července 2014 rozhodla o vydání celkem 230 735 nových warrantů (které představují 2,5 % základního kapitálu společnosti PEGAS) členům představenstva a členům senior managementu společnosti PEGAS a/nebo jejích propojených společností, a to za upisovací kurz 5,89 Kč za nový warrant, který členové představenstva uhradí v hotovosti, s tím, že představenstvo společnosti PEGAS rozhodne, jak budou nové warranty rozděleny mezi členy představenstva a členy senior managementu společnosti PEGAS a/nebo jejích propojených společností. Každý nový warrant dává majiteli při uplatnění právo na (i) jednu akcii společnosti PEGAS za realizační cenu (strike price) ve výši 588,16 Kč (která představuje průměrnou cenu akcie společnosti PEGAS na Burze cenných papírů Praha v období od 1. října 2013 do 31. prosince 2013) sníženou o všechny dividendy na akcii společnosti PEGAS, které společnost PEGAS platně vyhlásila v daném finančním roce (finančních letech) (tj. ve finančním roce 2014 v případě nových warrantů s rozhodným dnem pro uplatnění (vesting) v roce 2014, ve finančních letech 2014 a 2015 v případě nových warrantů s rozhodným dnem pro uplatnění (vesting) v roce 2015 a ve finančních letech 2014, </w:t>
      </w:r>
      <w:r>
        <w:lastRenderedPageBreak/>
        <w:t xml:space="preserve">2015 a 2016 v případě nových warrantů s rozhodným dnem pro uplatnění (vesting) v roce 2016), nebo (ii) výplatu v hotovosti ve výši odpovídající konečné ceně akcie společnosti PEGAS na Burze cenných papírů Praha v pracovní den předcházející dni uplatnění, plus všechny dividendy na akcii společnosti PEGAS, které společnost PEGAS platně vyhlásila v daném finančním roce (finančních letech) (tj. ve finančním roce 2014 v případě nových warrantů s rozhodným dnem pro uplatnění (vesting) v roce 2014, ve finančních letech 2014 a 2015 v případě nových warrantů s rozhodným dnem pro uplatnění (vesting) v roce 2015 a ve finančních letech 2014, 2015 a 2016 v případě nových warrantů s rozhodným dnem pro uplatnění (vesting) v roce 2016), sníženou realizační cenu (strike price) ve výši 588,16 Kč (která představuje průměrnou cenu akcie společnosti PEGAS na Burze cenných papírů Praha v období od 1. října 2013 do 31. prosince 2013). </w:t>
      </w:r>
    </w:p>
    <w:p w:rsidR="001E6F47" w:rsidRDefault="001E6F47" w:rsidP="001E6F47">
      <w:pPr>
        <w:autoSpaceDE w:val="0"/>
        <w:autoSpaceDN w:val="0"/>
        <w:adjustRightInd w:val="0"/>
        <w:jc w:val="both"/>
      </w:pPr>
    </w:p>
    <w:p w:rsidR="001E6F47" w:rsidRDefault="001E6F47" w:rsidP="001E6F47">
      <w:pPr>
        <w:autoSpaceDE w:val="0"/>
        <w:autoSpaceDN w:val="0"/>
        <w:adjustRightInd w:val="0"/>
        <w:jc w:val="both"/>
      </w:pPr>
      <w:r>
        <w:t>Mimořádná valná hromada konaná dne 21. července 2014 zmocňuje a pověřuje představenstvo ke zdokumentování a realizaci vydání nových warrantů formou podpisu smluv a jiných dokumentů k tomu nezbytných nebo potřebných, a k alokaci 230 735 nových warrantů mezi členy představenstva a členy senior managementu společnosti PEGAS a/nebo jejích propojených společností v souladu s kritérii stanovenými představenstvem a na základě uvážení představenstva.</w:t>
      </w:r>
    </w:p>
    <w:p w:rsidR="001E6F47" w:rsidRDefault="001E6F47" w:rsidP="001E6F47">
      <w:pPr>
        <w:autoSpaceDE w:val="0"/>
        <w:autoSpaceDN w:val="0"/>
        <w:adjustRightInd w:val="0"/>
        <w:jc w:val="both"/>
      </w:pPr>
    </w:p>
    <w:p w:rsidR="001E6F47" w:rsidRPr="007A542A" w:rsidRDefault="001E6F47" w:rsidP="001E6F47">
      <w:pPr>
        <w:autoSpaceDE w:val="0"/>
        <w:autoSpaceDN w:val="0"/>
        <w:adjustRightInd w:val="0"/>
        <w:jc w:val="both"/>
      </w:pPr>
      <w:r>
        <w:t>Celkový počet vydaných virtuálních opcí a warrantů k 30. červnu 2015 byl 587 574.</w:t>
      </w:r>
    </w:p>
    <w:p w:rsidR="001E6F47" w:rsidRDefault="001E6F47" w:rsidP="008E60DA">
      <w:pPr>
        <w:autoSpaceDE w:val="0"/>
        <w:autoSpaceDN w:val="0"/>
        <w:adjustRightInd w:val="0"/>
        <w:jc w:val="both"/>
      </w:pPr>
    </w:p>
    <w:p w:rsidR="00BD2B0F" w:rsidRPr="007A542A" w:rsidRDefault="008E60DA" w:rsidP="008E60DA">
      <w:pPr>
        <w:autoSpaceDE w:val="0"/>
        <w:autoSpaceDN w:val="0"/>
        <w:adjustRightInd w:val="0"/>
        <w:jc w:val="both"/>
      </w:pPr>
      <w:r w:rsidRPr="007A542A">
        <w:t xml:space="preserve">V prvním pololetí </w:t>
      </w:r>
      <w:r w:rsidR="00C136A0" w:rsidRPr="007A542A">
        <w:t>roku 201</w:t>
      </w:r>
      <w:r w:rsidR="001E6F47">
        <w:t>5</w:t>
      </w:r>
      <w:r w:rsidRPr="007A542A">
        <w:t xml:space="preserve"> nebyly žádné stínové opce </w:t>
      </w:r>
      <w:r w:rsidR="001E6F47">
        <w:t xml:space="preserve">ani warranty </w:t>
      </w:r>
      <w:r w:rsidRPr="007A542A">
        <w:t>uplatněny. Re</w:t>
      </w:r>
      <w:r w:rsidR="0028728A" w:rsidRPr="007A542A">
        <w:t xml:space="preserve">álná hodnota </w:t>
      </w:r>
      <w:r w:rsidR="00C136A0" w:rsidRPr="007A542A">
        <w:t xml:space="preserve">stínových opcí </w:t>
      </w:r>
      <w:r w:rsidR="001E6F47">
        <w:t xml:space="preserve">a warrantů </w:t>
      </w:r>
      <w:r w:rsidR="00C136A0" w:rsidRPr="007A542A">
        <w:t>k 30. červnu 201</w:t>
      </w:r>
      <w:r w:rsidR="001E6F47">
        <w:t>5</w:t>
      </w:r>
      <w:r w:rsidRPr="007A542A">
        <w:t xml:space="preserve"> činila </w:t>
      </w:r>
      <w:r w:rsidR="001E6F47">
        <w:t>4</w:t>
      </w:r>
      <w:r w:rsidR="00C23A63" w:rsidRPr="007A542A">
        <w:t xml:space="preserve"> 06</w:t>
      </w:r>
      <w:r w:rsidR="001E6F47">
        <w:t>6</w:t>
      </w:r>
      <w:r w:rsidR="00877907" w:rsidRPr="007A542A">
        <w:t xml:space="preserve"> </w:t>
      </w:r>
      <w:r w:rsidRPr="007A542A">
        <w:t>tisíc EUR.</w:t>
      </w:r>
    </w:p>
    <w:p w:rsidR="008E60DA" w:rsidRPr="007A542A" w:rsidRDefault="008E60DA" w:rsidP="008E60DA">
      <w:pPr>
        <w:autoSpaceDE w:val="0"/>
        <w:autoSpaceDN w:val="0"/>
        <w:adjustRightInd w:val="0"/>
        <w:jc w:val="both"/>
        <w:rPr>
          <w:szCs w:val="20"/>
        </w:rPr>
      </w:pPr>
    </w:p>
    <w:p w:rsidR="00E825A9" w:rsidRPr="007A542A" w:rsidRDefault="00E825A9" w:rsidP="008E60DA">
      <w:pPr>
        <w:autoSpaceDE w:val="0"/>
        <w:autoSpaceDN w:val="0"/>
        <w:adjustRightInd w:val="0"/>
        <w:jc w:val="both"/>
        <w:rPr>
          <w:b/>
          <w:szCs w:val="20"/>
        </w:rPr>
      </w:pPr>
      <w:r w:rsidRPr="00E211EF">
        <w:rPr>
          <w:b/>
          <w:szCs w:val="20"/>
        </w:rPr>
        <w:t>Manažerský bonusový plán</w:t>
      </w:r>
    </w:p>
    <w:p w:rsidR="00E825A9" w:rsidRPr="007A542A" w:rsidRDefault="00E825A9" w:rsidP="008E60DA">
      <w:pPr>
        <w:autoSpaceDE w:val="0"/>
        <w:autoSpaceDN w:val="0"/>
        <w:adjustRightInd w:val="0"/>
        <w:jc w:val="both"/>
        <w:rPr>
          <w:b/>
          <w:szCs w:val="20"/>
        </w:rPr>
      </w:pPr>
    </w:p>
    <w:p w:rsidR="00E825A9" w:rsidRPr="007A542A" w:rsidRDefault="00E825A9" w:rsidP="00E825A9">
      <w:pPr>
        <w:autoSpaceDE w:val="0"/>
        <w:autoSpaceDN w:val="0"/>
        <w:adjustRightInd w:val="0"/>
        <w:jc w:val="both"/>
        <w:rPr>
          <w:szCs w:val="20"/>
        </w:rPr>
      </w:pPr>
      <w:r w:rsidRPr="007A542A">
        <w:rPr>
          <w:szCs w:val="20"/>
        </w:rPr>
        <w:t>Valná hromada schválila v roce 2008 principy bonusového plánu určeného vrcholovému</w:t>
      </w:r>
      <w:r w:rsidR="00440914" w:rsidRPr="007A542A">
        <w:rPr>
          <w:szCs w:val="20"/>
        </w:rPr>
        <w:t xml:space="preserve"> </w:t>
      </w:r>
      <w:r w:rsidRPr="007A542A">
        <w:rPr>
          <w:szCs w:val="20"/>
        </w:rPr>
        <w:t>managementu Společnosti na rok 2008 a následující finanční roky.</w:t>
      </w:r>
    </w:p>
    <w:p w:rsidR="00440914" w:rsidRPr="007A542A" w:rsidRDefault="00440914" w:rsidP="00E825A9">
      <w:pPr>
        <w:autoSpaceDE w:val="0"/>
        <w:autoSpaceDN w:val="0"/>
        <w:adjustRightInd w:val="0"/>
        <w:jc w:val="both"/>
        <w:rPr>
          <w:szCs w:val="20"/>
        </w:rPr>
      </w:pPr>
    </w:p>
    <w:p w:rsidR="00E825A9" w:rsidRPr="007A542A" w:rsidRDefault="00E825A9" w:rsidP="00E825A9">
      <w:pPr>
        <w:autoSpaceDE w:val="0"/>
        <w:autoSpaceDN w:val="0"/>
        <w:adjustRightInd w:val="0"/>
        <w:jc w:val="both"/>
        <w:rPr>
          <w:szCs w:val="20"/>
        </w:rPr>
      </w:pPr>
      <w:r w:rsidRPr="007A542A">
        <w:rPr>
          <w:szCs w:val="20"/>
        </w:rPr>
        <w:t>Hlavní principy bonusového plánu:</w:t>
      </w:r>
    </w:p>
    <w:p w:rsidR="00E825A9" w:rsidRPr="007A542A" w:rsidRDefault="00E825A9" w:rsidP="008D6A40">
      <w:pPr>
        <w:pStyle w:val="ListParagraph"/>
        <w:numPr>
          <w:ilvl w:val="0"/>
          <w:numId w:val="34"/>
        </w:numPr>
        <w:autoSpaceDE w:val="0"/>
        <w:autoSpaceDN w:val="0"/>
        <w:adjustRightInd w:val="0"/>
        <w:jc w:val="both"/>
        <w:rPr>
          <w:szCs w:val="20"/>
        </w:rPr>
      </w:pPr>
      <w:r w:rsidRPr="007A542A">
        <w:rPr>
          <w:szCs w:val="20"/>
        </w:rPr>
        <w:t>Plán byl vytvořen s cílem zajistit motivaci vrcholového managementu na plnění ekonomických cílů stanovených obchodním plánem Společnosti, které v tomto případě představuje ukazatel plánované EBITDA. Tento bonusový plán je platný na rok 2008 a roky následující.</w:t>
      </w:r>
    </w:p>
    <w:p w:rsidR="00E825A9" w:rsidRPr="007A542A" w:rsidRDefault="00E825A9" w:rsidP="008D6A40">
      <w:pPr>
        <w:pStyle w:val="ListParagraph"/>
        <w:numPr>
          <w:ilvl w:val="0"/>
          <w:numId w:val="34"/>
        </w:numPr>
        <w:autoSpaceDE w:val="0"/>
        <w:autoSpaceDN w:val="0"/>
        <w:adjustRightInd w:val="0"/>
        <w:jc w:val="both"/>
        <w:rPr>
          <w:szCs w:val="20"/>
        </w:rPr>
      </w:pPr>
      <w:r w:rsidRPr="007A542A">
        <w:rPr>
          <w:szCs w:val="20"/>
        </w:rPr>
        <w:t xml:space="preserve">Základem pro výpočet bonusu je ukazatel EBITDA vypočtený v souladu s českými účetními standardy na konsolidované úrovni, jenž je </w:t>
      </w:r>
      <w:r w:rsidR="0030132C">
        <w:rPr>
          <w:szCs w:val="20"/>
        </w:rPr>
        <w:t xml:space="preserve">upraven </w:t>
      </w:r>
      <w:r w:rsidRPr="007A542A">
        <w:rPr>
          <w:szCs w:val="20"/>
        </w:rPr>
        <w:t>o určité mimořádné a jednorázové položky.</w:t>
      </w:r>
    </w:p>
    <w:p w:rsidR="00E825A9" w:rsidRPr="007A542A" w:rsidRDefault="00E825A9" w:rsidP="008D6A40">
      <w:pPr>
        <w:pStyle w:val="ListParagraph"/>
        <w:numPr>
          <w:ilvl w:val="0"/>
          <w:numId w:val="34"/>
        </w:numPr>
        <w:autoSpaceDE w:val="0"/>
        <w:autoSpaceDN w:val="0"/>
        <w:adjustRightInd w:val="0"/>
        <w:jc w:val="both"/>
        <w:rPr>
          <w:szCs w:val="20"/>
        </w:rPr>
      </w:pPr>
      <w:r w:rsidRPr="007A542A">
        <w:rPr>
          <w:szCs w:val="20"/>
        </w:rPr>
        <w:t>Pokud bude skutečně dosažená EBITDA rovna plánované hodnotě EBITDA, potom bude vyplacen jako bonus stanovený cílový bonus. Pokud bude skutečně dosažená EBITDA nižší nebo vyšší nežli plánovaná EBITDA, částka cílového bonusu bude snížena nebo zvýšena až do úrovně maximálního bonusu v souladu s principy, jež každoročně určí představenstvo Společnosti.</w:t>
      </w:r>
    </w:p>
    <w:p w:rsidR="00E825A9" w:rsidRPr="007A542A" w:rsidRDefault="00E825A9" w:rsidP="008E60DA">
      <w:pPr>
        <w:autoSpaceDE w:val="0"/>
        <w:autoSpaceDN w:val="0"/>
        <w:adjustRightInd w:val="0"/>
        <w:jc w:val="both"/>
        <w:rPr>
          <w:szCs w:val="20"/>
        </w:rPr>
      </w:pPr>
    </w:p>
    <w:p w:rsidR="002508E3" w:rsidRPr="007A542A" w:rsidRDefault="008254AA" w:rsidP="00BD2B0F">
      <w:pPr>
        <w:autoSpaceDE w:val="0"/>
        <w:autoSpaceDN w:val="0"/>
        <w:adjustRightInd w:val="0"/>
        <w:jc w:val="both"/>
        <w:rPr>
          <w:szCs w:val="20"/>
        </w:rPr>
      </w:pPr>
      <w:r w:rsidRPr="007A542A">
        <w:rPr>
          <w:szCs w:val="20"/>
        </w:rPr>
        <w:t>Kromě výše uvedených informací neexistovaly žádné další transakce mezi Skupinou a exekutivním managementem či neexekutivním</w:t>
      </w:r>
      <w:r w:rsidR="007035E6" w:rsidRPr="007A542A">
        <w:rPr>
          <w:szCs w:val="20"/>
        </w:rPr>
        <w:t>i řediteli</w:t>
      </w:r>
      <w:r w:rsidRPr="007A542A">
        <w:rPr>
          <w:szCs w:val="20"/>
        </w:rPr>
        <w:t>.</w:t>
      </w:r>
    </w:p>
    <w:p w:rsidR="002508E3" w:rsidRPr="007A542A" w:rsidRDefault="002508E3" w:rsidP="00BD2B0F">
      <w:pPr>
        <w:autoSpaceDE w:val="0"/>
        <w:autoSpaceDN w:val="0"/>
        <w:adjustRightInd w:val="0"/>
        <w:jc w:val="both"/>
        <w:rPr>
          <w:szCs w:val="20"/>
        </w:rPr>
        <w:sectPr w:rsidR="002508E3" w:rsidRPr="007A542A" w:rsidSect="003E6394">
          <w:type w:val="continuous"/>
          <w:pgSz w:w="11906" w:h="16838"/>
          <w:pgMar w:top="1417" w:right="1417" w:bottom="1417" w:left="1417" w:header="708" w:footer="708" w:gutter="0"/>
          <w:cols w:space="708"/>
          <w:docGrid w:linePitch="360"/>
        </w:sectPr>
      </w:pPr>
    </w:p>
    <w:p w:rsidR="00963AA8" w:rsidRPr="00E211EF" w:rsidRDefault="00862B32" w:rsidP="0070412E">
      <w:pPr>
        <w:pStyle w:val="Heading1"/>
        <w:tabs>
          <w:tab w:val="num" w:pos="0"/>
        </w:tabs>
        <w:ind w:left="1418" w:hanging="1418"/>
        <w:rPr>
          <w:rFonts w:ascii="Times New Roman" w:hAnsi="Times New Roman" w:cs="Times New Roman"/>
        </w:rPr>
      </w:pPr>
      <w:bookmarkStart w:id="43" w:name="_Toc332213930"/>
      <w:bookmarkStart w:id="44" w:name="_Toc269907496"/>
      <w:bookmarkStart w:id="45" w:name="_Toc427918118"/>
      <w:bookmarkEnd w:id="43"/>
      <w:r w:rsidRPr="00E211EF">
        <w:rPr>
          <w:rFonts w:ascii="Times New Roman" w:hAnsi="Times New Roman" w:cs="Times New Roman"/>
        </w:rPr>
        <w:lastRenderedPageBreak/>
        <w:t>Správa a ř</w:t>
      </w:r>
      <w:r w:rsidR="004C5F4F" w:rsidRPr="00E211EF">
        <w:rPr>
          <w:rFonts w:ascii="Times New Roman" w:hAnsi="Times New Roman" w:cs="Times New Roman"/>
        </w:rPr>
        <w:t xml:space="preserve">ízení </w:t>
      </w:r>
      <w:bookmarkEnd w:id="36"/>
      <w:r w:rsidR="00AF4A0B" w:rsidRPr="00E211EF">
        <w:rPr>
          <w:rFonts w:ascii="Times New Roman" w:hAnsi="Times New Roman" w:cs="Times New Roman"/>
        </w:rPr>
        <w:t>Společnosti</w:t>
      </w:r>
      <w:bookmarkEnd w:id="44"/>
      <w:bookmarkEnd w:id="45"/>
    </w:p>
    <w:p w:rsidR="0098761D" w:rsidRPr="007A542A" w:rsidRDefault="00EE2A05">
      <w:pPr>
        <w:pStyle w:val="NormalWeb"/>
        <w:jc w:val="both"/>
        <w:rPr>
          <w:bCs/>
        </w:rPr>
      </w:pPr>
      <w:r w:rsidRPr="007A542A">
        <w:rPr>
          <w:bCs/>
        </w:rPr>
        <w:t xml:space="preserve">Dle stanov burzy ve Varšavě a ve spojení s uvedením akcií Společnosti na burzu ve Varšavě je Společnost povinna deklarovat, které principy správy a řízení obsažené v Corporate Governance Rules varšavské burzy bude implementovat a rovněž důvody pro neimplementování ostatních principů. </w:t>
      </w:r>
    </w:p>
    <w:p w:rsidR="0098761D" w:rsidRPr="007A542A" w:rsidRDefault="00EE2A05">
      <w:pPr>
        <w:pStyle w:val="NormalWeb"/>
        <w:jc w:val="both"/>
        <w:rPr>
          <w:bCs/>
        </w:rPr>
      </w:pPr>
      <w:r w:rsidRPr="007A542A">
        <w:rPr>
          <w:bCs/>
        </w:rPr>
        <w:t>Společnost se rozhodla přijmout většinu Corporate Governance Rules varšavské burzy</w:t>
      </w:r>
      <w:r w:rsidR="00801BF7" w:rsidRPr="007A542A">
        <w:rPr>
          <w:bCs/>
        </w:rPr>
        <w:t xml:space="preserve">. Bližší informace </w:t>
      </w:r>
      <w:r w:rsidR="001E6F47">
        <w:rPr>
          <w:bCs/>
        </w:rPr>
        <w:t xml:space="preserve">jsou k dispozici </w:t>
      </w:r>
      <w:r w:rsidR="00801BF7" w:rsidRPr="007A542A">
        <w:rPr>
          <w:bCs/>
        </w:rPr>
        <w:t>ve Výroční zprávě za rok 201</w:t>
      </w:r>
      <w:r w:rsidR="001E6F47">
        <w:rPr>
          <w:bCs/>
        </w:rPr>
        <w:t>4</w:t>
      </w:r>
      <w:r w:rsidR="00801BF7" w:rsidRPr="007A542A">
        <w:rPr>
          <w:bCs/>
        </w:rPr>
        <w:t>.</w:t>
      </w:r>
    </w:p>
    <w:p w:rsidR="00876EA5" w:rsidRPr="007A542A" w:rsidRDefault="00C70A7F" w:rsidP="00AB2AC2">
      <w:pPr>
        <w:pStyle w:val="NormalWeb"/>
        <w:rPr>
          <w:b/>
          <w:bCs/>
        </w:rPr>
      </w:pPr>
      <w:r w:rsidRPr="00B20AC0">
        <w:rPr>
          <w:b/>
          <w:bCs/>
        </w:rPr>
        <w:t>Řádná valná hromada konaná dne 1</w:t>
      </w:r>
      <w:r w:rsidR="001E6F47" w:rsidRPr="00B20AC0">
        <w:rPr>
          <w:b/>
          <w:bCs/>
        </w:rPr>
        <w:t>5</w:t>
      </w:r>
      <w:r w:rsidRPr="00B20AC0">
        <w:rPr>
          <w:b/>
          <w:bCs/>
        </w:rPr>
        <w:t xml:space="preserve">. června </w:t>
      </w:r>
      <w:r w:rsidR="00C136A0" w:rsidRPr="00B20AC0">
        <w:rPr>
          <w:b/>
          <w:bCs/>
        </w:rPr>
        <w:t>201</w:t>
      </w:r>
      <w:r w:rsidR="001E6F47" w:rsidRPr="00B20AC0">
        <w:rPr>
          <w:b/>
          <w:bCs/>
        </w:rPr>
        <w:t>5</w:t>
      </w:r>
    </w:p>
    <w:p w:rsidR="00E3356C" w:rsidRPr="007A542A" w:rsidRDefault="00C70A7F" w:rsidP="004A6A89">
      <w:pPr>
        <w:pStyle w:val="NormalWeb"/>
        <w:jc w:val="both"/>
      </w:pPr>
      <w:r w:rsidRPr="007A542A">
        <w:t xml:space="preserve">Na řádné valné hromadě akcionářů PEGAS NONWOVENS SA, </w:t>
      </w:r>
      <w:r w:rsidR="004A77BF" w:rsidRPr="007A542A">
        <w:t>jež</w:t>
      </w:r>
      <w:r w:rsidRPr="007A542A">
        <w:t xml:space="preserve"> se konala 1</w:t>
      </w:r>
      <w:r w:rsidR="001E6F47">
        <w:t>5</w:t>
      </w:r>
      <w:r w:rsidR="00064E48" w:rsidRPr="007A542A">
        <w:t>. června 201</w:t>
      </w:r>
      <w:r w:rsidR="001E6F47">
        <w:t>5</w:t>
      </w:r>
      <w:r w:rsidRPr="007A542A">
        <w:t xml:space="preserve"> v </w:t>
      </w:r>
      <w:r w:rsidR="00AF4A0B" w:rsidRPr="007A542A">
        <w:t>Lucemburku</w:t>
      </w:r>
      <w:r w:rsidRPr="007A542A">
        <w:t xml:space="preserve">, byly schváleny návrhy </w:t>
      </w:r>
      <w:r w:rsidR="00E3356C" w:rsidRPr="007A542A">
        <w:t xml:space="preserve">č. 1 až </w:t>
      </w:r>
      <w:r w:rsidR="001E6F47">
        <w:t>8</w:t>
      </w:r>
      <w:r w:rsidR="00E3356C" w:rsidRPr="007A542A">
        <w:t xml:space="preserve"> </w:t>
      </w:r>
      <w:r w:rsidRPr="007A542A">
        <w:t xml:space="preserve">předložené k projednání a hlasování. </w:t>
      </w:r>
    </w:p>
    <w:p w:rsidR="00B54668" w:rsidRPr="007A542A" w:rsidRDefault="006E6EB9" w:rsidP="004A6A89">
      <w:pPr>
        <w:pStyle w:val="NormalWeb"/>
        <w:jc w:val="both"/>
      </w:pPr>
      <w:r w:rsidRPr="007A542A">
        <w:t xml:space="preserve">Program </w:t>
      </w:r>
      <w:r w:rsidR="009E1FAD" w:rsidRPr="007A542A">
        <w:t>řádné valné hromady</w:t>
      </w:r>
      <w:r w:rsidRPr="007A542A">
        <w:t xml:space="preserve"> byl</w:t>
      </w:r>
      <w:r w:rsidR="00C70A7F" w:rsidRPr="007A542A">
        <w:t xml:space="preserve"> následující:</w:t>
      </w:r>
    </w:p>
    <w:p w:rsidR="001E6F47" w:rsidRPr="001E6F47" w:rsidRDefault="001E6F47" w:rsidP="001E6F47">
      <w:pPr>
        <w:numPr>
          <w:ilvl w:val="0"/>
          <w:numId w:val="22"/>
        </w:numPr>
        <w:tabs>
          <w:tab w:val="clear" w:pos="720"/>
          <w:tab w:val="num" w:pos="426"/>
        </w:tabs>
        <w:autoSpaceDE w:val="0"/>
        <w:autoSpaceDN w:val="0"/>
        <w:adjustRightInd w:val="0"/>
        <w:spacing w:after="240"/>
        <w:ind w:left="426" w:hanging="426"/>
        <w:jc w:val="both"/>
        <w:rPr>
          <w:rFonts w:eastAsia="SimSun"/>
        </w:rPr>
      </w:pPr>
      <w:r w:rsidRPr="001E6F47">
        <w:rPr>
          <w:rFonts w:eastAsia="SimSun"/>
        </w:rPr>
        <w:t>Volba výboru (Bureau) valné hromady.</w:t>
      </w:r>
    </w:p>
    <w:p w:rsidR="001E6F47" w:rsidRPr="001E6F47" w:rsidRDefault="001E6F47" w:rsidP="001E6F47">
      <w:pPr>
        <w:numPr>
          <w:ilvl w:val="0"/>
          <w:numId w:val="22"/>
        </w:numPr>
        <w:tabs>
          <w:tab w:val="clear" w:pos="720"/>
          <w:tab w:val="num" w:pos="426"/>
        </w:tabs>
        <w:autoSpaceDE w:val="0"/>
        <w:autoSpaceDN w:val="0"/>
        <w:adjustRightInd w:val="0"/>
        <w:spacing w:after="240"/>
        <w:ind w:left="426" w:hanging="426"/>
        <w:jc w:val="both"/>
        <w:rPr>
          <w:rFonts w:eastAsia="SimSun"/>
        </w:rPr>
      </w:pPr>
      <w:r w:rsidRPr="001E6F47">
        <w:rPr>
          <w:rFonts w:eastAsia="SimSun"/>
        </w:rPr>
        <w:t>Prezentace a projednání zprávy auditorů týkající se samostatné a konsolidované účetní závěrky za finanční rok končící dnem 31. prosince 2014 a zprávy představenstva společnosti PEGAS o samostatné a konsolidované účetní závěrce za finanční rok končící dnem 31. prosince 2014.</w:t>
      </w:r>
    </w:p>
    <w:p w:rsidR="001E6F47" w:rsidRPr="001E6F47" w:rsidRDefault="001E6F47" w:rsidP="001E6F47">
      <w:pPr>
        <w:numPr>
          <w:ilvl w:val="0"/>
          <w:numId w:val="22"/>
        </w:numPr>
        <w:tabs>
          <w:tab w:val="clear" w:pos="720"/>
          <w:tab w:val="num" w:pos="426"/>
        </w:tabs>
        <w:autoSpaceDE w:val="0"/>
        <w:autoSpaceDN w:val="0"/>
        <w:adjustRightInd w:val="0"/>
        <w:spacing w:after="240"/>
        <w:ind w:left="426" w:hanging="426"/>
        <w:jc w:val="both"/>
        <w:rPr>
          <w:rFonts w:eastAsia="SimSun"/>
        </w:rPr>
      </w:pPr>
      <w:r w:rsidRPr="001E6F47">
        <w:rPr>
          <w:rFonts w:eastAsia="SimSun"/>
        </w:rPr>
        <w:t>Schválení samostatné a konsolidované účetní závěrky z</w:t>
      </w:r>
      <w:r w:rsidR="00DF1444">
        <w:rPr>
          <w:rFonts w:eastAsia="SimSun"/>
        </w:rPr>
        <w:t>a finanční rok končící dnem 31. </w:t>
      </w:r>
      <w:r w:rsidRPr="001E6F47">
        <w:rPr>
          <w:rFonts w:eastAsia="SimSun"/>
        </w:rPr>
        <w:t>prosince 2014.</w:t>
      </w:r>
    </w:p>
    <w:p w:rsidR="001E6F47" w:rsidRPr="001E6F47" w:rsidRDefault="001E6F47" w:rsidP="001E6F47">
      <w:pPr>
        <w:numPr>
          <w:ilvl w:val="0"/>
          <w:numId w:val="22"/>
        </w:numPr>
        <w:tabs>
          <w:tab w:val="clear" w:pos="720"/>
          <w:tab w:val="num" w:pos="426"/>
        </w:tabs>
        <w:autoSpaceDE w:val="0"/>
        <w:autoSpaceDN w:val="0"/>
        <w:adjustRightInd w:val="0"/>
        <w:spacing w:after="240"/>
        <w:ind w:left="426" w:hanging="426"/>
        <w:jc w:val="both"/>
        <w:rPr>
          <w:rFonts w:eastAsia="SimSun"/>
        </w:rPr>
      </w:pPr>
      <w:r w:rsidRPr="001E6F47">
        <w:rPr>
          <w:rFonts w:eastAsia="SimSun"/>
        </w:rPr>
        <w:t>Rozdělení hospodářského výsledku za finanční rok končící dnem 31. prosince 2014 a výplata dividend</w:t>
      </w:r>
      <w:r w:rsidR="00DF1444">
        <w:rPr>
          <w:rFonts w:eastAsia="SimSun"/>
        </w:rPr>
        <w:t>y</w:t>
      </w:r>
      <w:r w:rsidRPr="001E6F47">
        <w:rPr>
          <w:rFonts w:eastAsia="SimSun"/>
        </w:rPr>
        <w:t xml:space="preserve"> ve výši 10 613 810 EUR, tj. 1,15 EUR za akcii.</w:t>
      </w:r>
    </w:p>
    <w:p w:rsidR="001E6F47" w:rsidRPr="001E6F47" w:rsidRDefault="001E6F47" w:rsidP="001E6F47">
      <w:pPr>
        <w:numPr>
          <w:ilvl w:val="0"/>
          <w:numId w:val="22"/>
        </w:numPr>
        <w:tabs>
          <w:tab w:val="clear" w:pos="720"/>
          <w:tab w:val="num" w:pos="426"/>
        </w:tabs>
        <w:autoSpaceDE w:val="0"/>
        <w:autoSpaceDN w:val="0"/>
        <w:adjustRightInd w:val="0"/>
        <w:spacing w:after="240"/>
        <w:ind w:left="426" w:hanging="426"/>
        <w:jc w:val="both"/>
        <w:rPr>
          <w:rFonts w:eastAsia="SimSun"/>
        </w:rPr>
      </w:pPr>
      <w:r w:rsidRPr="001E6F47">
        <w:rPr>
          <w:rFonts w:eastAsia="SimSun"/>
        </w:rPr>
        <w:t>Zproštění členů představenstva a auditorů společnosti PEGAS odpovědnosti za finanční rok končící dne 31. prosince 2014 a v souvislosti s ním.</w:t>
      </w:r>
    </w:p>
    <w:p w:rsidR="001E6F47" w:rsidRPr="001E6F47" w:rsidRDefault="001E6F47" w:rsidP="001E6F47">
      <w:pPr>
        <w:numPr>
          <w:ilvl w:val="0"/>
          <w:numId w:val="22"/>
        </w:numPr>
        <w:tabs>
          <w:tab w:val="clear" w:pos="720"/>
          <w:tab w:val="num" w:pos="426"/>
        </w:tabs>
        <w:autoSpaceDE w:val="0"/>
        <w:autoSpaceDN w:val="0"/>
        <w:adjustRightInd w:val="0"/>
        <w:spacing w:after="240"/>
        <w:ind w:left="426" w:hanging="426"/>
        <w:jc w:val="both"/>
        <w:rPr>
          <w:rFonts w:eastAsia="SimSun"/>
        </w:rPr>
      </w:pPr>
      <w:r w:rsidRPr="001E6F47">
        <w:rPr>
          <w:rFonts w:eastAsia="SimSun"/>
        </w:rPr>
        <w:t xml:space="preserve">Jmenování lucemburského nezávislého auditora („réviseur d’entreprises“), který provede posouzení samostatné a konsolidované účetní závěrky za </w:t>
      </w:r>
      <w:r w:rsidR="00DF1444">
        <w:rPr>
          <w:rFonts w:eastAsia="SimSun"/>
        </w:rPr>
        <w:t>finanční rok končící ke dni 31. </w:t>
      </w:r>
      <w:r w:rsidRPr="001E6F47">
        <w:rPr>
          <w:rFonts w:eastAsia="SimSun"/>
        </w:rPr>
        <w:t>prosince 2015.</w:t>
      </w:r>
    </w:p>
    <w:p w:rsidR="001E6F47" w:rsidRPr="001E6F47" w:rsidRDefault="001E6F47" w:rsidP="001E6F47">
      <w:pPr>
        <w:numPr>
          <w:ilvl w:val="0"/>
          <w:numId w:val="22"/>
        </w:numPr>
        <w:tabs>
          <w:tab w:val="clear" w:pos="720"/>
          <w:tab w:val="num" w:pos="426"/>
        </w:tabs>
        <w:autoSpaceDE w:val="0"/>
        <w:autoSpaceDN w:val="0"/>
        <w:adjustRightInd w:val="0"/>
        <w:spacing w:after="240"/>
        <w:ind w:left="426" w:hanging="426"/>
        <w:jc w:val="both"/>
        <w:rPr>
          <w:rFonts w:eastAsia="SimSun"/>
        </w:rPr>
      </w:pPr>
      <w:r w:rsidRPr="001E6F47">
        <w:rPr>
          <w:rFonts w:eastAsia="SimSun"/>
        </w:rPr>
        <w:t>Schválení pravidel odměňování členů představenstva bez výkonné pravomoci za finanční rok 2015.</w:t>
      </w:r>
    </w:p>
    <w:p w:rsidR="001E6F47" w:rsidRPr="001E6F47" w:rsidRDefault="001E6F47" w:rsidP="001E6F47">
      <w:pPr>
        <w:numPr>
          <w:ilvl w:val="0"/>
          <w:numId w:val="22"/>
        </w:numPr>
        <w:tabs>
          <w:tab w:val="clear" w:pos="720"/>
          <w:tab w:val="num" w:pos="426"/>
        </w:tabs>
        <w:autoSpaceDE w:val="0"/>
        <w:autoSpaceDN w:val="0"/>
        <w:adjustRightInd w:val="0"/>
        <w:spacing w:after="240"/>
        <w:ind w:left="426" w:hanging="426"/>
        <w:jc w:val="both"/>
        <w:rPr>
          <w:rFonts w:eastAsia="SimSun"/>
        </w:rPr>
      </w:pPr>
      <w:r w:rsidRPr="001E6F47">
        <w:rPr>
          <w:rFonts w:eastAsia="SimSun"/>
        </w:rPr>
        <w:t>Schválení pravidel odměňování členů představenstva s výkonnou pravomocí za finanční rok 2015.</w:t>
      </w:r>
    </w:p>
    <w:p w:rsidR="001E6F47" w:rsidRPr="007A542A" w:rsidRDefault="001E6F47" w:rsidP="001E6F47">
      <w:pPr>
        <w:numPr>
          <w:ilvl w:val="0"/>
          <w:numId w:val="22"/>
        </w:numPr>
        <w:tabs>
          <w:tab w:val="clear" w:pos="720"/>
          <w:tab w:val="num" w:pos="426"/>
        </w:tabs>
        <w:autoSpaceDE w:val="0"/>
        <w:autoSpaceDN w:val="0"/>
        <w:adjustRightInd w:val="0"/>
        <w:spacing w:after="240"/>
        <w:ind w:left="426" w:hanging="426"/>
        <w:jc w:val="both"/>
        <w:rPr>
          <w:rFonts w:eastAsia="SimSun"/>
        </w:rPr>
      </w:pPr>
      <w:r w:rsidRPr="001E6F47">
        <w:rPr>
          <w:rFonts w:eastAsia="SimSun"/>
        </w:rPr>
        <w:t>Různé.</w:t>
      </w:r>
    </w:p>
    <w:p w:rsidR="001E6F47" w:rsidRDefault="001E6F47">
      <w:pPr>
        <w:rPr>
          <w:b/>
          <w:bCs/>
        </w:rPr>
      </w:pPr>
      <w:bookmarkStart w:id="46" w:name="_Toc165188449"/>
      <w:r>
        <w:rPr>
          <w:b/>
          <w:bCs/>
        </w:rPr>
        <w:br w:type="page"/>
      </w:r>
    </w:p>
    <w:p w:rsidR="00374B50" w:rsidRPr="007A542A" w:rsidRDefault="00DE4A6B" w:rsidP="00A219DB">
      <w:pPr>
        <w:pStyle w:val="NormalWeb"/>
      </w:pPr>
      <w:r w:rsidRPr="00B20AC0">
        <w:rPr>
          <w:b/>
          <w:bCs/>
        </w:rPr>
        <w:lastRenderedPageBreak/>
        <w:t>Složení představe</w:t>
      </w:r>
      <w:bookmarkEnd w:id="46"/>
      <w:r w:rsidRPr="00B20AC0">
        <w:rPr>
          <w:b/>
          <w:bCs/>
        </w:rPr>
        <w:t>nstva ke dni 30. června 20</w:t>
      </w:r>
      <w:r w:rsidR="001F6AA7" w:rsidRPr="00B20AC0">
        <w:rPr>
          <w:b/>
          <w:bCs/>
        </w:rPr>
        <w:t>1</w:t>
      </w:r>
      <w:r w:rsidR="001E6F47" w:rsidRPr="00B20AC0">
        <w:rPr>
          <w:b/>
          <w:bCs/>
        </w:rPr>
        <w:t>5</w:t>
      </w:r>
    </w:p>
    <w:p w:rsidR="00374B50" w:rsidRPr="007A542A" w:rsidRDefault="00DE4A6B" w:rsidP="00374B50">
      <w:pPr>
        <w:pStyle w:val="AOHeading6"/>
        <w:rPr>
          <w:lang w:val="cs-CZ"/>
        </w:rPr>
      </w:pPr>
      <w:r w:rsidRPr="007A542A">
        <w:rPr>
          <w:lang w:val="cs-CZ"/>
        </w:rPr>
        <w:t>Představenstvo</w:t>
      </w:r>
      <w:r w:rsidR="00EC1496" w:rsidRPr="007A542A">
        <w:rPr>
          <w:lang w:val="cs-CZ"/>
        </w:rPr>
        <w:t xml:space="preserve"> PEGAS NONWOVENS 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72"/>
        <w:gridCol w:w="744"/>
        <w:gridCol w:w="2007"/>
        <w:gridCol w:w="2506"/>
        <w:gridCol w:w="2173"/>
      </w:tblGrid>
      <w:tr w:rsidR="00515150" w:rsidRPr="007A542A" w:rsidTr="000F4BB0">
        <w:trPr>
          <w:cantSplit/>
          <w:trHeight w:val="624"/>
        </w:trPr>
        <w:tc>
          <w:tcPr>
            <w:tcW w:w="1006" w:type="pct"/>
          </w:tcPr>
          <w:p w:rsidR="00515150" w:rsidRPr="007A542A" w:rsidRDefault="00DE4A6B" w:rsidP="00F86F85">
            <w:pPr>
              <w:pStyle w:val="AODocTxt"/>
              <w:numPr>
                <w:ilvl w:val="0"/>
                <w:numId w:val="2"/>
              </w:numPr>
              <w:jc w:val="left"/>
              <w:rPr>
                <w:b/>
                <w:bCs/>
                <w:lang w:val="cs-CZ"/>
              </w:rPr>
            </w:pPr>
            <w:r w:rsidRPr="007A542A">
              <w:rPr>
                <w:b/>
                <w:bCs/>
                <w:lang w:val="cs-CZ"/>
              </w:rPr>
              <w:t>Jméno</w:t>
            </w:r>
          </w:p>
        </w:tc>
        <w:tc>
          <w:tcPr>
            <w:tcW w:w="400" w:type="pct"/>
          </w:tcPr>
          <w:p w:rsidR="00515150" w:rsidRPr="007A542A" w:rsidRDefault="00DE4A6B" w:rsidP="00F86F85">
            <w:pPr>
              <w:pStyle w:val="AODocTxt"/>
              <w:numPr>
                <w:ilvl w:val="0"/>
                <w:numId w:val="2"/>
              </w:numPr>
              <w:jc w:val="left"/>
              <w:rPr>
                <w:b/>
                <w:lang w:val="cs-CZ"/>
              </w:rPr>
            </w:pPr>
            <w:r w:rsidRPr="007A542A">
              <w:rPr>
                <w:b/>
                <w:lang w:val="cs-CZ"/>
              </w:rPr>
              <w:t>Věk</w:t>
            </w:r>
          </w:p>
        </w:tc>
        <w:tc>
          <w:tcPr>
            <w:tcW w:w="1079" w:type="pct"/>
          </w:tcPr>
          <w:p w:rsidR="00515150" w:rsidRPr="007A542A" w:rsidRDefault="00515150" w:rsidP="00E3356C">
            <w:pPr>
              <w:pStyle w:val="AODocTxt"/>
              <w:numPr>
                <w:ilvl w:val="0"/>
                <w:numId w:val="2"/>
              </w:numPr>
              <w:jc w:val="left"/>
              <w:rPr>
                <w:lang w:val="cs-CZ"/>
              </w:rPr>
            </w:pPr>
            <w:r w:rsidRPr="007A542A">
              <w:rPr>
                <w:b/>
                <w:lang w:val="cs-CZ"/>
              </w:rPr>
              <w:t>Po</w:t>
            </w:r>
            <w:r w:rsidR="00DE4A6B" w:rsidRPr="007A542A">
              <w:rPr>
                <w:b/>
                <w:lang w:val="cs-CZ"/>
              </w:rPr>
              <w:t>zice</w:t>
            </w:r>
            <w:r w:rsidR="00075F26" w:rsidRPr="007A542A">
              <w:rPr>
                <w:b/>
                <w:lang w:val="cs-CZ"/>
              </w:rPr>
              <w:t>/</w:t>
            </w:r>
            <w:r w:rsidR="00E3356C" w:rsidRPr="007A542A">
              <w:rPr>
                <w:b/>
                <w:lang w:val="cs-CZ"/>
              </w:rPr>
              <w:t>f</w:t>
            </w:r>
            <w:r w:rsidR="00075F26" w:rsidRPr="007A542A">
              <w:rPr>
                <w:b/>
                <w:lang w:val="cs-CZ"/>
              </w:rPr>
              <w:t>un</w:t>
            </w:r>
            <w:r w:rsidR="00DE4A6B" w:rsidRPr="007A542A">
              <w:rPr>
                <w:b/>
                <w:lang w:val="cs-CZ"/>
              </w:rPr>
              <w:t>kce</w:t>
            </w:r>
          </w:p>
        </w:tc>
        <w:tc>
          <w:tcPr>
            <w:tcW w:w="1347" w:type="pct"/>
          </w:tcPr>
          <w:p w:rsidR="00515150" w:rsidRPr="007A542A" w:rsidRDefault="00DE4A6B" w:rsidP="00F86F85">
            <w:pPr>
              <w:pStyle w:val="AODocTxt"/>
              <w:numPr>
                <w:ilvl w:val="0"/>
                <w:numId w:val="2"/>
              </w:numPr>
              <w:jc w:val="left"/>
              <w:rPr>
                <w:b/>
                <w:lang w:val="cs-CZ"/>
              </w:rPr>
            </w:pPr>
            <w:r w:rsidRPr="007A542A">
              <w:rPr>
                <w:b/>
                <w:lang w:val="cs-CZ"/>
              </w:rPr>
              <w:t>Adresa</w:t>
            </w:r>
          </w:p>
        </w:tc>
        <w:tc>
          <w:tcPr>
            <w:tcW w:w="1168" w:type="pct"/>
          </w:tcPr>
          <w:p w:rsidR="00515150" w:rsidRPr="007A542A" w:rsidRDefault="00515150" w:rsidP="001E6F47">
            <w:pPr>
              <w:pStyle w:val="AODocTxt"/>
              <w:numPr>
                <w:ilvl w:val="0"/>
                <w:numId w:val="2"/>
              </w:numPr>
              <w:jc w:val="left"/>
              <w:rPr>
                <w:b/>
                <w:lang w:val="cs-CZ"/>
              </w:rPr>
            </w:pPr>
            <w:r w:rsidRPr="007A542A">
              <w:rPr>
                <w:b/>
                <w:lang w:val="cs-CZ"/>
              </w:rPr>
              <w:t>Fun</w:t>
            </w:r>
            <w:r w:rsidR="00DE4A6B" w:rsidRPr="007A542A">
              <w:rPr>
                <w:b/>
                <w:lang w:val="cs-CZ"/>
              </w:rPr>
              <w:t>kční období v první polovině</w:t>
            </w:r>
            <w:r w:rsidR="00D54655" w:rsidRPr="007A542A">
              <w:rPr>
                <w:b/>
                <w:lang w:val="cs-CZ"/>
              </w:rPr>
              <w:t xml:space="preserve"> </w:t>
            </w:r>
            <w:r w:rsidR="00E3356C" w:rsidRPr="007A542A">
              <w:rPr>
                <w:b/>
                <w:lang w:val="cs-CZ"/>
              </w:rPr>
              <w:t>201</w:t>
            </w:r>
            <w:r w:rsidR="001E6F47">
              <w:rPr>
                <w:b/>
                <w:lang w:val="cs-CZ"/>
              </w:rPr>
              <w:t>5</w:t>
            </w:r>
          </w:p>
        </w:tc>
      </w:tr>
      <w:tr w:rsidR="006E6EB9" w:rsidRPr="007A542A" w:rsidTr="000F4BB0">
        <w:trPr>
          <w:cantSplit/>
        </w:trPr>
        <w:tc>
          <w:tcPr>
            <w:tcW w:w="1006" w:type="pct"/>
          </w:tcPr>
          <w:p w:rsidR="006E6EB9" w:rsidRPr="007A542A" w:rsidRDefault="006E6EB9" w:rsidP="00F86F85">
            <w:pPr>
              <w:pStyle w:val="AODocTxt"/>
              <w:numPr>
                <w:ilvl w:val="0"/>
                <w:numId w:val="2"/>
              </w:numPr>
              <w:jc w:val="left"/>
              <w:rPr>
                <w:lang w:val="cs-CZ"/>
              </w:rPr>
            </w:pPr>
            <w:r w:rsidRPr="007A542A">
              <w:rPr>
                <w:lang w:val="cs-CZ"/>
              </w:rPr>
              <w:t>František Řezáč</w:t>
            </w:r>
          </w:p>
        </w:tc>
        <w:tc>
          <w:tcPr>
            <w:tcW w:w="400" w:type="pct"/>
          </w:tcPr>
          <w:p w:rsidR="006E6EB9" w:rsidRPr="007A542A" w:rsidRDefault="00E3356C" w:rsidP="001E6F47">
            <w:pPr>
              <w:pStyle w:val="AODocTxt"/>
              <w:numPr>
                <w:ilvl w:val="0"/>
                <w:numId w:val="2"/>
              </w:numPr>
              <w:jc w:val="left"/>
              <w:rPr>
                <w:lang w:val="cs-CZ"/>
              </w:rPr>
            </w:pPr>
            <w:r w:rsidRPr="007A542A">
              <w:rPr>
                <w:lang w:val="cs-CZ"/>
              </w:rPr>
              <w:t>4</w:t>
            </w:r>
            <w:r w:rsidR="001E6F47">
              <w:rPr>
                <w:lang w:val="cs-CZ"/>
              </w:rPr>
              <w:t>1</w:t>
            </w:r>
          </w:p>
        </w:tc>
        <w:tc>
          <w:tcPr>
            <w:tcW w:w="1079" w:type="pct"/>
          </w:tcPr>
          <w:p w:rsidR="006E6EB9" w:rsidRPr="007A542A" w:rsidRDefault="00F852FB" w:rsidP="00F86F85">
            <w:pPr>
              <w:pStyle w:val="AODocTxt"/>
              <w:numPr>
                <w:ilvl w:val="0"/>
                <w:numId w:val="2"/>
              </w:numPr>
              <w:jc w:val="left"/>
              <w:rPr>
                <w:rFonts w:eastAsia="Batang"/>
                <w:lang w:val="cs-CZ"/>
              </w:rPr>
            </w:pPr>
            <w:r w:rsidRPr="007A542A">
              <w:rPr>
                <w:lang w:val="cs-CZ"/>
              </w:rPr>
              <w:t>Exekutivní ředitel</w:t>
            </w:r>
          </w:p>
        </w:tc>
        <w:tc>
          <w:tcPr>
            <w:tcW w:w="1347" w:type="pct"/>
          </w:tcPr>
          <w:p w:rsidR="006E6EB9" w:rsidRPr="007A542A" w:rsidRDefault="006E6EB9" w:rsidP="00F86F85">
            <w:pPr>
              <w:pStyle w:val="AODocTxt"/>
              <w:numPr>
                <w:ilvl w:val="0"/>
                <w:numId w:val="2"/>
              </w:numPr>
              <w:jc w:val="left"/>
              <w:rPr>
                <w:lang w:val="cs-CZ"/>
              </w:rPr>
            </w:pPr>
            <w:r w:rsidRPr="007A542A">
              <w:rPr>
                <w:lang w:val="cs-CZ"/>
              </w:rPr>
              <w:t>Přímětická 86, 669 04, Znojmo, Česká republika</w:t>
            </w:r>
          </w:p>
        </w:tc>
        <w:tc>
          <w:tcPr>
            <w:tcW w:w="1168" w:type="pct"/>
          </w:tcPr>
          <w:p w:rsidR="006E6EB9" w:rsidRPr="007A542A" w:rsidRDefault="00F04E4C" w:rsidP="001E6F47">
            <w:pPr>
              <w:pStyle w:val="AODocTxt"/>
              <w:numPr>
                <w:ilvl w:val="0"/>
                <w:numId w:val="2"/>
              </w:numPr>
              <w:jc w:val="left"/>
              <w:rPr>
                <w:lang w:val="cs-CZ"/>
              </w:rPr>
            </w:pPr>
            <w:r w:rsidRPr="007A542A">
              <w:rPr>
                <w:lang w:val="cs-CZ"/>
              </w:rPr>
              <w:t xml:space="preserve">1. 1. </w:t>
            </w:r>
            <w:r w:rsidR="00E3356C" w:rsidRPr="007A542A">
              <w:rPr>
                <w:lang w:val="cs-CZ"/>
              </w:rPr>
              <w:t>201</w:t>
            </w:r>
            <w:r w:rsidR="001E6F47">
              <w:rPr>
                <w:lang w:val="cs-CZ"/>
              </w:rPr>
              <w:t>5</w:t>
            </w:r>
            <w:r w:rsidR="001F6AA7" w:rsidRPr="007A542A">
              <w:rPr>
                <w:lang w:val="cs-CZ"/>
              </w:rPr>
              <w:t xml:space="preserve"> – 30. 6. </w:t>
            </w:r>
            <w:r w:rsidR="00E3356C" w:rsidRPr="007A542A">
              <w:rPr>
                <w:lang w:val="cs-CZ"/>
              </w:rPr>
              <w:t>201</w:t>
            </w:r>
            <w:r w:rsidR="001E6F47">
              <w:rPr>
                <w:lang w:val="cs-CZ"/>
              </w:rPr>
              <w:t>5</w:t>
            </w:r>
          </w:p>
        </w:tc>
      </w:tr>
      <w:tr w:rsidR="00877907" w:rsidRPr="007A542A" w:rsidTr="000F4BB0">
        <w:trPr>
          <w:cantSplit/>
        </w:trPr>
        <w:tc>
          <w:tcPr>
            <w:tcW w:w="1006" w:type="pct"/>
          </w:tcPr>
          <w:p w:rsidR="00877907" w:rsidRPr="007A542A" w:rsidRDefault="00877907" w:rsidP="00F86F85">
            <w:pPr>
              <w:pStyle w:val="AODocTxt"/>
              <w:numPr>
                <w:ilvl w:val="0"/>
                <w:numId w:val="2"/>
              </w:numPr>
              <w:jc w:val="left"/>
              <w:rPr>
                <w:lang w:val="cs-CZ"/>
              </w:rPr>
            </w:pPr>
            <w:r w:rsidRPr="007A542A">
              <w:rPr>
                <w:lang w:val="cs-CZ"/>
              </w:rPr>
              <w:t>František Klaška</w:t>
            </w:r>
          </w:p>
        </w:tc>
        <w:tc>
          <w:tcPr>
            <w:tcW w:w="400" w:type="pct"/>
          </w:tcPr>
          <w:p w:rsidR="00877907" w:rsidRPr="007A542A" w:rsidRDefault="00C44FC1" w:rsidP="001E6F47">
            <w:pPr>
              <w:pStyle w:val="AODocTxt"/>
              <w:numPr>
                <w:ilvl w:val="0"/>
                <w:numId w:val="2"/>
              </w:numPr>
              <w:jc w:val="left"/>
              <w:rPr>
                <w:lang w:val="cs-CZ"/>
              </w:rPr>
            </w:pPr>
            <w:r w:rsidRPr="007A542A">
              <w:rPr>
                <w:lang w:val="cs-CZ"/>
              </w:rPr>
              <w:t>5</w:t>
            </w:r>
            <w:r w:rsidR="001E6F47">
              <w:rPr>
                <w:lang w:val="cs-CZ"/>
              </w:rPr>
              <w:t>8</w:t>
            </w:r>
          </w:p>
        </w:tc>
        <w:tc>
          <w:tcPr>
            <w:tcW w:w="1079" w:type="pct"/>
          </w:tcPr>
          <w:p w:rsidR="00877907" w:rsidRPr="007A542A" w:rsidRDefault="00877907" w:rsidP="00F86F85">
            <w:pPr>
              <w:pStyle w:val="AODocTxt"/>
              <w:numPr>
                <w:ilvl w:val="0"/>
                <w:numId w:val="2"/>
              </w:numPr>
              <w:jc w:val="left"/>
              <w:rPr>
                <w:rFonts w:eastAsia="Batang"/>
                <w:lang w:val="cs-CZ"/>
              </w:rPr>
            </w:pPr>
            <w:r w:rsidRPr="007A542A">
              <w:rPr>
                <w:lang w:val="cs-CZ"/>
              </w:rPr>
              <w:t>Exekutivní ředitel</w:t>
            </w:r>
          </w:p>
        </w:tc>
        <w:tc>
          <w:tcPr>
            <w:tcW w:w="1347" w:type="pct"/>
          </w:tcPr>
          <w:p w:rsidR="00877907" w:rsidRPr="007A542A" w:rsidRDefault="00877907" w:rsidP="00F86F85">
            <w:pPr>
              <w:pStyle w:val="AODocTxt"/>
              <w:numPr>
                <w:ilvl w:val="0"/>
                <w:numId w:val="2"/>
              </w:numPr>
              <w:jc w:val="left"/>
              <w:rPr>
                <w:lang w:val="cs-CZ"/>
              </w:rPr>
            </w:pPr>
            <w:r w:rsidRPr="007A542A">
              <w:rPr>
                <w:lang w:val="cs-CZ"/>
              </w:rPr>
              <w:t>Přímětická 86, 669 04, Znojmo, Česká republika</w:t>
            </w:r>
          </w:p>
        </w:tc>
        <w:tc>
          <w:tcPr>
            <w:tcW w:w="1168" w:type="pct"/>
          </w:tcPr>
          <w:p w:rsidR="00877907" w:rsidRPr="007A542A" w:rsidRDefault="00877907" w:rsidP="001E6F47">
            <w:pPr>
              <w:pStyle w:val="AODocTxt"/>
              <w:numPr>
                <w:ilvl w:val="0"/>
                <w:numId w:val="2"/>
              </w:numPr>
              <w:jc w:val="left"/>
              <w:rPr>
                <w:lang w:val="cs-CZ"/>
              </w:rPr>
            </w:pPr>
            <w:r w:rsidRPr="007A542A">
              <w:rPr>
                <w:lang w:val="cs-CZ"/>
              </w:rPr>
              <w:t xml:space="preserve">1. 1. </w:t>
            </w:r>
            <w:r w:rsidR="00E3356C" w:rsidRPr="007A542A">
              <w:rPr>
                <w:lang w:val="cs-CZ"/>
              </w:rPr>
              <w:t>201</w:t>
            </w:r>
            <w:r w:rsidR="001E6F47">
              <w:rPr>
                <w:lang w:val="cs-CZ"/>
              </w:rPr>
              <w:t>5</w:t>
            </w:r>
            <w:r w:rsidRPr="007A542A">
              <w:rPr>
                <w:lang w:val="cs-CZ"/>
              </w:rPr>
              <w:t xml:space="preserve"> – 30. 6. </w:t>
            </w:r>
            <w:r w:rsidR="00E3356C" w:rsidRPr="007A542A">
              <w:rPr>
                <w:lang w:val="cs-CZ"/>
              </w:rPr>
              <w:t>201</w:t>
            </w:r>
            <w:r w:rsidR="001E6F47">
              <w:rPr>
                <w:lang w:val="cs-CZ"/>
              </w:rPr>
              <w:t>5</w:t>
            </w:r>
          </w:p>
        </w:tc>
      </w:tr>
      <w:tr w:rsidR="00877907" w:rsidRPr="007A542A" w:rsidTr="00273692">
        <w:trPr>
          <w:cantSplit/>
        </w:trPr>
        <w:tc>
          <w:tcPr>
            <w:tcW w:w="1006" w:type="pct"/>
          </w:tcPr>
          <w:p w:rsidR="00877907" w:rsidRPr="007A542A" w:rsidRDefault="00877907" w:rsidP="00273692">
            <w:pPr>
              <w:pStyle w:val="AODocTxt"/>
              <w:numPr>
                <w:ilvl w:val="0"/>
                <w:numId w:val="2"/>
              </w:numPr>
              <w:jc w:val="left"/>
              <w:rPr>
                <w:rFonts w:eastAsia="Batang"/>
                <w:lang w:val="cs-CZ"/>
              </w:rPr>
            </w:pPr>
            <w:r w:rsidRPr="007A542A">
              <w:rPr>
                <w:lang w:val="cs-CZ"/>
              </w:rPr>
              <w:t>Marian Rašík</w:t>
            </w:r>
          </w:p>
        </w:tc>
        <w:tc>
          <w:tcPr>
            <w:tcW w:w="400" w:type="pct"/>
          </w:tcPr>
          <w:p w:rsidR="00877907" w:rsidRPr="007A542A" w:rsidRDefault="00E3356C" w:rsidP="001E6F47">
            <w:pPr>
              <w:pStyle w:val="AODocTxt"/>
              <w:numPr>
                <w:ilvl w:val="0"/>
                <w:numId w:val="2"/>
              </w:numPr>
              <w:jc w:val="left"/>
              <w:rPr>
                <w:lang w:val="cs-CZ"/>
              </w:rPr>
            </w:pPr>
            <w:r w:rsidRPr="007A542A">
              <w:rPr>
                <w:lang w:val="cs-CZ"/>
              </w:rPr>
              <w:t>4</w:t>
            </w:r>
            <w:r w:rsidR="001E6F47">
              <w:rPr>
                <w:lang w:val="cs-CZ"/>
              </w:rPr>
              <w:t>4</w:t>
            </w:r>
          </w:p>
        </w:tc>
        <w:tc>
          <w:tcPr>
            <w:tcW w:w="1079" w:type="pct"/>
          </w:tcPr>
          <w:p w:rsidR="00877907" w:rsidRPr="007A542A" w:rsidRDefault="00877907" w:rsidP="00273692">
            <w:pPr>
              <w:pStyle w:val="AODocTxt"/>
              <w:numPr>
                <w:ilvl w:val="0"/>
                <w:numId w:val="2"/>
              </w:numPr>
              <w:jc w:val="left"/>
              <w:rPr>
                <w:rFonts w:eastAsia="Batang"/>
                <w:lang w:val="cs-CZ"/>
              </w:rPr>
            </w:pPr>
            <w:r w:rsidRPr="007A542A">
              <w:rPr>
                <w:lang w:val="cs-CZ"/>
              </w:rPr>
              <w:t>Exekutivní ředitel</w:t>
            </w:r>
          </w:p>
        </w:tc>
        <w:tc>
          <w:tcPr>
            <w:tcW w:w="1347" w:type="pct"/>
          </w:tcPr>
          <w:p w:rsidR="00877907" w:rsidRPr="007A542A" w:rsidRDefault="00877907" w:rsidP="00273692">
            <w:pPr>
              <w:pStyle w:val="AODocTxt"/>
              <w:numPr>
                <w:ilvl w:val="0"/>
                <w:numId w:val="2"/>
              </w:numPr>
              <w:jc w:val="left"/>
              <w:rPr>
                <w:lang w:val="cs-CZ"/>
              </w:rPr>
            </w:pPr>
            <w:r w:rsidRPr="007A542A">
              <w:rPr>
                <w:lang w:val="cs-CZ"/>
              </w:rPr>
              <w:t>Přímětická 86, 669 04, Znojmo, Česká republika</w:t>
            </w:r>
          </w:p>
        </w:tc>
        <w:tc>
          <w:tcPr>
            <w:tcW w:w="1168" w:type="pct"/>
          </w:tcPr>
          <w:p w:rsidR="00877907" w:rsidRPr="007A542A" w:rsidRDefault="00877907" w:rsidP="001E6F47">
            <w:pPr>
              <w:pStyle w:val="AODocTxt"/>
              <w:numPr>
                <w:ilvl w:val="0"/>
                <w:numId w:val="2"/>
              </w:numPr>
              <w:jc w:val="left"/>
              <w:rPr>
                <w:lang w:val="cs-CZ"/>
              </w:rPr>
            </w:pPr>
            <w:r w:rsidRPr="007A542A">
              <w:rPr>
                <w:lang w:val="cs-CZ"/>
              </w:rPr>
              <w:t xml:space="preserve">1. 1. </w:t>
            </w:r>
            <w:r w:rsidR="00E3356C" w:rsidRPr="007A542A">
              <w:rPr>
                <w:lang w:val="cs-CZ"/>
              </w:rPr>
              <w:t>201</w:t>
            </w:r>
            <w:r w:rsidR="001E6F47">
              <w:rPr>
                <w:lang w:val="cs-CZ"/>
              </w:rPr>
              <w:t>5</w:t>
            </w:r>
            <w:r w:rsidRPr="007A542A">
              <w:rPr>
                <w:lang w:val="cs-CZ"/>
              </w:rPr>
              <w:t xml:space="preserve"> – 30. 6. </w:t>
            </w:r>
            <w:r w:rsidR="00E3356C" w:rsidRPr="007A542A">
              <w:rPr>
                <w:lang w:val="cs-CZ"/>
              </w:rPr>
              <w:t>201</w:t>
            </w:r>
            <w:r w:rsidR="001E6F47">
              <w:rPr>
                <w:lang w:val="cs-CZ"/>
              </w:rPr>
              <w:t>5</w:t>
            </w:r>
          </w:p>
        </w:tc>
      </w:tr>
      <w:tr w:rsidR="00877907" w:rsidRPr="007A542A" w:rsidTr="000F4BB0">
        <w:tblPrEx>
          <w:tblCellMar>
            <w:left w:w="108" w:type="dxa"/>
            <w:right w:w="108" w:type="dxa"/>
          </w:tblCellMar>
        </w:tblPrEx>
        <w:tc>
          <w:tcPr>
            <w:tcW w:w="1006" w:type="pct"/>
          </w:tcPr>
          <w:p w:rsidR="00877907" w:rsidRPr="007A542A" w:rsidRDefault="00877907" w:rsidP="00F86F85">
            <w:pPr>
              <w:pStyle w:val="AODocTxt"/>
              <w:numPr>
                <w:ilvl w:val="0"/>
                <w:numId w:val="2"/>
              </w:numPr>
              <w:jc w:val="left"/>
              <w:rPr>
                <w:lang w:val="cs-CZ"/>
              </w:rPr>
            </w:pPr>
            <w:r w:rsidRPr="007A542A">
              <w:rPr>
                <w:lang w:val="cs-CZ"/>
              </w:rPr>
              <w:t>Marek Modecki</w:t>
            </w:r>
          </w:p>
        </w:tc>
        <w:tc>
          <w:tcPr>
            <w:tcW w:w="400" w:type="pct"/>
          </w:tcPr>
          <w:p w:rsidR="00877907" w:rsidRPr="007A542A" w:rsidRDefault="00877907" w:rsidP="001E6F47">
            <w:pPr>
              <w:pStyle w:val="AODocTxt"/>
              <w:numPr>
                <w:ilvl w:val="0"/>
                <w:numId w:val="2"/>
              </w:numPr>
              <w:jc w:val="left"/>
              <w:rPr>
                <w:lang w:val="cs-CZ"/>
              </w:rPr>
            </w:pPr>
            <w:r w:rsidRPr="007A542A">
              <w:rPr>
                <w:lang w:val="cs-CZ"/>
              </w:rPr>
              <w:t>5</w:t>
            </w:r>
            <w:r w:rsidR="001E6F47">
              <w:rPr>
                <w:lang w:val="cs-CZ"/>
              </w:rPr>
              <w:t>6</w:t>
            </w:r>
          </w:p>
        </w:tc>
        <w:tc>
          <w:tcPr>
            <w:tcW w:w="1079" w:type="pct"/>
          </w:tcPr>
          <w:p w:rsidR="00877907" w:rsidRPr="007A542A" w:rsidRDefault="00877907" w:rsidP="00F86F85">
            <w:pPr>
              <w:pStyle w:val="AODocTxt"/>
              <w:numPr>
                <w:ilvl w:val="0"/>
                <w:numId w:val="2"/>
              </w:numPr>
              <w:jc w:val="left"/>
              <w:rPr>
                <w:lang w:val="cs-CZ"/>
              </w:rPr>
            </w:pPr>
            <w:r w:rsidRPr="007A542A">
              <w:rPr>
                <w:lang w:val="cs-CZ"/>
              </w:rPr>
              <w:t>Neexekutivní ředitel, předseda představenstva</w:t>
            </w:r>
          </w:p>
        </w:tc>
        <w:tc>
          <w:tcPr>
            <w:tcW w:w="1347" w:type="pct"/>
          </w:tcPr>
          <w:p w:rsidR="00877907" w:rsidRPr="007A542A" w:rsidRDefault="00877907" w:rsidP="00F86F85">
            <w:pPr>
              <w:pStyle w:val="AODocTxt"/>
              <w:numPr>
                <w:ilvl w:val="0"/>
                <w:numId w:val="2"/>
              </w:numPr>
              <w:jc w:val="left"/>
              <w:rPr>
                <w:lang w:val="cs-CZ"/>
              </w:rPr>
            </w:pPr>
            <w:r w:rsidRPr="007A542A">
              <w:rPr>
                <w:lang w:val="cs-CZ"/>
              </w:rPr>
              <w:t>68-70, boulevard de la Pétrusse, Lucemburk, L-2320, Lucemburské velkovévodství</w:t>
            </w:r>
          </w:p>
        </w:tc>
        <w:tc>
          <w:tcPr>
            <w:tcW w:w="1168" w:type="pct"/>
          </w:tcPr>
          <w:p w:rsidR="00877907" w:rsidRPr="007A542A" w:rsidRDefault="00877907" w:rsidP="001E6F47">
            <w:pPr>
              <w:pStyle w:val="AODocTxt"/>
              <w:numPr>
                <w:ilvl w:val="0"/>
                <w:numId w:val="2"/>
              </w:numPr>
              <w:jc w:val="left"/>
              <w:rPr>
                <w:lang w:val="cs-CZ"/>
              </w:rPr>
            </w:pPr>
            <w:r w:rsidRPr="007A542A">
              <w:rPr>
                <w:lang w:val="cs-CZ"/>
              </w:rPr>
              <w:t xml:space="preserve">1. 1. </w:t>
            </w:r>
            <w:r w:rsidR="00E3356C" w:rsidRPr="007A542A">
              <w:rPr>
                <w:lang w:val="cs-CZ"/>
              </w:rPr>
              <w:t>201</w:t>
            </w:r>
            <w:r w:rsidR="001E6F47">
              <w:rPr>
                <w:lang w:val="cs-CZ"/>
              </w:rPr>
              <w:t>5</w:t>
            </w:r>
            <w:r w:rsidRPr="007A542A">
              <w:rPr>
                <w:lang w:val="cs-CZ"/>
              </w:rPr>
              <w:t xml:space="preserve"> – 30. 6. </w:t>
            </w:r>
            <w:r w:rsidR="00E3356C" w:rsidRPr="007A542A">
              <w:rPr>
                <w:lang w:val="cs-CZ"/>
              </w:rPr>
              <w:t>201</w:t>
            </w:r>
            <w:r w:rsidR="001E6F47">
              <w:rPr>
                <w:lang w:val="cs-CZ"/>
              </w:rPr>
              <w:t>5</w:t>
            </w:r>
          </w:p>
        </w:tc>
      </w:tr>
      <w:tr w:rsidR="00877907" w:rsidRPr="007A542A" w:rsidTr="000F4BB0">
        <w:tblPrEx>
          <w:tblCellMar>
            <w:left w:w="108" w:type="dxa"/>
            <w:right w:w="108" w:type="dxa"/>
          </w:tblCellMar>
        </w:tblPrEx>
        <w:tc>
          <w:tcPr>
            <w:tcW w:w="1006" w:type="pct"/>
          </w:tcPr>
          <w:p w:rsidR="00877907" w:rsidRPr="007A542A" w:rsidRDefault="00877907" w:rsidP="00F86F85">
            <w:pPr>
              <w:pStyle w:val="AODocTxt"/>
              <w:numPr>
                <w:ilvl w:val="0"/>
                <w:numId w:val="2"/>
              </w:numPr>
              <w:jc w:val="left"/>
              <w:rPr>
                <w:lang w:val="cs-CZ"/>
              </w:rPr>
            </w:pPr>
            <w:r w:rsidRPr="007A542A">
              <w:rPr>
                <w:lang w:val="cs-CZ"/>
              </w:rPr>
              <w:t>Jan Sýkora</w:t>
            </w:r>
          </w:p>
        </w:tc>
        <w:tc>
          <w:tcPr>
            <w:tcW w:w="400" w:type="pct"/>
          </w:tcPr>
          <w:p w:rsidR="00877907" w:rsidRPr="007A542A" w:rsidRDefault="00E3356C" w:rsidP="001E6F47">
            <w:pPr>
              <w:pStyle w:val="AODocTxt"/>
              <w:numPr>
                <w:ilvl w:val="0"/>
                <w:numId w:val="2"/>
              </w:numPr>
              <w:jc w:val="left"/>
              <w:rPr>
                <w:lang w:val="cs-CZ"/>
              </w:rPr>
            </w:pPr>
            <w:r w:rsidRPr="007A542A">
              <w:rPr>
                <w:lang w:val="cs-CZ"/>
              </w:rPr>
              <w:t>4</w:t>
            </w:r>
            <w:r w:rsidR="001E6F47">
              <w:rPr>
                <w:lang w:val="cs-CZ"/>
              </w:rPr>
              <w:t>3</w:t>
            </w:r>
          </w:p>
        </w:tc>
        <w:tc>
          <w:tcPr>
            <w:tcW w:w="1079" w:type="pct"/>
          </w:tcPr>
          <w:p w:rsidR="00877907" w:rsidRPr="007A542A" w:rsidRDefault="00877907" w:rsidP="00F86F85">
            <w:pPr>
              <w:pStyle w:val="AODocTxt"/>
              <w:numPr>
                <w:ilvl w:val="0"/>
                <w:numId w:val="2"/>
              </w:numPr>
              <w:jc w:val="left"/>
              <w:rPr>
                <w:lang w:val="cs-CZ"/>
              </w:rPr>
            </w:pPr>
            <w:r w:rsidRPr="007A542A">
              <w:rPr>
                <w:lang w:val="cs-CZ"/>
              </w:rPr>
              <w:t>Neexekutivní ředitel</w:t>
            </w:r>
          </w:p>
        </w:tc>
        <w:tc>
          <w:tcPr>
            <w:tcW w:w="1347" w:type="pct"/>
          </w:tcPr>
          <w:p w:rsidR="00877907" w:rsidRPr="007A542A" w:rsidRDefault="00877907" w:rsidP="00F86F85">
            <w:pPr>
              <w:pStyle w:val="AODocTxt"/>
              <w:numPr>
                <w:ilvl w:val="0"/>
                <w:numId w:val="2"/>
              </w:numPr>
              <w:jc w:val="left"/>
              <w:rPr>
                <w:lang w:val="cs-CZ"/>
              </w:rPr>
            </w:pPr>
            <w:r w:rsidRPr="007A542A">
              <w:rPr>
                <w:lang w:val="cs-CZ"/>
              </w:rPr>
              <w:t>68-70, boulevard de la Pétrusse, Lucemburk, L-2320, Lucemburské velkovévodství</w:t>
            </w:r>
          </w:p>
        </w:tc>
        <w:tc>
          <w:tcPr>
            <w:tcW w:w="1168" w:type="pct"/>
          </w:tcPr>
          <w:p w:rsidR="00877907" w:rsidRPr="007A542A" w:rsidRDefault="00877907" w:rsidP="001E6F47">
            <w:pPr>
              <w:pStyle w:val="AODocTxt"/>
              <w:numPr>
                <w:ilvl w:val="0"/>
                <w:numId w:val="2"/>
              </w:numPr>
              <w:jc w:val="left"/>
              <w:rPr>
                <w:lang w:val="cs-CZ"/>
              </w:rPr>
            </w:pPr>
            <w:r w:rsidRPr="007A542A">
              <w:rPr>
                <w:lang w:val="cs-CZ"/>
              </w:rPr>
              <w:t xml:space="preserve">1. 1. </w:t>
            </w:r>
            <w:r w:rsidR="00E3356C" w:rsidRPr="007A542A">
              <w:rPr>
                <w:lang w:val="cs-CZ"/>
              </w:rPr>
              <w:t>201</w:t>
            </w:r>
            <w:r w:rsidR="001E6F47">
              <w:rPr>
                <w:lang w:val="cs-CZ"/>
              </w:rPr>
              <w:t>5</w:t>
            </w:r>
            <w:r w:rsidRPr="007A542A">
              <w:rPr>
                <w:lang w:val="cs-CZ"/>
              </w:rPr>
              <w:t xml:space="preserve"> – 30. 6. </w:t>
            </w:r>
            <w:r w:rsidR="00E3356C" w:rsidRPr="007A542A">
              <w:rPr>
                <w:lang w:val="cs-CZ"/>
              </w:rPr>
              <w:t>201</w:t>
            </w:r>
            <w:r w:rsidR="001E6F47">
              <w:rPr>
                <w:lang w:val="cs-CZ"/>
              </w:rPr>
              <w:t>5</w:t>
            </w:r>
          </w:p>
        </w:tc>
      </w:tr>
    </w:tbl>
    <w:p w:rsidR="00963AA8" w:rsidRPr="007A542A" w:rsidRDefault="00963AA8" w:rsidP="00963AA8"/>
    <w:p w:rsidR="009E1FAD" w:rsidRPr="007A542A" w:rsidRDefault="009E1FAD" w:rsidP="007C2508">
      <w:pPr>
        <w:jc w:val="both"/>
      </w:pPr>
    </w:p>
    <w:p w:rsidR="007C2508" w:rsidRPr="007A542A" w:rsidRDefault="007C2508" w:rsidP="007C2508">
      <w:pPr>
        <w:jc w:val="both"/>
      </w:pPr>
      <w:r w:rsidRPr="007A542A">
        <w:t>Během prvního pololetí roku 201</w:t>
      </w:r>
      <w:r w:rsidR="00831720">
        <w:t>5</w:t>
      </w:r>
      <w:r w:rsidRPr="007A542A">
        <w:t xml:space="preserve"> nedošlo k žádným personálním změnám v představenstvu Společnosti.</w:t>
      </w:r>
    </w:p>
    <w:p w:rsidR="00457B27" w:rsidRPr="007A542A" w:rsidRDefault="00AE48AE" w:rsidP="009F1A7B">
      <w:pPr>
        <w:pStyle w:val="NormalWeb"/>
        <w:rPr>
          <w:b/>
          <w:bCs/>
        </w:rPr>
      </w:pPr>
      <w:r w:rsidRPr="00B20AC0">
        <w:rPr>
          <w:b/>
          <w:bCs/>
        </w:rPr>
        <w:t>Účetní jednotky Skupiny</w:t>
      </w:r>
    </w:p>
    <w:p w:rsidR="006E6DC9" w:rsidRPr="007A542A" w:rsidRDefault="006E6DC9" w:rsidP="00046379">
      <w:pPr>
        <w:pStyle w:val="NormalWeb"/>
        <w:spacing w:after="0" w:afterAutospacing="0"/>
        <w:jc w:val="both"/>
        <w:rPr>
          <w:b/>
          <w:bCs/>
        </w:rPr>
      </w:pPr>
      <w:r w:rsidRPr="007A542A">
        <w:t xml:space="preserve">K přepočtu základního </w:t>
      </w:r>
      <w:r w:rsidR="006D3363" w:rsidRPr="007A542A">
        <w:t>kapitálu</w:t>
      </w:r>
      <w:r w:rsidR="0070412E" w:rsidRPr="007A542A">
        <w:t xml:space="preserve"> dceřiných společností jsou</w:t>
      </w:r>
      <w:r w:rsidRPr="007A542A">
        <w:t xml:space="preserve"> použit</w:t>
      </w:r>
      <w:r w:rsidR="0070412E" w:rsidRPr="007A542A">
        <w:t>y</w:t>
      </w:r>
      <w:r w:rsidRPr="007A542A">
        <w:t xml:space="preserve"> kurz</w:t>
      </w:r>
      <w:r w:rsidR="0070412E" w:rsidRPr="007A542A">
        <w:t>y</w:t>
      </w:r>
      <w:r w:rsidRPr="007A542A">
        <w:t xml:space="preserve"> </w:t>
      </w:r>
      <w:r w:rsidR="00F852FB" w:rsidRPr="007A542A">
        <w:t>Kč</w:t>
      </w:r>
      <w:r w:rsidRPr="007A542A">
        <w:t>/</w:t>
      </w:r>
      <w:r w:rsidR="006E6EB9" w:rsidRPr="007A542A">
        <w:t>EUR</w:t>
      </w:r>
      <w:r w:rsidRPr="007A542A">
        <w:t xml:space="preserve"> </w:t>
      </w:r>
      <w:r w:rsidR="009D646A" w:rsidRPr="007A542A">
        <w:t>2</w:t>
      </w:r>
      <w:r w:rsidR="00265127" w:rsidRPr="007A542A">
        <w:t>7</w:t>
      </w:r>
      <w:r w:rsidR="009D646A" w:rsidRPr="007A542A">
        <w:t>,</w:t>
      </w:r>
      <w:r w:rsidR="00831720">
        <w:t>25</w:t>
      </w:r>
      <w:r w:rsidR="0070412E" w:rsidRPr="007A542A">
        <w:t xml:space="preserve"> </w:t>
      </w:r>
      <w:r w:rsidR="00CC00E4" w:rsidRPr="007A542A">
        <w:t xml:space="preserve">a </w:t>
      </w:r>
      <w:r w:rsidR="00F9620A" w:rsidRPr="007A542A">
        <w:t>USD</w:t>
      </w:r>
      <w:r w:rsidR="00CC00E4" w:rsidRPr="007A542A">
        <w:t>/</w:t>
      </w:r>
      <w:r w:rsidR="00F9620A" w:rsidRPr="007A542A">
        <w:t xml:space="preserve">EUR </w:t>
      </w:r>
      <w:r w:rsidR="003333A0" w:rsidRPr="007A542A">
        <w:t>1,</w:t>
      </w:r>
      <w:r w:rsidR="00831720">
        <w:t>119</w:t>
      </w:r>
      <w:r w:rsidR="0070412E" w:rsidRPr="007A542A">
        <w:t xml:space="preserve"> platné</w:t>
      </w:r>
      <w:r w:rsidRPr="007A542A">
        <w:t xml:space="preserve"> k 30. červnu </w:t>
      </w:r>
      <w:r w:rsidR="00CF4152" w:rsidRPr="007A542A">
        <w:t>201</w:t>
      </w:r>
      <w:r w:rsidR="00831720">
        <w:t>5</w:t>
      </w:r>
      <w:r w:rsidRPr="007A542A">
        <w:t>.</w:t>
      </w:r>
    </w:p>
    <w:p w:rsidR="005B47BF" w:rsidRPr="007A542A" w:rsidRDefault="005B47BF" w:rsidP="007A5006">
      <w:pPr>
        <w:pStyle w:val="NormalWeb"/>
      </w:pPr>
    </w:p>
    <w:tbl>
      <w:tblPr>
        <w:tblpPr w:leftFromText="141" w:rightFromText="141" w:vertAnchor="text" w:horzAnchor="margin" w:tblpXSpec="center"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635"/>
        <w:gridCol w:w="1500"/>
        <w:gridCol w:w="1105"/>
        <w:gridCol w:w="1250"/>
        <w:gridCol w:w="2004"/>
      </w:tblGrid>
      <w:tr w:rsidR="00B7680E" w:rsidRPr="007A542A" w:rsidTr="0070412E">
        <w:tc>
          <w:tcPr>
            <w:tcW w:w="966" w:type="pct"/>
          </w:tcPr>
          <w:p w:rsidR="0079799E" w:rsidRPr="007A542A" w:rsidRDefault="00B7680E" w:rsidP="00F86F85">
            <w:pPr>
              <w:pStyle w:val="NormalWeb"/>
              <w:jc w:val="center"/>
              <w:rPr>
                <w:b/>
                <w:bCs/>
                <w:sz w:val="22"/>
                <w:szCs w:val="22"/>
              </w:rPr>
            </w:pPr>
            <w:r w:rsidRPr="007A542A">
              <w:rPr>
                <w:b/>
                <w:bCs/>
                <w:sz w:val="22"/>
                <w:szCs w:val="22"/>
              </w:rPr>
              <w:lastRenderedPageBreak/>
              <w:t>Název společnosti</w:t>
            </w:r>
          </w:p>
        </w:tc>
        <w:tc>
          <w:tcPr>
            <w:tcW w:w="880" w:type="pct"/>
          </w:tcPr>
          <w:p w:rsidR="0079799E" w:rsidRPr="007A542A" w:rsidRDefault="00B7680E" w:rsidP="00F86F85">
            <w:pPr>
              <w:pStyle w:val="NormalWeb"/>
              <w:jc w:val="center"/>
              <w:rPr>
                <w:b/>
                <w:bCs/>
                <w:sz w:val="22"/>
                <w:szCs w:val="22"/>
              </w:rPr>
            </w:pPr>
            <w:r w:rsidRPr="007A542A">
              <w:rPr>
                <w:b/>
                <w:bCs/>
                <w:sz w:val="22"/>
                <w:szCs w:val="22"/>
              </w:rPr>
              <w:t>Datum převzetí</w:t>
            </w:r>
            <w:r w:rsidR="00A53A3C" w:rsidRPr="007A542A">
              <w:rPr>
                <w:b/>
                <w:bCs/>
                <w:sz w:val="22"/>
                <w:szCs w:val="22"/>
              </w:rPr>
              <w:t>/zápisu</w:t>
            </w:r>
          </w:p>
        </w:tc>
        <w:tc>
          <w:tcPr>
            <w:tcW w:w="807" w:type="pct"/>
          </w:tcPr>
          <w:p w:rsidR="0079799E" w:rsidRPr="007A542A" w:rsidRDefault="00B7680E" w:rsidP="00F86F85">
            <w:pPr>
              <w:pStyle w:val="NormalWeb"/>
              <w:jc w:val="center"/>
              <w:rPr>
                <w:b/>
                <w:bCs/>
                <w:sz w:val="22"/>
                <w:szCs w:val="22"/>
              </w:rPr>
            </w:pPr>
            <w:r w:rsidRPr="007A542A">
              <w:rPr>
                <w:b/>
                <w:bCs/>
                <w:sz w:val="22"/>
                <w:szCs w:val="22"/>
              </w:rPr>
              <w:t>Podíly v dceřiných společnostech</w:t>
            </w:r>
          </w:p>
        </w:tc>
        <w:tc>
          <w:tcPr>
            <w:tcW w:w="595" w:type="pct"/>
          </w:tcPr>
          <w:p w:rsidR="0079799E" w:rsidRPr="007A542A" w:rsidRDefault="00B7680E" w:rsidP="00016EC9">
            <w:pPr>
              <w:pStyle w:val="NormalWeb"/>
              <w:jc w:val="center"/>
              <w:rPr>
                <w:b/>
                <w:bCs/>
                <w:sz w:val="22"/>
                <w:szCs w:val="22"/>
              </w:rPr>
            </w:pPr>
            <w:r w:rsidRPr="007A542A">
              <w:rPr>
                <w:b/>
                <w:bCs/>
                <w:sz w:val="22"/>
                <w:szCs w:val="22"/>
              </w:rPr>
              <w:t>Základní kapitál</w:t>
            </w:r>
          </w:p>
        </w:tc>
        <w:tc>
          <w:tcPr>
            <w:tcW w:w="673" w:type="pct"/>
          </w:tcPr>
          <w:p w:rsidR="0079799E" w:rsidRPr="007A542A" w:rsidRDefault="00B7680E" w:rsidP="00F86F85">
            <w:pPr>
              <w:pStyle w:val="NormalWeb"/>
              <w:jc w:val="center"/>
              <w:rPr>
                <w:b/>
                <w:bCs/>
                <w:sz w:val="22"/>
                <w:szCs w:val="22"/>
              </w:rPr>
            </w:pPr>
            <w:r w:rsidRPr="007A542A">
              <w:rPr>
                <w:b/>
                <w:bCs/>
                <w:sz w:val="22"/>
                <w:szCs w:val="22"/>
              </w:rPr>
              <w:t>Základní kapitál (v tis. EUR)</w:t>
            </w:r>
          </w:p>
        </w:tc>
        <w:tc>
          <w:tcPr>
            <w:tcW w:w="1079" w:type="pct"/>
          </w:tcPr>
          <w:p w:rsidR="0079799E" w:rsidRPr="007A542A" w:rsidRDefault="00B7680E" w:rsidP="00F86F85">
            <w:pPr>
              <w:pStyle w:val="NormalWeb"/>
              <w:jc w:val="center"/>
              <w:rPr>
                <w:b/>
                <w:bCs/>
                <w:sz w:val="22"/>
                <w:szCs w:val="22"/>
              </w:rPr>
            </w:pPr>
            <w:r w:rsidRPr="007A542A">
              <w:rPr>
                <w:b/>
                <w:bCs/>
                <w:sz w:val="22"/>
                <w:szCs w:val="22"/>
              </w:rPr>
              <w:t>Počet akcií a jejich nominální hodnota</w:t>
            </w:r>
          </w:p>
        </w:tc>
      </w:tr>
      <w:tr w:rsidR="00B7680E" w:rsidRPr="007A542A" w:rsidTr="0070412E">
        <w:trPr>
          <w:trHeight w:val="843"/>
        </w:trPr>
        <w:tc>
          <w:tcPr>
            <w:tcW w:w="966" w:type="pct"/>
          </w:tcPr>
          <w:p w:rsidR="007C2D5B" w:rsidRPr="007A542A" w:rsidRDefault="007C2D5B" w:rsidP="00F86F85">
            <w:pPr>
              <w:autoSpaceDE w:val="0"/>
              <w:autoSpaceDN w:val="0"/>
              <w:adjustRightInd w:val="0"/>
              <w:jc w:val="center"/>
              <w:rPr>
                <w:bCs/>
                <w:sz w:val="18"/>
                <w:szCs w:val="18"/>
              </w:rPr>
            </w:pPr>
          </w:p>
          <w:p w:rsidR="0079799E" w:rsidRPr="007A542A" w:rsidRDefault="003E6394" w:rsidP="00F86F85">
            <w:pPr>
              <w:autoSpaceDE w:val="0"/>
              <w:autoSpaceDN w:val="0"/>
              <w:adjustRightInd w:val="0"/>
              <w:jc w:val="center"/>
              <w:rPr>
                <w:bCs/>
                <w:sz w:val="18"/>
                <w:szCs w:val="18"/>
                <w:vertAlign w:val="superscript"/>
              </w:rPr>
            </w:pPr>
            <w:r w:rsidRPr="007A542A">
              <w:rPr>
                <w:bCs/>
                <w:sz w:val="18"/>
                <w:szCs w:val="18"/>
              </w:rPr>
              <w:t>PEGAS NON</w:t>
            </w:r>
            <w:r w:rsidR="004444BC" w:rsidRPr="007A542A">
              <w:rPr>
                <w:bCs/>
                <w:sz w:val="18"/>
                <w:szCs w:val="18"/>
              </w:rPr>
              <w:t>WOVEN</w:t>
            </w:r>
            <w:r w:rsidR="009F1A7B" w:rsidRPr="007A542A">
              <w:rPr>
                <w:bCs/>
                <w:sz w:val="18"/>
                <w:szCs w:val="18"/>
              </w:rPr>
              <w:t>S s.r.o.</w:t>
            </w:r>
            <w:r w:rsidR="00543C8B" w:rsidRPr="007A542A">
              <w:rPr>
                <w:sz w:val="18"/>
                <w:szCs w:val="18"/>
              </w:rPr>
              <w:t>*</w:t>
            </w:r>
          </w:p>
        </w:tc>
        <w:tc>
          <w:tcPr>
            <w:tcW w:w="880" w:type="pct"/>
          </w:tcPr>
          <w:p w:rsidR="007C2D5B" w:rsidRPr="007A542A" w:rsidRDefault="007C2D5B" w:rsidP="00F86F85">
            <w:pPr>
              <w:autoSpaceDE w:val="0"/>
              <w:autoSpaceDN w:val="0"/>
              <w:adjustRightInd w:val="0"/>
              <w:jc w:val="center"/>
              <w:rPr>
                <w:bCs/>
                <w:sz w:val="18"/>
                <w:szCs w:val="18"/>
              </w:rPr>
            </w:pPr>
          </w:p>
          <w:p w:rsidR="0079799E" w:rsidRPr="007A542A" w:rsidRDefault="009402CC" w:rsidP="00F86F85">
            <w:pPr>
              <w:autoSpaceDE w:val="0"/>
              <w:autoSpaceDN w:val="0"/>
              <w:adjustRightInd w:val="0"/>
              <w:jc w:val="center"/>
              <w:rPr>
                <w:bCs/>
                <w:sz w:val="18"/>
                <w:szCs w:val="18"/>
              </w:rPr>
            </w:pPr>
            <w:r w:rsidRPr="007A542A">
              <w:rPr>
                <w:bCs/>
                <w:sz w:val="18"/>
                <w:szCs w:val="18"/>
              </w:rPr>
              <w:t>5. 12. 2005</w:t>
            </w:r>
          </w:p>
        </w:tc>
        <w:tc>
          <w:tcPr>
            <w:tcW w:w="807" w:type="pct"/>
          </w:tcPr>
          <w:p w:rsidR="007C2D5B" w:rsidRPr="007A542A" w:rsidRDefault="007C2D5B" w:rsidP="00F86F85">
            <w:pPr>
              <w:autoSpaceDE w:val="0"/>
              <w:autoSpaceDN w:val="0"/>
              <w:adjustRightInd w:val="0"/>
              <w:jc w:val="center"/>
              <w:rPr>
                <w:bCs/>
                <w:sz w:val="18"/>
                <w:szCs w:val="18"/>
              </w:rPr>
            </w:pPr>
          </w:p>
          <w:p w:rsidR="0079799E" w:rsidRPr="007A542A" w:rsidRDefault="007C2D5B" w:rsidP="00F86F85">
            <w:pPr>
              <w:autoSpaceDE w:val="0"/>
              <w:autoSpaceDN w:val="0"/>
              <w:adjustRightInd w:val="0"/>
              <w:jc w:val="center"/>
              <w:rPr>
                <w:bCs/>
                <w:sz w:val="18"/>
                <w:szCs w:val="18"/>
              </w:rPr>
            </w:pPr>
            <w:r w:rsidRPr="007A542A">
              <w:rPr>
                <w:bCs/>
                <w:sz w:val="18"/>
                <w:szCs w:val="18"/>
              </w:rPr>
              <w:t>100</w:t>
            </w:r>
            <w:r w:rsidR="00865CEE" w:rsidRPr="007A542A">
              <w:rPr>
                <w:bCs/>
                <w:sz w:val="18"/>
                <w:szCs w:val="18"/>
              </w:rPr>
              <w:t xml:space="preserve"> </w:t>
            </w:r>
            <w:r w:rsidRPr="007A542A">
              <w:rPr>
                <w:bCs/>
                <w:sz w:val="18"/>
                <w:szCs w:val="18"/>
              </w:rPr>
              <w:t>%</w:t>
            </w:r>
          </w:p>
        </w:tc>
        <w:tc>
          <w:tcPr>
            <w:tcW w:w="595" w:type="pct"/>
          </w:tcPr>
          <w:p w:rsidR="004444BC" w:rsidRPr="007A542A" w:rsidRDefault="004444BC" w:rsidP="00F86F85">
            <w:pPr>
              <w:autoSpaceDE w:val="0"/>
              <w:autoSpaceDN w:val="0"/>
              <w:adjustRightInd w:val="0"/>
              <w:jc w:val="center"/>
              <w:rPr>
                <w:bCs/>
                <w:sz w:val="18"/>
                <w:szCs w:val="18"/>
              </w:rPr>
            </w:pPr>
          </w:p>
          <w:p w:rsidR="0079799E" w:rsidRPr="007A542A" w:rsidRDefault="007C2D5B" w:rsidP="00F86F85">
            <w:pPr>
              <w:autoSpaceDE w:val="0"/>
              <w:autoSpaceDN w:val="0"/>
              <w:adjustRightInd w:val="0"/>
              <w:jc w:val="center"/>
              <w:rPr>
                <w:bCs/>
                <w:sz w:val="18"/>
                <w:szCs w:val="18"/>
              </w:rPr>
            </w:pPr>
            <w:r w:rsidRPr="007A542A">
              <w:rPr>
                <w:bCs/>
                <w:sz w:val="18"/>
                <w:szCs w:val="18"/>
              </w:rPr>
              <w:t>3</w:t>
            </w:r>
            <w:r w:rsidR="001657F0" w:rsidRPr="007A542A">
              <w:rPr>
                <w:bCs/>
                <w:sz w:val="18"/>
                <w:szCs w:val="18"/>
              </w:rPr>
              <w:t> </w:t>
            </w:r>
            <w:r w:rsidRPr="007A542A">
              <w:rPr>
                <w:bCs/>
                <w:sz w:val="18"/>
                <w:szCs w:val="18"/>
              </w:rPr>
              <w:t>633</w:t>
            </w:r>
            <w:r w:rsidR="00A31A7C" w:rsidRPr="007A542A">
              <w:rPr>
                <w:bCs/>
                <w:sz w:val="18"/>
                <w:szCs w:val="18"/>
              </w:rPr>
              <w:t xml:space="preserve"> tis. Kč</w:t>
            </w:r>
          </w:p>
        </w:tc>
        <w:tc>
          <w:tcPr>
            <w:tcW w:w="673" w:type="pct"/>
          </w:tcPr>
          <w:p w:rsidR="00F9317B" w:rsidRPr="007A542A" w:rsidRDefault="00F9317B" w:rsidP="006B723D">
            <w:pPr>
              <w:autoSpaceDE w:val="0"/>
              <w:autoSpaceDN w:val="0"/>
              <w:adjustRightInd w:val="0"/>
              <w:jc w:val="center"/>
              <w:rPr>
                <w:bCs/>
                <w:sz w:val="18"/>
                <w:szCs w:val="18"/>
              </w:rPr>
            </w:pPr>
          </w:p>
          <w:p w:rsidR="0079799E" w:rsidRPr="007A542A" w:rsidRDefault="00F9317B" w:rsidP="00831720">
            <w:pPr>
              <w:autoSpaceDE w:val="0"/>
              <w:autoSpaceDN w:val="0"/>
              <w:adjustRightInd w:val="0"/>
              <w:jc w:val="center"/>
              <w:rPr>
                <w:bCs/>
                <w:sz w:val="18"/>
                <w:szCs w:val="18"/>
              </w:rPr>
            </w:pPr>
            <w:r w:rsidRPr="007A542A">
              <w:rPr>
                <w:bCs/>
                <w:sz w:val="18"/>
                <w:szCs w:val="18"/>
              </w:rPr>
              <w:t>1</w:t>
            </w:r>
            <w:r w:rsidR="00265127" w:rsidRPr="007A542A">
              <w:rPr>
                <w:bCs/>
                <w:sz w:val="18"/>
                <w:szCs w:val="18"/>
              </w:rPr>
              <w:t>3</w:t>
            </w:r>
            <w:r w:rsidR="00831720">
              <w:rPr>
                <w:bCs/>
                <w:sz w:val="18"/>
                <w:szCs w:val="18"/>
              </w:rPr>
              <w:t>3</w:t>
            </w:r>
          </w:p>
        </w:tc>
        <w:tc>
          <w:tcPr>
            <w:tcW w:w="1079" w:type="pct"/>
          </w:tcPr>
          <w:p w:rsidR="007C2D5B" w:rsidRPr="007A542A" w:rsidRDefault="007C2D5B" w:rsidP="00F86F85">
            <w:pPr>
              <w:autoSpaceDE w:val="0"/>
              <w:autoSpaceDN w:val="0"/>
              <w:adjustRightInd w:val="0"/>
              <w:jc w:val="center"/>
              <w:rPr>
                <w:bCs/>
                <w:sz w:val="18"/>
                <w:szCs w:val="18"/>
              </w:rPr>
            </w:pPr>
          </w:p>
          <w:p w:rsidR="0079799E" w:rsidRPr="007A542A" w:rsidRDefault="007C2D5B" w:rsidP="00F86F85">
            <w:pPr>
              <w:autoSpaceDE w:val="0"/>
              <w:autoSpaceDN w:val="0"/>
              <w:adjustRightInd w:val="0"/>
              <w:jc w:val="center"/>
              <w:rPr>
                <w:bCs/>
                <w:sz w:val="18"/>
                <w:szCs w:val="18"/>
              </w:rPr>
            </w:pPr>
            <w:r w:rsidRPr="007A542A">
              <w:rPr>
                <w:bCs/>
                <w:sz w:val="18"/>
                <w:szCs w:val="18"/>
              </w:rPr>
              <w:t>100</w:t>
            </w:r>
            <w:r w:rsidR="00865CEE" w:rsidRPr="007A542A">
              <w:rPr>
                <w:bCs/>
                <w:sz w:val="18"/>
                <w:szCs w:val="18"/>
              </w:rPr>
              <w:t xml:space="preserve"> </w:t>
            </w:r>
            <w:r w:rsidRPr="007A542A">
              <w:rPr>
                <w:bCs/>
                <w:sz w:val="18"/>
                <w:szCs w:val="18"/>
              </w:rPr>
              <w:t xml:space="preserve">% </w:t>
            </w:r>
            <w:r w:rsidR="00B7680E" w:rsidRPr="007A542A">
              <w:rPr>
                <w:bCs/>
                <w:sz w:val="18"/>
                <w:szCs w:val="18"/>
              </w:rPr>
              <w:t xml:space="preserve">podíl v hodnotě </w:t>
            </w:r>
            <w:r w:rsidRPr="007A542A">
              <w:rPr>
                <w:bCs/>
                <w:sz w:val="18"/>
                <w:szCs w:val="18"/>
              </w:rPr>
              <w:t>3</w:t>
            </w:r>
            <w:r w:rsidR="00952729" w:rsidRPr="007A542A">
              <w:rPr>
                <w:b/>
                <w:bCs/>
                <w:sz w:val="22"/>
                <w:szCs w:val="22"/>
              </w:rPr>
              <w:t> </w:t>
            </w:r>
            <w:r w:rsidRPr="007A542A">
              <w:rPr>
                <w:bCs/>
                <w:sz w:val="18"/>
                <w:szCs w:val="18"/>
              </w:rPr>
              <w:t>633</w:t>
            </w:r>
            <w:r w:rsidR="003E6394" w:rsidRPr="007A542A">
              <w:rPr>
                <w:bCs/>
                <w:sz w:val="18"/>
                <w:szCs w:val="18"/>
              </w:rPr>
              <w:t xml:space="preserve"> t</w:t>
            </w:r>
            <w:r w:rsidR="00B7680E" w:rsidRPr="007A542A">
              <w:rPr>
                <w:bCs/>
                <w:sz w:val="18"/>
                <w:szCs w:val="18"/>
              </w:rPr>
              <w:t>is. Kč</w:t>
            </w:r>
          </w:p>
        </w:tc>
      </w:tr>
      <w:tr w:rsidR="00B7680E" w:rsidRPr="007A542A" w:rsidTr="0070412E">
        <w:tc>
          <w:tcPr>
            <w:tcW w:w="966" w:type="pct"/>
          </w:tcPr>
          <w:p w:rsidR="009F1A7B" w:rsidRPr="007A542A" w:rsidRDefault="009F1A7B" w:rsidP="00F86F85">
            <w:pPr>
              <w:autoSpaceDE w:val="0"/>
              <w:autoSpaceDN w:val="0"/>
              <w:adjustRightInd w:val="0"/>
              <w:jc w:val="center"/>
              <w:rPr>
                <w:bCs/>
                <w:sz w:val="18"/>
                <w:szCs w:val="18"/>
              </w:rPr>
            </w:pPr>
          </w:p>
          <w:p w:rsidR="0092001F" w:rsidRPr="007A542A" w:rsidRDefault="009402CC" w:rsidP="00F86F85">
            <w:pPr>
              <w:autoSpaceDE w:val="0"/>
              <w:autoSpaceDN w:val="0"/>
              <w:adjustRightInd w:val="0"/>
              <w:jc w:val="center"/>
              <w:rPr>
                <w:bCs/>
                <w:sz w:val="18"/>
                <w:szCs w:val="18"/>
              </w:rPr>
            </w:pPr>
            <w:r w:rsidRPr="007A542A">
              <w:rPr>
                <w:bCs/>
                <w:sz w:val="18"/>
                <w:szCs w:val="18"/>
              </w:rPr>
              <w:t>PEGAS</w:t>
            </w:r>
            <w:r w:rsidR="0092001F" w:rsidRPr="007A542A">
              <w:rPr>
                <w:bCs/>
                <w:sz w:val="18"/>
                <w:szCs w:val="18"/>
              </w:rPr>
              <w:t>-NT a.s.</w:t>
            </w:r>
          </w:p>
        </w:tc>
        <w:tc>
          <w:tcPr>
            <w:tcW w:w="880" w:type="pct"/>
          </w:tcPr>
          <w:p w:rsidR="009F1A7B" w:rsidRPr="007A542A" w:rsidRDefault="009F1A7B" w:rsidP="00F86F85">
            <w:pPr>
              <w:autoSpaceDE w:val="0"/>
              <w:autoSpaceDN w:val="0"/>
              <w:adjustRightInd w:val="0"/>
              <w:jc w:val="center"/>
              <w:rPr>
                <w:bCs/>
                <w:sz w:val="18"/>
                <w:szCs w:val="18"/>
              </w:rPr>
            </w:pPr>
          </w:p>
          <w:p w:rsidR="009402CC" w:rsidRPr="007A542A" w:rsidRDefault="009402CC" w:rsidP="00F86F85">
            <w:pPr>
              <w:autoSpaceDE w:val="0"/>
              <w:autoSpaceDN w:val="0"/>
              <w:adjustRightInd w:val="0"/>
              <w:jc w:val="center"/>
              <w:rPr>
                <w:bCs/>
                <w:sz w:val="18"/>
                <w:szCs w:val="18"/>
              </w:rPr>
            </w:pPr>
            <w:r w:rsidRPr="007A542A">
              <w:rPr>
                <w:bCs/>
                <w:sz w:val="18"/>
                <w:szCs w:val="18"/>
              </w:rPr>
              <w:t>14. 12. 2005</w:t>
            </w:r>
          </w:p>
          <w:p w:rsidR="0092001F" w:rsidRPr="007A542A" w:rsidRDefault="0092001F" w:rsidP="00F86F85">
            <w:pPr>
              <w:autoSpaceDE w:val="0"/>
              <w:autoSpaceDN w:val="0"/>
              <w:adjustRightInd w:val="0"/>
              <w:jc w:val="center"/>
              <w:rPr>
                <w:bCs/>
                <w:sz w:val="18"/>
                <w:szCs w:val="18"/>
              </w:rPr>
            </w:pPr>
          </w:p>
        </w:tc>
        <w:tc>
          <w:tcPr>
            <w:tcW w:w="807" w:type="pct"/>
          </w:tcPr>
          <w:p w:rsidR="009F1A7B" w:rsidRPr="007A542A" w:rsidRDefault="009F1A7B" w:rsidP="00F86F85">
            <w:pPr>
              <w:autoSpaceDE w:val="0"/>
              <w:autoSpaceDN w:val="0"/>
              <w:adjustRightInd w:val="0"/>
              <w:jc w:val="center"/>
              <w:rPr>
                <w:bCs/>
                <w:sz w:val="18"/>
                <w:szCs w:val="18"/>
              </w:rPr>
            </w:pPr>
          </w:p>
          <w:p w:rsidR="0092001F" w:rsidRPr="007A542A" w:rsidRDefault="007C2D5B" w:rsidP="00F86F85">
            <w:pPr>
              <w:autoSpaceDE w:val="0"/>
              <w:autoSpaceDN w:val="0"/>
              <w:adjustRightInd w:val="0"/>
              <w:jc w:val="center"/>
              <w:rPr>
                <w:bCs/>
                <w:sz w:val="18"/>
                <w:szCs w:val="18"/>
              </w:rPr>
            </w:pPr>
            <w:r w:rsidRPr="007A542A">
              <w:rPr>
                <w:bCs/>
                <w:sz w:val="18"/>
                <w:szCs w:val="18"/>
              </w:rPr>
              <w:t>100</w:t>
            </w:r>
            <w:r w:rsidR="00865CEE" w:rsidRPr="007A542A">
              <w:rPr>
                <w:bCs/>
                <w:sz w:val="18"/>
                <w:szCs w:val="18"/>
              </w:rPr>
              <w:t xml:space="preserve"> </w:t>
            </w:r>
            <w:r w:rsidRPr="007A542A">
              <w:rPr>
                <w:bCs/>
                <w:sz w:val="18"/>
                <w:szCs w:val="18"/>
              </w:rPr>
              <w:t>%</w:t>
            </w:r>
          </w:p>
        </w:tc>
        <w:tc>
          <w:tcPr>
            <w:tcW w:w="595" w:type="pct"/>
          </w:tcPr>
          <w:p w:rsidR="009F1A7B" w:rsidRPr="007A542A" w:rsidRDefault="009F1A7B" w:rsidP="00F86F85">
            <w:pPr>
              <w:autoSpaceDE w:val="0"/>
              <w:autoSpaceDN w:val="0"/>
              <w:adjustRightInd w:val="0"/>
              <w:jc w:val="center"/>
              <w:rPr>
                <w:bCs/>
                <w:sz w:val="18"/>
                <w:szCs w:val="18"/>
              </w:rPr>
            </w:pPr>
          </w:p>
          <w:p w:rsidR="007C2D5B" w:rsidRPr="007A542A" w:rsidRDefault="007C2D5B" w:rsidP="00F86F85">
            <w:pPr>
              <w:autoSpaceDE w:val="0"/>
              <w:autoSpaceDN w:val="0"/>
              <w:adjustRightInd w:val="0"/>
              <w:jc w:val="center"/>
              <w:rPr>
                <w:bCs/>
                <w:sz w:val="18"/>
                <w:szCs w:val="18"/>
              </w:rPr>
            </w:pPr>
            <w:r w:rsidRPr="007A542A">
              <w:rPr>
                <w:bCs/>
                <w:sz w:val="18"/>
                <w:szCs w:val="18"/>
              </w:rPr>
              <w:t>550</w:t>
            </w:r>
            <w:r w:rsidR="00136A1A" w:rsidRPr="007A542A">
              <w:rPr>
                <w:bCs/>
                <w:sz w:val="18"/>
                <w:szCs w:val="18"/>
              </w:rPr>
              <w:t xml:space="preserve"> </w:t>
            </w:r>
            <w:r w:rsidRPr="007A542A">
              <w:rPr>
                <w:bCs/>
                <w:sz w:val="18"/>
                <w:szCs w:val="18"/>
              </w:rPr>
              <w:t>000</w:t>
            </w:r>
            <w:r w:rsidR="00A31A7C" w:rsidRPr="007A542A">
              <w:rPr>
                <w:bCs/>
                <w:sz w:val="18"/>
                <w:szCs w:val="18"/>
              </w:rPr>
              <w:t xml:space="preserve"> tis. Kč</w:t>
            </w:r>
          </w:p>
          <w:p w:rsidR="0092001F" w:rsidRPr="007A542A" w:rsidRDefault="0092001F" w:rsidP="00F86F85">
            <w:pPr>
              <w:autoSpaceDE w:val="0"/>
              <w:autoSpaceDN w:val="0"/>
              <w:adjustRightInd w:val="0"/>
              <w:jc w:val="center"/>
              <w:rPr>
                <w:bCs/>
                <w:sz w:val="18"/>
                <w:szCs w:val="18"/>
              </w:rPr>
            </w:pPr>
          </w:p>
        </w:tc>
        <w:tc>
          <w:tcPr>
            <w:tcW w:w="673" w:type="pct"/>
          </w:tcPr>
          <w:p w:rsidR="00F9317B" w:rsidRPr="007A542A" w:rsidRDefault="00F9317B" w:rsidP="00F86F85">
            <w:pPr>
              <w:autoSpaceDE w:val="0"/>
              <w:autoSpaceDN w:val="0"/>
              <w:adjustRightInd w:val="0"/>
              <w:jc w:val="center"/>
              <w:rPr>
                <w:bCs/>
                <w:sz w:val="18"/>
                <w:szCs w:val="18"/>
              </w:rPr>
            </w:pPr>
          </w:p>
          <w:p w:rsidR="0092001F" w:rsidRPr="007A542A" w:rsidRDefault="00265127" w:rsidP="00831720">
            <w:pPr>
              <w:autoSpaceDE w:val="0"/>
              <w:autoSpaceDN w:val="0"/>
              <w:adjustRightInd w:val="0"/>
              <w:jc w:val="center"/>
              <w:rPr>
                <w:bCs/>
                <w:sz w:val="18"/>
                <w:szCs w:val="18"/>
              </w:rPr>
            </w:pPr>
            <w:r w:rsidRPr="007A542A">
              <w:rPr>
                <w:bCs/>
                <w:sz w:val="18"/>
                <w:szCs w:val="18"/>
              </w:rPr>
              <w:t xml:space="preserve">20 </w:t>
            </w:r>
            <w:r w:rsidR="00831720">
              <w:rPr>
                <w:bCs/>
                <w:sz w:val="18"/>
                <w:szCs w:val="18"/>
              </w:rPr>
              <w:t>183</w:t>
            </w:r>
          </w:p>
        </w:tc>
        <w:tc>
          <w:tcPr>
            <w:tcW w:w="1079" w:type="pct"/>
          </w:tcPr>
          <w:p w:rsidR="009F1A7B" w:rsidRPr="007A542A" w:rsidRDefault="009F1A7B" w:rsidP="00F86F85">
            <w:pPr>
              <w:autoSpaceDE w:val="0"/>
              <w:autoSpaceDN w:val="0"/>
              <w:adjustRightInd w:val="0"/>
              <w:jc w:val="center"/>
              <w:rPr>
                <w:bCs/>
                <w:sz w:val="18"/>
                <w:szCs w:val="18"/>
              </w:rPr>
            </w:pPr>
          </w:p>
          <w:p w:rsidR="0092001F" w:rsidRPr="007A542A" w:rsidRDefault="004D4395" w:rsidP="00F86F85">
            <w:pPr>
              <w:autoSpaceDE w:val="0"/>
              <w:autoSpaceDN w:val="0"/>
              <w:adjustRightInd w:val="0"/>
              <w:jc w:val="center"/>
              <w:rPr>
                <w:bCs/>
                <w:sz w:val="18"/>
                <w:szCs w:val="18"/>
              </w:rPr>
            </w:pPr>
            <w:r w:rsidRPr="007A542A">
              <w:rPr>
                <w:bCs/>
                <w:sz w:val="18"/>
                <w:szCs w:val="18"/>
              </w:rPr>
              <w:t>54</w:t>
            </w:r>
            <w:r w:rsidR="00171FF0" w:rsidRPr="007A542A">
              <w:rPr>
                <w:bCs/>
                <w:sz w:val="18"/>
                <w:szCs w:val="18"/>
              </w:rPr>
              <w:t xml:space="preserve"> akcií v nomin. hodnotě </w:t>
            </w:r>
            <w:r w:rsidRPr="007A542A">
              <w:rPr>
                <w:bCs/>
                <w:sz w:val="18"/>
                <w:szCs w:val="18"/>
              </w:rPr>
              <w:t>10</w:t>
            </w:r>
            <w:r w:rsidR="00136A1A" w:rsidRPr="007A542A">
              <w:rPr>
                <w:bCs/>
                <w:sz w:val="18"/>
                <w:szCs w:val="18"/>
              </w:rPr>
              <w:t xml:space="preserve"> </w:t>
            </w:r>
            <w:r w:rsidRPr="007A542A">
              <w:rPr>
                <w:bCs/>
                <w:sz w:val="18"/>
                <w:szCs w:val="18"/>
              </w:rPr>
              <w:t>000 tis. Kč za akcii a 10</w:t>
            </w:r>
            <w:r w:rsidR="006C2BB9" w:rsidRPr="007A542A">
              <w:rPr>
                <w:bCs/>
                <w:sz w:val="18"/>
                <w:szCs w:val="18"/>
              </w:rPr>
              <w:t xml:space="preserve"> akcií v nomin. hodnotě </w:t>
            </w:r>
            <w:r w:rsidR="007C2D5B" w:rsidRPr="007A542A">
              <w:rPr>
                <w:bCs/>
                <w:sz w:val="18"/>
                <w:szCs w:val="18"/>
              </w:rPr>
              <w:t>1</w:t>
            </w:r>
            <w:r w:rsidR="00136A1A" w:rsidRPr="007A542A">
              <w:rPr>
                <w:bCs/>
                <w:sz w:val="18"/>
                <w:szCs w:val="18"/>
              </w:rPr>
              <w:t xml:space="preserve"> </w:t>
            </w:r>
            <w:r w:rsidR="007C2D5B" w:rsidRPr="007A542A">
              <w:rPr>
                <w:bCs/>
                <w:sz w:val="18"/>
                <w:szCs w:val="18"/>
              </w:rPr>
              <w:t>000</w:t>
            </w:r>
            <w:r w:rsidR="006C2BB9" w:rsidRPr="007A542A">
              <w:rPr>
                <w:bCs/>
                <w:sz w:val="18"/>
                <w:szCs w:val="18"/>
              </w:rPr>
              <w:t xml:space="preserve"> tis. za akcii</w:t>
            </w:r>
          </w:p>
        </w:tc>
      </w:tr>
      <w:tr w:rsidR="00B7680E" w:rsidRPr="007A542A" w:rsidTr="0070412E">
        <w:tc>
          <w:tcPr>
            <w:tcW w:w="966" w:type="pct"/>
          </w:tcPr>
          <w:p w:rsidR="009F1A7B" w:rsidRPr="007A542A" w:rsidRDefault="009F1A7B" w:rsidP="00F86F85">
            <w:pPr>
              <w:autoSpaceDE w:val="0"/>
              <w:autoSpaceDN w:val="0"/>
              <w:adjustRightInd w:val="0"/>
              <w:jc w:val="center"/>
              <w:rPr>
                <w:bCs/>
                <w:sz w:val="18"/>
                <w:szCs w:val="18"/>
              </w:rPr>
            </w:pPr>
          </w:p>
          <w:p w:rsidR="0092001F" w:rsidRPr="007A542A" w:rsidRDefault="009402CC" w:rsidP="00F86F85">
            <w:pPr>
              <w:autoSpaceDE w:val="0"/>
              <w:autoSpaceDN w:val="0"/>
              <w:adjustRightInd w:val="0"/>
              <w:jc w:val="center"/>
              <w:rPr>
                <w:bCs/>
                <w:sz w:val="18"/>
                <w:szCs w:val="18"/>
              </w:rPr>
            </w:pPr>
            <w:r w:rsidRPr="007A542A">
              <w:rPr>
                <w:bCs/>
                <w:sz w:val="18"/>
                <w:szCs w:val="18"/>
              </w:rPr>
              <w:t>PEGAS</w:t>
            </w:r>
            <w:r w:rsidR="004444BC" w:rsidRPr="007A542A">
              <w:rPr>
                <w:bCs/>
                <w:sz w:val="18"/>
                <w:szCs w:val="18"/>
              </w:rPr>
              <w:t xml:space="preserve"> </w:t>
            </w:r>
            <w:r w:rsidR="0092001F" w:rsidRPr="007A542A">
              <w:rPr>
                <w:bCs/>
                <w:sz w:val="18"/>
                <w:szCs w:val="18"/>
              </w:rPr>
              <w:t>-</w:t>
            </w:r>
            <w:r w:rsidR="004444BC" w:rsidRPr="007A542A">
              <w:rPr>
                <w:bCs/>
                <w:sz w:val="18"/>
                <w:szCs w:val="18"/>
              </w:rPr>
              <w:t xml:space="preserve"> </w:t>
            </w:r>
            <w:r w:rsidR="0092001F" w:rsidRPr="007A542A">
              <w:rPr>
                <w:bCs/>
                <w:sz w:val="18"/>
                <w:szCs w:val="18"/>
              </w:rPr>
              <w:t>NW a.s.</w:t>
            </w:r>
          </w:p>
        </w:tc>
        <w:tc>
          <w:tcPr>
            <w:tcW w:w="880" w:type="pct"/>
          </w:tcPr>
          <w:p w:rsidR="009F1A7B" w:rsidRPr="007A542A" w:rsidRDefault="009F1A7B" w:rsidP="00F86F85">
            <w:pPr>
              <w:autoSpaceDE w:val="0"/>
              <w:autoSpaceDN w:val="0"/>
              <w:adjustRightInd w:val="0"/>
              <w:jc w:val="center"/>
              <w:rPr>
                <w:bCs/>
                <w:sz w:val="18"/>
                <w:szCs w:val="18"/>
              </w:rPr>
            </w:pPr>
          </w:p>
          <w:p w:rsidR="009402CC" w:rsidRPr="007A542A" w:rsidRDefault="009402CC" w:rsidP="00F86F85">
            <w:pPr>
              <w:autoSpaceDE w:val="0"/>
              <w:autoSpaceDN w:val="0"/>
              <w:adjustRightInd w:val="0"/>
              <w:jc w:val="center"/>
              <w:rPr>
                <w:bCs/>
                <w:sz w:val="18"/>
                <w:szCs w:val="18"/>
              </w:rPr>
            </w:pPr>
            <w:r w:rsidRPr="007A542A">
              <w:rPr>
                <w:bCs/>
                <w:sz w:val="18"/>
                <w:szCs w:val="18"/>
              </w:rPr>
              <w:t>14. 12. 2005</w:t>
            </w:r>
          </w:p>
          <w:p w:rsidR="0092001F" w:rsidRPr="007A542A" w:rsidRDefault="0092001F" w:rsidP="00F86F85">
            <w:pPr>
              <w:autoSpaceDE w:val="0"/>
              <w:autoSpaceDN w:val="0"/>
              <w:adjustRightInd w:val="0"/>
              <w:jc w:val="center"/>
              <w:rPr>
                <w:bCs/>
                <w:sz w:val="18"/>
                <w:szCs w:val="18"/>
              </w:rPr>
            </w:pPr>
          </w:p>
        </w:tc>
        <w:tc>
          <w:tcPr>
            <w:tcW w:w="807" w:type="pct"/>
          </w:tcPr>
          <w:p w:rsidR="009F1A7B" w:rsidRPr="007A542A" w:rsidRDefault="009F1A7B" w:rsidP="00F86F85">
            <w:pPr>
              <w:autoSpaceDE w:val="0"/>
              <w:autoSpaceDN w:val="0"/>
              <w:adjustRightInd w:val="0"/>
              <w:jc w:val="center"/>
              <w:rPr>
                <w:bCs/>
                <w:sz w:val="18"/>
                <w:szCs w:val="18"/>
              </w:rPr>
            </w:pPr>
          </w:p>
          <w:p w:rsidR="0092001F" w:rsidRPr="007A542A" w:rsidRDefault="007C2D5B" w:rsidP="00F86F85">
            <w:pPr>
              <w:autoSpaceDE w:val="0"/>
              <w:autoSpaceDN w:val="0"/>
              <w:adjustRightInd w:val="0"/>
              <w:jc w:val="center"/>
              <w:rPr>
                <w:bCs/>
                <w:sz w:val="18"/>
                <w:szCs w:val="18"/>
              </w:rPr>
            </w:pPr>
            <w:r w:rsidRPr="007A542A">
              <w:rPr>
                <w:bCs/>
                <w:sz w:val="18"/>
                <w:szCs w:val="18"/>
              </w:rPr>
              <w:t>100</w:t>
            </w:r>
            <w:r w:rsidR="00865CEE" w:rsidRPr="007A542A">
              <w:rPr>
                <w:bCs/>
                <w:sz w:val="18"/>
                <w:szCs w:val="18"/>
              </w:rPr>
              <w:t xml:space="preserve"> </w:t>
            </w:r>
            <w:r w:rsidRPr="007A542A">
              <w:rPr>
                <w:bCs/>
                <w:sz w:val="18"/>
                <w:szCs w:val="18"/>
              </w:rPr>
              <w:t>%</w:t>
            </w:r>
          </w:p>
        </w:tc>
        <w:tc>
          <w:tcPr>
            <w:tcW w:w="595" w:type="pct"/>
          </w:tcPr>
          <w:p w:rsidR="009F1A7B" w:rsidRPr="007A542A" w:rsidRDefault="009F1A7B" w:rsidP="00F86F85">
            <w:pPr>
              <w:autoSpaceDE w:val="0"/>
              <w:autoSpaceDN w:val="0"/>
              <w:adjustRightInd w:val="0"/>
              <w:jc w:val="center"/>
              <w:rPr>
                <w:bCs/>
                <w:sz w:val="18"/>
                <w:szCs w:val="18"/>
              </w:rPr>
            </w:pPr>
          </w:p>
          <w:p w:rsidR="007C2D5B" w:rsidRPr="007A542A" w:rsidRDefault="00D04D50" w:rsidP="00F86F85">
            <w:pPr>
              <w:autoSpaceDE w:val="0"/>
              <w:autoSpaceDN w:val="0"/>
              <w:adjustRightInd w:val="0"/>
              <w:jc w:val="center"/>
              <w:rPr>
                <w:bCs/>
                <w:sz w:val="18"/>
                <w:szCs w:val="18"/>
              </w:rPr>
            </w:pPr>
            <w:r w:rsidRPr="007A542A">
              <w:rPr>
                <w:bCs/>
                <w:sz w:val="18"/>
                <w:szCs w:val="18"/>
              </w:rPr>
              <w:t>6</w:t>
            </w:r>
            <w:r w:rsidR="007C2D5B" w:rsidRPr="007A542A">
              <w:rPr>
                <w:bCs/>
                <w:sz w:val="18"/>
                <w:szCs w:val="18"/>
              </w:rPr>
              <w:t>50</w:t>
            </w:r>
            <w:r w:rsidR="00136A1A" w:rsidRPr="007A542A">
              <w:rPr>
                <w:bCs/>
                <w:sz w:val="18"/>
                <w:szCs w:val="18"/>
              </w:rPr>
              <w:t xml:space="preserve"> </w:t>
            </w:r>
            <w:r w:rsidR="007C2D5B" w:rsidRPr="007A542A">
              <w:rPr>
                <w:bCs/>
                <w:sz w:val="18"/>
                <w:szCs w:val="18"/>
              </w:rPr>
              <w:t>000</w:t>
            </w:r>
            <w:r w:rsidR="00A31A7C" w:rsidRPr="007A542A">
              <w:rPr>
                <w:bCs/>
                <w:sz w:val="18"/>
                <w:szCs w:val="18"/>
              </w:rPr>
              <w:t xml:space="preserve"> tis. Kč</w:t>
            </w:r>
          </w:p>
          <w:p w:rsidR="0092001F" w:rsidRPr="007A542A" w:rsidRDefault="0092001F" w:rsidP="00F86F85">
            <w:pPr>
              <w:autoSpaceDE w:val="0"/>
              <w:autoSpaceDN w:val="0"/>
              <w:adjustRightInd w:val="0"/>
              <w:jc w:val="center"/>
              <w:rPr>
                <w:bCs/>
                <w:sz w:val="18"/>
                <w:szCs w:val="18"/>
              </w:rPr>
            </w:pPr>
          </w:p>
        </w:tc>
        <w:tc>
          <w:tcPr>
            <w:tcW w:w="673" w:type="pct"/>
          </w:tcPr>
          <w:p w:rsidR="00F9317B" w:rsidRPr="007A542A" w:rsidRDefault="00F9317B" w:rsidP="00F86F85">
            <w:pPr>
              <w:autoSpaceDE w:val="0"/>
              <w:autoSpaceDN w:val="0"/>
              <w:adjustRightInd w:val="0"/>
              <w:jc w:val="center"/>
              <w:rPr>
                <w:bCs/>
                <w:sz w:val="18"/>
                <w:szCs w:val="18"/>
              </w:rPr>
            </w:pPr>
          </w:p>
          <w:p w:rsidR="0092001F" w:rsidRPr="007A542A" w:rsidRDefault="00265127" w:rsidP="00831720">
            <w:pPr>
              <w:autoSpaceDE w:val="0"/>
              <w:autoSpaceDN w:val="0"/>
              <w:adjustRightInd w:val="0"/>
              <w:jc w:val="center"/>
              <w:rPr>
                <w:bCs/>
                <w:sz w:val="18"/>
                <w:szCs w:val="18"/>
              </w:rPr>
            </w:pPr>
            <w:r w:rsidRPr="007A542A">
              <w:rPr>
                <w:bCs/>
                <w:sz w:val="18"/>
                <w:szCs w:val="18"/>
              </w:rPr>
              <w:t xml:space="preserve">23 </w:t>
            </w:r>
            <w:r w:rsidR="00831720">
              <w:rPr>
                <w:bCs/>
                <w:sz w:val="18"/>
                <w:szCs w:val="18"/>
              </w:rPr>
              <w:t>853</w:t>
            </w:r>
          </w:p>
        </w:tc>
        <w:tc>
          <w:tcPr>
            <w:tcW w:w="1079" w:type="pct"/>
          </w:tcPr>
          <w:p w:rsidR="009F1A7B" w:rsidRPr="007A542A" w:rsidRDefault="009F1A7B" w:rsidP="00F86F85">
            <w:pPr>
              <w:autoSpaceDE w:val="0"/>
              <w:autoSpaceDN w:val="0"/>
              <w:adjustRightInd w:val="0"/>
              <w:jc w:val="center"/>
              <w:rPr>
                <w:bCs/>
                <w:sz w:val="18"/>
                <w:szCs w:val="18"/>
              </w:rPr>
            </w:pPr>
          </w:p>
          <w:p w:rsidR="0092001F" w:rsidRPr="007A542A" w:rsidRDefault="00CC00E4" w:rsidP="00F86F85">
            <w:pPr>
              <w:autoSpaceDE w:val="0"/>
              <w:autoSpaceDN w:val="0"/>
              <w:adjustRightInd w:val="0"/>
              <w:jc w:val="center"/>
              <w:rPr>
                <w:bCs/>
                <w:sz w:val="18"/>
                <w:szCs w:val="18"/>
              </w:rPr>
            </w:pPr>
            <w:r w:rsidRPr="007A542A">
              <w:rPr>
                <w:bCs/>
                <w:sz w:val="18"/>
                <w:szCs w:val="18"/>
              </w:rPr>
              <w:t>6</w:t>
            </w:r>
            <w:r w:rsidR="004D4395" w:rsidRPr="007A542A">
              <w:rPr>
                <w:bCs/>
                <w:sz w:val="18"/>
                <w:szCs w:val="18"/>
              </w:rPr>
              <w:t>4</w:t>
            </w:r>
            <w:r w:rsidR="006C2BB9" w:rsidRPr="007A542A">
              <w:rPr>
                <w:bCs/>
                <w:sz w:val="18"/>
                <w:szCs w:val="18"/>
              </w:rPr>
              <w:t xml:space="preserve"> akcií v nomin. hodnotě</w:t>
            </w:r>
            <w:r w:rsidR="007C2D5B" w:rsidRPr="007A542A">
              <w:rPr>
                <w:bCs/>
                <w:sz w:val="18"/>
                <w:szCs w:val="18"/>
              </w:rPr>
              <w:t xml:space="preserve"> 10</w:t>
            </w:r>
            <w:r w:rsidR="00136A1A" w:rsidRPr="007A542A">
              <w:rPr>
                <w:bCs/>
                <w:sz w:val="18"/>
                <w:szCs w:val="18"/>
              </w:rPr>
              <w:t xml:space="preserve"> </w:t>
            </w:r>
            <w:r w:rsidR="007C2D5B" w:rsidRPr="007A542A">
              <w:rPr>
                <w:bCs/>
                <w:sz w:val="18"/>
                <w:szCs w:val="18"/>
              </w:rPr>
              <w:t>000</w:t>
            </w:r>
            <w:r w:rsidR="006C2BB9" w:rsidRPr="007A542A">
              <w:rPr>
                <w:bCs/>
                <w:sz w:val="18"/>
                <w:szCs w:val="18"/>
              </w:rPr>
              <w:t xml:space="preserve"> tis. Kč za akcii</w:t>
            </w:r>
            <w:r w:rsidR="004D4395" w:rsidRPr="007A542A">
              <w:rPr>
                <w:bCs/>
                <w:sz w:val="18"/>
                <w:szCs w:val="18"/>
              </w:rPr>
              <w:t xml:space="preserve"> </w:t>
            </w:r>
            <w:r w:rsidR="006C2BB9" w:rsidRPr="007A542A">
              <w:rPr>
                <w:bCs/>
                <w:sz w:val="18"/>
                <w:szCs w:val="18"/>
              </w:rPr>
              <w:t xml:space="preserve">a </w:t>
            </w:r>
            <w:r w:rsidR="003E6394" w:rsidRPr="007A542A">
              <w:rPr>
                <w:bCs/>
                <w:sz w:val="18"/>
                <w:szCs w:val="18"/>
              </w:rPr>
              <w:t>10</w:t>
            </w:r>
            <w:r w:rsidR="006C2BB9" w:rsidRPr="007A542A">
              <w:rPr>
                <w:bCs/>
                <w:sz w:val="18"/>
                <w:szCs w:val="18"/>
              </w:rPr>
              <w:t xml:space="preserve"> akcií v nomin. hodnotě </w:t>
            </w:r>
            <w:r w:rsidR="007C2D5B" w:rsidRPr="007A542A">
              <w:rPr>
                <w:bCs/>
                <w:sz w:val="18"/>
                <w:szCs w:val="18"/>
              </w:rPr>
              <w:t>1</w:t>
            </w:r>
            <w:r w:rsidR="00136A1A" w:rsidRPr="007A542A">
              <w:rPr>
                <w:bCs/>
                <w:sz w:val="18"/>
                <w:szCs w:val="18"/>
              </w:rPr>
              <w:t xml:space="preserve"> </w:t>
            </w:r>
            <w:r w:rsidR="007C2D5B" w:rsidRPr="007A542A">
              <w:rPr>
                <w:bCs/>
                <w:sz w:val="18"/>
                <w:szCs w:val="18"/>
              </w:rPr>
              <w:t>000</w:t>
            </w:r>
            <w:r w:rsidR="006C2BB9" w:rsidRPr="007A542A">
              <w:rPr>
                <w:bCs/>
                <w:sz w:val="18"/>
                <w:szCs w:val="18"/>
              </w:rPr>
              <w:t xml:space="preserve"> tis. za akcii</w:t>
            </w:r>
          </w:p>
        </w:tc>
      </w:tr>
      <w:tr w:rsidR="00B7680E" w:rsidRPr="007A542A" w:rsidTr="0070412E">
        <w:tc>
          <w:tcPr>
            <w:tcW w:w="966" w:type="pct"/>
          </w:tcPr>
          <w:p w:rsidR="009F1A7B" w:rsidRPr="007A542A" w:rsidRDefault="009F1A7B" w:rsidP="00F86F85">
            <w:pPr>
              <w:autoSpaceDE w:val="0"/>
              <w:autoSpaceDN w:val="0"/>
              <w:adjustRightInd w:val="0"/>
              <w:jc w:val="center"/>
              <w:rPr>
                <w:bCs/>
                <w:sz w:val="18"/>
                <w:szCs w:val="18"/>
              </w:rPr>
            </w:pPr>
          </w:p>
          <w:p w:rsidR="0092001F" w:rsidRPr="007A542A" w:rsidRDefault="009402CC" w:rsidP="00F9317B">
            <w:pPr>
              <w:autoSpaceDE w:val="0"/>
              <w:autoSpaceDN w:val="0"/>
              <w:adjustRightInd w:val="0"/>
              <w:jc w:val="center"/>
              <w:rPr>
                <w:bCs/>
                <w:sz w:val="18"/>
                <w:szCs w:val="18"/>
                <w:vertAlign w:val="superscript"/>
              </w:rPr>
            </w:pPr>
            <w:r w:rsidRPr="007A542A">
              <w:rPr>
                <w:bCs/>
                <w:sz w:val="18"/>
                <w:szCs w:val="18"/>
              </w:rPr>
              <w:t>PEGAS</w:t>
            </w:r>
            <w:r w:rsidR="004444BC" w:rsidRPr="007A542A">
              <w:rPr>
                <w:bCs/>
                <w:sz w:val="18"/>
                <w:szCs w:val="18"/>
              </w:rPr>
              <w:t xml:space="preserve"> </w:t>
            </w:r>
            <w:r w:rsidR="0092001F" w:rsidRPr="007A542A">
              <w:rPr>
                <w:bCs/>
                <w:sz w:val="18"/>
                <w:szCs w:val="18"/>
              </w:rPr>
              <w:t>-</w:t>
            </w:r>
            <w:r w:rsidR="004444BC" w:rsidRPr="007A542A">
              <w:rPr>
                <w:bCs/>
                <w:sz w:val="18"/>
                <w:szCs w:val="18"/>
              </w:rPr>
              <w:t xml:space="preserve"> </w:t>
            </w:r>
            <w:r w:rsidR="0092001F" w:rsidRPr="007A542A">
              <w:rPr>
                <w:bCs/>
                <w:sz w:val="18"/>
                <w:szCs w:val="18"/>
              </w:rPr>
              <w:t>NS a.s.</w:t>
            </w:r>
          </w:p>
        </w:tc>
        <w:tc>
          <w:tcPr>
            <w:tcW w:w="880" w:type="pct"/>
          </w:tcPr>
          <w:p w:rsidR="009F1A7B" w:rsidRPr="007A542A" w:rsidRDefault="009F1A7B" w:rsidP="00F86F85">
            <w:pPr>
              <w:autoSpaceDE w:val="0"/>
              <w:autoSpaceDN w:val="0"/>
              <w:adjustRightInd w:val="0"/>
              <w:jc w:val="center"/>
              <w:rPr>
                <w:bCs/>
                <w:sz w:val="18"/>
                <w:szCs w:val="18"/>
              </w:rPr>
            </w:pPr>
          </w:p>
          <w:p w:rsidR="009402CC" w:rsidRPr="007A542A" w:rsidRDefault="009402CC" w:rsidP="00F86F85">
            <w:pPr>
              <w:autoSpaceDE w:val="0"/>
              <w:autoSpaceDN w:val="0"/>
              <w:adjustRightInd w:val="0"/>
              <w:jc w:val="center"/>
              <w:rPr>
                <w:bCs/>
                <w:sz w:val="18"/>
                <w:szCs w:val="18"/>
              </w:rPr>
            </w:pPr>
            <w:r w:rsidRPr="007A542A">
              <w:rPr>
                <w:bCs/>
                <w:sz w:val="18"/>
                <w:szCs w:val="18"/>
              </w:rPr>
              <w:t>3. 12. 2007</w:t>
            </w:r>
          </w:p>
          <w:p w:rsidR="0092001F" w:rsidRPr="007A542A" w:rsidRDefault="0092001F" w:rsidP="00F86F85">
            <w:pPr>
              <w:autoSpaceDE w:val="0"/>
              <w:autoSpaceDN w:val="0"/>
              <w:adjustRightInd w:val="0"/>
              <w:jc w:val="center"/>
              <w:rPr>
                <w:bCs/>
                <w:sz w:val="18"/>
                <w:szCs w:val="18"/>
              </w:rPr>
            </w:pPr>
          </w:p>
        </w:tc>
        <w:tc>
          <w:tcPr>
            <w:tcW w:w="807" w:type="pct"/>
          </w:tcPr>
          <w:p w:rsidR="009F1A7B" w:rsidRPr="007A542A" w:rsidRDefault="009F1A7B" w:rsidP="00F86F85">
            <w:pPr>
              <w:autoSpaceDE w:val="0"/>
              <w:autoSpaceDN w:val="0"/>
              <w:adjustRightInd w:val="0"/>
              <w:jc w:val="center"/>
              <w:rPr>
                <w:bCs/>
                <w:sz w:val="18"/>
                <w:szCs w:val="18"/>
              </w:rPr>
            </w:pPr>
          </w:p>
          <w:p w:rsidR="0092001F" w:rsidRPr="007A542A" w:rsidRDefault="007C2D5B" w:rsidP="00F86F85">
            <w:pPr>
              <w:autoSpaceDE w:val="0"/>
              <w:autoSpaceDN w:val="0"/>
              <w:adjustRightInd w:val="0"/>
              <w:jc w:val="center"/>
              <w:rPr>
                <w:bCs/>
                <w:sz w:val="18"/>
                <w:szCs w:val="18"/>
              </w:rPr>
            </w:pPr>
            <w:r w:rsidRPr="007A542A">
              <w:rPr>
                <w:bCs/>
                <w:sz w:val="18"/>
                <w:szCs w:val="18"/>
              </w:rPr>
              <w:t>100</w:t>
            </w:r>
            <w:r w:rsidR="00865CEE" w:rsidRPr="007A542A">
              <w:rPr>
                <w:bCs/>
                <w:sz w:val="18"/>
                <w:szCs w:val="18"/>
              </w:rPr>
              <w:t xml:space="preserve"> </w:t>
            </w:r>
            <w:r w:rsidRPr="007A542A">
              <w:rPr>
                <w:bCs/>
                <w:sz w:val="18"/>
                <w:szCs w:val="18"/>
              </w:rPr>
              <w:t>%</w:t>
            </w:r>
          </w:p>
        </w:tc>
        <w:tc>
          <w:tcPr>
            <w:tcW w:w="595" w:type="pct"/>
          </w:tcPr>
          <w:p w:rsidR="009F1A7B" w:rsidRPr="007A542A" w:rsidRDefault="009F1A7B" w:rsidP="00F86F85">
            <w:pPr>
              <w:autoSpaceDE w:val="0"/>
              <w:autoSpaceDN w:val="0"/>
              <w:adjustRightInd w:val="0"/>
              <w:jc w:val="center"/>
              <w:rPr>
                <w:bCs/>
                <w:sz w:val="18"/>
                <w:szCs w:val="18"/>
              </w:rPr>
            </w:pPr>
          </w:p>
          <w:p w:rsidR="007C2D5B" w:rsidRPr="007A542A" w:rsidRDefault="00265127" w:rsidP="00F86F85">
            <w:pPr>
              <w:autoSpaceDE w:val="0"/>
              <w:autoSpaceDN w:val="0"/>
              <w:adjustRightInd w:val="0"/>
              <w:jc w:val="center"/>
              <w:rPr>
                <w:bCs/>
                <w:sz w:val="18"/>
                <w:szCs w:val="18"/>
              </w:rPr>
            </w:pPr>
            <w:r w:rsidRPr="007A542A">
              <w:rPr>
                <w:bCs/>
                <w:sz w:val="18"/>
                <w:szCs w:val="18"/>
              </w:rPr>
              <w:t>650</w:t>
            </w:r>
            <w:r w:rsidR="00136A1A" w:rsidRPr="007A542A">
              <w:rPr>
                <w:bCs/>
                <w:sz w:val="18"/>
                <w:szCs w:val="18"/>
              </w:rPr>
              <w:t xml:space="preserve"> </w:t>
            </w:r>
            <w:r w:rsidR="007C2D5B" w:rsidRPr="007A542A">
              <w:rPr>
                <w:bCs/>
                <w:sz w:val="18"/>
                <w:szCs w:val="18"/>
              </w:rPr>
              <w:t>000</w:t>
            </w:r>
            <w:r w:rsidR="00A31A7C" w:rsidRPr="007A542A">
              <w:rPr>
                <w:bCs/>
                <w:sz w:val="18"/>
                <w:szCs w:val="18"/>
              </w:rPr>
              <w:t xml:space="preserve"> tis. Kč</w:t>
            </w:r>
          </w:p>
          <w:p w:rsidR="0092001F" w:rsidRPr="007A542A" w:rsidRDefault="0092001F" w:rsidP="00F86F85">
            <w:pPr>
              <w:autoSpaceDE w:val="0"/>
              <w:autoSpaceDN w:val="0"/>
              <w:adjustRightInd w:val="0"/>
              <w:jc w:val="center"/>
              <w:rPr>
                <w:bCs/>
                <w:sz w:val="18"/>
                <w:szCs w:val="18"/>
              </w:rPr>
            </w:pPr>
          </w:p>
        </w:tc>
        <w:tc>
          <w:tcPr>
            <w:tcW w:w="673" w:type="pct"/>
          </w:tcPr>
          <w:p w:rsidR="00F9317B" w:rsidRPr="007A542A" w:rsidRDefault="00F9317B" w:rsidP="00F86F85">
            <w:pPr>
              <w:autoSpaceDE w:val="0"/>
              <w:autoSpaceDN w:val="0"/>
              <w:adjustRightInd w:val="0"/>
              <w:jc w:val="center"/>
              <w:rPr>
                <w:bCs/>
                <w:sz w:val="18"/>
                <w:szCs w:val="18"/>
              </w:rPr>
            </w:pPr>
          </w:p>
          <w:p w:rsidR="0092001F" w:rsidRPr="007A542A" w:rsidRDefault="00265127" w:rsidP="00831720">
            <w:pPr>
              <w:autoSpaceDE w:val="0"/>
              <w:autoSpaceDN w:val="0"/>
              <w:adjustRightInd w:val="0"/>
              <w:jc w:val="center"/>
              <w:rPr>
                <w:bCs/>
                <w:sz w:val="18"/>
                <w:szCs w:val="18"/>
              </w:rPr>
            </w:pPr>
            <w:r w:rsidRPr="007A542A">
              <w:rPr>
                <w:bCs/>
                <w:sz w:val="18"/>
                <w:szCs w:val="18"/>
              </w:rPr>
              <w:t xml:space="preserve">23 </w:t>
            </w:r>
            <w:r w:rsidR="00831720">
              <w:rPr>
                <w:bCs/>
                <w:sz w:val="18"/>
                <w:szCs w:val="18"/>
              </w:rPr>
              <w:t>853</w:t>
            </w:r>
          </w:p>
        </w:tc>
        <w:tc>
          <w:tcPr>
            <w:tcW w:w="1079" w:type="pct"/>
          </w:tcPr>
          <w:p w:rsidR="009F1A7B" w:rsidRPr="007A542A" w:rsidRDefault="009F1A7B" w:rsidP="00F86F85">
            <w:pPr>
              <w:autoSpaceDE w:val="0"/>
              <w:autoSpaceDN w:val="0"/>
              <w:adjustRightInd w:val="0"/>
              <w:jc w:val="center"/>
              <w:rPr>
                <w:bCs/>
                <w:sz w:val="18"/>
                <w:szCs w:val="18"/>
              </w:rPr>
            </w:pPr>
          </w:p>
          <w:p w:rsidR="0092001F" w:rsidRPr="007A542A" w:rsidRDefault="0046010F" w:rsidP="00F86F85">
            <w:pPr>
              <w:autoSpaceDE w:val="0"/>
              <w:autoSpaceDN w:val="0"/>
              <w:adjustRightInd w:val="0"/>
              <w:jc w:val="center"/>
              <w:rPr>
                <w:bCs/>
                <w:sz w:val="18"/>
                <w:szCs w:val="18"/>
              </w:rPr>
            </w:pPr>
            <w:r w:rsidRPr="007A542A">
              <w:rPr>
                <w:bCs/>
                <w:sz w:val="18"/>
                <w:szCs w:val="18"/>
              </w:rPr>
              <w:t xml:space="preserve">64 akcií v nomin. hodnotě 10 000 tis. Kč za akcii a 10 akcií v nomin. hodnotě 1 000 tis. za akcii </w:t>
            </w:r>
          </w:p>
        </w:tc>
      </w:tr>
      <w:tr w:rsidR="004C285E" w:rsidRPr="007A542A" w:rsidTr="0070412E">
        <w:tc>
          <w:tcPr>
            <w:tcW w:w="966" w:type="pct"/>
          </w:tcPr>
          <w:p w:rsidR="004C285E" w:rsidRPr="007A542A" w:rsidRDefault="00721998" w:rsidP="00F9317B">
            <w:pPr>
              <w:autoSpaceDE w:val="0"/>
              <w:autoSpaceDN w:val="0"/>
              <w:adjustRightInd w:val="0"/>
              <w:jc w:val="center"/>
              <w:rPr>
                <w:bCs/>
                <w:sz w:val="18"/>
                <w:szCs w:val="18"/>
              </w:rPr>
            </w:pPr>
            <w:r w:rsidRPr="007A542A">
              <w:rPr>
                <w:bCs/>
                <w:sz w:val="18"/>
                <w:szCs w:val="18"/>
              </w:rPr>
              <w:t xml:space="preserve">PEGAS </w:t>
            </w:r>
            <w:r w:rsidR="007250D4" w:rsidRPr="007A542A">
              <w:rPr>
                <w:bCs/>
                <w:sz w:val="18"/>
                <w:szCs w:val="18"/>
              </w:rPr>
              <w:t xml:space="preserve"> NONWOVENS </w:t>
            </w:r>
            <w:r w:rsidRPr="007A542A">
              <w:rPr>
                <w:bCs/>
                <w:sz w:val="18"/>
                <w:szCs w:val="18"/>
              </w:rPr>
              <w:t>International s.r.o.</w:t>
            </w:r>
            <w:r w:rsidR="006B4829" w:rsidRPr="007A542A">
              <w:rPr>
                <w:bCs/>
                <w:sz w:val="18"/>
                <w:szCs w:val="18"/>
              </w:rPr>
              <w:t>**</w:t>
            </w:r>
          </w:p>
        </w:tc>
        <w:tc>
          <w:tcPr>
            <w:tcW w:w="880" w:type="pct"/>
          </w:tcPr>
          <w:p w:rsidR="004C285E" w:rsidRPr="007A542A" w:rsidRDefault="006C489F" w:rsidP="006B723D">
            <w:pPr>
              <w:autoSpaceDE w:val="0"/>
              <w:autoSpaceDN w:val="0"/>
              <w:adjustRightInd w:val="0"/>
              <w:jc w:val="center"/>
              <w:rPr>
                <w:bCs/>
                <w:sz w:val="18"/>
                <w:szCs w:val="18"/>
              </w:rPr>
            </w:pPr>
            <w:r w:rsidRPr="007A542A">
              <w:rPr>
                <w:bCs/>
                <w:sz w:val="18"/>
                <w:szCs w:val="18"/>
              </w:rPr>
              <w:t>18</w:t>
            </w:r>
            <w:r w:rsidR="00A53A3C" w:rsidRPr="007A542A">
              <w:rPr>
                <w:bCs/>
                <w:sz w:val="18"/>
                <w:szCs w:val="18"/>
              </w:rPr>
              <w:t xml:space="preserve">. </w:t>
            </w:r>
            <w:r w:rsidRPr="007A542A">
              <w:rPr>
                <w:bCs/>
                <w:sz w:val="18"/>
                <w:szCs w:val="18"/>
              </w:rPr>
              <w:t>10</w:t>
            </w:r>
            <w:r w:rsidR="0001548A" w:rsidRPr="007A542A">
              <w:rPr>
                <w:bCs/>
                <w:sz w:val="18"/>
                <w:szCs w:val="18"/>
              </w:rPr>
              <w:t>.</w:t>
            </w:r>
            <w:r w:rsidR="00A53A3C" w:rsidRPr="007A542A">
              <w:rPr>
                <w:bCs/>
                <w:sz w:val="18"/>
                <w:szCs w:val="18"/>
              </w:rPr>
              <w:t xml:space="preserve"> 2010</w:t>
            </w:r>
          </w:p>
        </w:tc>
        <w:tc>
          <w:tcPr>
            <w:tcW w:w="807" w:type="pct"/>
          </w:tcPr>
          <w:p w:rsidR="004C285E" w:rsidRPr="007A542A" w:rsidRDefault="00A53A3C" w:rsidP="00F86F85">
            <w:pPr>
              <w:autoSpaceDE w:val="0"/>
              <w:autoSpaceDN w:val="0"/>
              <w:adjustRightInd w:val="0"/>
              <w:jc w:val="center"/>
              <w:rPr>
                <w:bCs/>
                <w:sz w:val="18"/>
                <w:szCs w:val="18"/>
              </w:rPr>
            </w:pPr>
            <w:r w:rsidRPr="007A542A">
              <w:rPr>
                <w:bCs/>
                <w:sz w:val="18"/>
                <w:szCs w:val="18"/>
              </w:rPr>
              <w:t>100 %</w:t>
            </w:r>
          </w:p>
        </w:tc>
        <w:tc>
          <w:tcPr>
            <w:tcW w:w="595" w:type="pct"/>
          </w:tcPr>
          <w:p w:rsidR="004C285E" w:rsidRPr="007A542A" w:rsidRDefault="00A53A3C" w:rsidP="00F86F85">
            <w:pPr>
              <w:autoSpaceDE w:val="0"/>
              <w:autoSpaceDN w:val="0"/>
              <w:adjustRightInd w:val="0"/>
              <w:jc w:val="center"/>
              <w:rPr>
                <w:bCs/>
                <w:sz w:val="18"/>
                <w:szCs w:val="18"/>
              </w:rPr>
            </w:pPr>
            <w:r w:rsidRPr="007A542A">
              <w:rPr>
                <w:bCs/>
                <w:sz w:val="18"/>
                <w:szCs w:val="18"/>
              </w:rPr>
              <w:t>200</w:t>
            </w:r>
            <w:r w:rsidR="00A31A7C" w:rsidRPr="007A542A">
              <w:rPr>
                <w:bCs/>
                <w:sz w:val="18"/>
                <w:szCs w:val="18"/>
              </w:rPr>
              <w:t xml:space="preserve"> tis. Kč</w:t>
            </w:r>
          </w:p>
        </w:tc>
        <w:tc>
          <w:tcPr>
            <w:tcW w:w="673" w:type="pct"/>
          </w:tcPr>
          <w:p w:rsidR="004C285E" w:rsidRPr="007A542A" w:rsidRDefault="00265127" w:rsidP="00F86F85">
            <w:pPr>
              <w:autoSpaceDE w:val="0"/>
              <w:autoSpaceDN w:val="0"/>
              <w:adjustRightInd w:val="0"/>
              <w:jc w:val="center"/>
              <w:rPr>
                <w:bCs/>
                <w:sz w:val="18"/>
                <w:szCs w:val="18"/>
              </w:rPr>
            </w:pPr>
            <w:r w:rsidRPr="007A542A">
              <w:rPr>
                <w:bCs/>
                <w:sz w:val="18"/>
                <w:szCs w:val="18"/>
              </w:rPr>
              <w:t>7</w:t>
            </w:r>
          </w:p>
        </w:tc>
        <w:tc>
          <w:tcPr>
            <w:tcW w:w="1079" w:type="pct"/>
          </w:tcPr>
          <w:p w:rsidR="004C285E" w:rsidRPr="007A542A" w:rsidRDefault="00A53A3C" w:rsidP="008560A2">
            <w:pPr>
              <w:autoSpaceDE w:val="0"/>
              <w:autoSpaceDN w:val="0"/>
              <w:adjustRightInd w:val="0"/>
              <w:jc w:val="center"/>
              <w:rPr>
                <w:bCs/>
                <w:sz w:val="18"/>
                <w:szCs w:val="18"/>
              </w:rPr>
            </w:pPr>
            <w:r w:rsidRPr="007A542A">
              <w:rPr>
                <w:bCs/>
                <w:sz w:val="18"/>
                <w:szCs w:val="18"/>
              </w:rPr>
              <w:t>100 % podíl v hodnotě 200 tis. Kč</w:t>
            </w:r>
          </w:p>
        </w:tc>
      </w:tr>
      <w:tr w:rsidR="004C285E" w:rsidRPr="007A542A" w:rsidTr="0070412E">
        <w:tc>
          <w:tcPr>
            <w:tcW w:w="966" w:type="pct"/>
          </w:tcPr>
          <w:p w:rsidR="004C285E" w:rsidRPr="007A542A" w:rsidRDefault="00721998" w:rsidP="00F86F85">
            <w:pPr>
              <w:autoSpaceDE w:val="0"/>
              <w:autoSpaceDN w:val="0"/>
              <w:adjustRightInd w:val="0"/>
              <w:jc w:val="center"/>
              <w:rPr>
                <w:bCs/>
                <w:sz w:val="18"/>
                <w:szCs w:val="18"/>
              </w:rPr>
            </w:pPr>
            <w:r w:rsidRPr="007A542A">
              <w:rPr>
                <w:bCs/>
                <w:sz w:val="18"/>
                <w:szCs w:val="18"/>
              </w:rPr>
              <w:t>PEGAS NONWOVENS EGYPT LLC</w:t>
            </w:r>
            <w:r w:rsidR="00B7349A" w:rsidRPr="007A542A">
              <w:rPr>
                <w:bCs/>
                <w:sz w:val="18"/>
                <w:szCs w:val="18"/>
              </w:rPr>
              <w:t xml:space="preserve"> ***</w:t>
            </w:r>
          </w:p>
        </w:tc>
        <w:tc>
          <w:tcPr>
            <w:tcW w:w="880" w:type="pct"/>
          </w:tcPr>
          <w:p w:rsidR="004C285E" w:rsidRPr="007A542A" w:rsidRDefault="00A53A3C" w:rsidP="00F86F85">
            <w:pPr>
              <w:autoSpaceDE w:val="0"/>
              <w:autoSpaceDN w:val="0"/>
              <w:adjustRightInd w:val="0"/>
              <w:jc w:val="center"/>
              <w:rPr>
                <w:bCs/>
                <w:sz w:val="18"/>
                <w:szCs w:val="18"/>
              </w:rPr>
            </w:pPr>
            <w:r w:rsidRPr="007A542A">
              <w:rPr>
                <w:bCs/>
                <w:sz w:val="18"/>
                <w:szCs w:val="18"/>
              </w:rPr>
              <w:t>6. 6. 2011</w:t>
            </w:r>
          </w:p>
        </w:tc>
        <w:tc>
          <w:tcPr>
            <w:tcW w:w="807" w:type="pct"/>
          </w:tcPr>
          <w:p w:rsidR="004C285E" w:rsidRPr="007A542A" w:rsidRDefault="00A53A3C" w:rsidP="00F86F85">
            <w:pPr>
              <w:autoSpaceDE w:val="0"/>
              <w:autoSpaceDN w:val="0"/>
              <w:adjustRightInd w:val="0"/>
              <w:jc w:val="center"/>
              <w:rPr>
                <w:bCs/>
                <w:sz w:val="18"/>
                <w:szCs w:val="18"/>
              </w:rPr>
            </w:pPr>
            <w:r w:rsidRPr="007A542A">
              <w:rPr>
                <w:bCs/>
                <w:sz w:val="18"/>
                <w:szCs w:val="18"/>
              </w:rPr>
              <w:t>100 %</w:t>
            </w:r>
          </w:p>
        </w:tc>
        <w:tc>
          <w:tcPr>
            <w:tcW w:w="595" w:type="pct"/>
          </w:tcPr>
          <w:p w:rsidR="004C285E" w:rsidRPr="007A542A" w:rsidRDefault="00265127" w:rsidP="00F86F85">
            <w:pPr>
              <w:autoSpaceDE w:val="0"/>
              <w:autoSpaceDN w:val="0"/>
              <w:adjustRightInd w:val="0"/>
              <w:jc w:val="center"/>
              <w:rPr>
                <w:bCs/>
                <w:sz w:val="18"/>
                <w:szCs w:val="18"/>
              </w:rPr>
            </w:pPr>
            <w:r w:rsidRPr="007A542A">
              <w:rPr>
                <w:bCs/>
                <w:sz w:val="18"/>
                <w:szCs w:val="18"/>
              </w:rPr>
              <w:t>23</w:t>
            </w:r>
            <w:r w:rsidR="00F9620A" w:rsidRPr="007A542A">
              <w:rPr>
                <w:bCs/>
                <w:sz w:val="18"/>
                <w:szCs w:val="18"/>
              </w:rPr>
              <w:t xml:space="preserve"> 000</w:t>
            </w:r>
            <w:r w:rsidR="00A31A7C" w:rsidRPr="007A542A">
              <w:rPr>
                <w:bCs/>
                <w:sz w:val="18"/>
                <w:szCs w:val="18"/>
              </w:rPr>
              <w:t xml:space="preserve"> tis. USD</w:t>
            </w:r>
          </w:p>
        </w:tc>
        <w:tc>
          <w:tcPr>
            <w:tcW w:w="673" w:type="pct"/>
          </w:tcPr>
          <w:p w:rsidR="004C285E" w:rsidRPr="007A542A" w:rsidRDefault="00831720" w:rsidP="00831720">
            <w:pPr>
              <w:autoSpaceDE w:val="0"/>
              <w:autoSpaceDN w:val="0"/>
              <w:adjustRightInd w:val="0"/>
              <w:jc w:val="center"/>
              <w:rPr>
                <w:bCs/>
                <w:sz w:val="18"/>
                <w:szCs w:val="18"/>
              </w:rPr>
            </w:pPr>
            <w:r>
              <w:rPr>
                <w:bCs/>
                <w:sz w:val="18"/>
                <w:szCs w:val="18"/>
              </w:rPr>
              <w:t>20 554</w:t>
            </w:r>
          </w:p>
        </w:tc>
        <w:tc>
          <w:tcPr>
            <w:tcW w:w="1079" w:type="pct"/>
          </w:tcPr>
          <w:p w:rsidR="004C285E" w:rsidRPr="007A542A" w:rsidRDefault="00905EF4" w:rsidP="00265127">
            <w:pPr>
              <w:autoSpaceDE w:val="0"/>
              <w:autoSpaceDN w:val="0"/>
              <w:adjustRightInd w:val="0"/>
              <w:jc w:val="center"/>
              <w:rPr>
                <w:bCs/>
                <w:sz w:val="18"/>
                <w:szCs w:val="18"/>
              </w:rPr>
            </w:pPr>
            <w:r w:rsidRPr="007A542A">
              <w:rPr>
                <w:bCs/>
                <w:sz w:val="18"/>
                <w:szCs w:val="18"/>
              </w:rPr>
              <w:t xml:space="preserve">100 % podíl v hodnotě </w:t>
            </w:r>
            <w:r w:rsidR="00ED552A" w:rsidRPr="007A542A">
              <w:rPr>
                <w:bCs/>
                <w:sz w:val="18"/>
                <w:szCs w:val="18"/>
              </w:rPr>
              <w:br/>
            </w:r>
            <w:r w:rsidR="00265127" w:rsidRPr="007A542A">
              <w:rPr>
                <w:bCs/>
                <w:sz w:val="18"/>
                <w:szCs w:val="18"/>
              </w:rPr>
              <w:t>23</w:t>
            </w:r>
            <w:r w:rsidR="00B830EF" w:rsidRPr="007A542A">
              <w:rPr>
                <w:bCs/>
                <w:sz w:val="18"/>
                <w:szCs w:val="18"/>
              </w:rPr>
              <w:t xml:space="preserve"> 000</w:t>
            </w:r>
            <w:r w:rsidRPr="007A542A">
              <w:rPr>
                <w:bCs/>
                <w:sz w:val="18"/>
                <w:szCs w:val="18"/>
              </w:rPr>
              <w:t xml:space="preserve"> tis. USD</w:t>
            </w:r>
          </w:p>
        </w:tc>
      </w:tr>
    </w:tbl>
    <w:p w:rsidR="00E423CB" w:rsidRPr="007A542A" w:rsidRDefault="00543C8B" w:rsidP="004A3055">
      <w:pPr>
        <w:jc w:val="both"/>
        <w:rPr>
          <w:sz w:val="18"/>
          <w:szCs w:val="18"/>
        </w:rPr>
      </w:pPr>
      <w:r w:rsidRPr="007A542A">
        <w:rPr>
          <w:sz w:val="18"/>
          <w:szCs w:val="18"/>
        </w:rPr>
        <w:t>*</w:t>
      </w:r>
      <w:r w:rsidR="009F1A7B" w:rsidRPr="007A542A">
        <w:rPr>
          <w:sz w:val="18"/>
          <w:szCs w:val="18"/>
          <w:vertAlign w:val="superscript"/>
        </w:rPr>
        <w:t xml:space="preserve"> </w:t>
      </w:r>
      <w:r w:rsidR="00E423CB" w:rsidRPr="007A542A">
        <w:rPr>
          <w:sz w:val="18"/>
          <w:szCs w:val="18"/>
        </w:rPr>
        <w:t xml:space="preserve">Společnost </w:t>
      </w:r>
      <w:r w:rsidR="009F1A7B" w:rsidRPr="007A542A">
        <w:rPr>
          <w:sz w:val="18"/>
          <w:szCs w:val="18"/>
        </w:rPr>
        <w:t xml:space="preserve">PEGAS NONWOVENS s.r.o. </w:t>
      </w:r>
      <w:r w:rsidR="00E423CB" w:rsidRPr="007A542A">
        <w:rPr>
          <w:sz w:val="18"/>
          <w:szCs w:val="18"/>
        </w:rPr>
        <w:t>vznikla 14. listopadu 2003 (původním jménem ELK INVESTMENTS s.r.o.). V průběhu rok</w:t>
      </w:r>
      <w:r w:rsidR="000D5C47" w:rsidRPr="007A542A">
        <w:rPr>
          <w:sz w:val="18"/>
          <w:szCs w:val="18"/>
        </w:rPr>
        <w:t>u 2006 byl změněn název obchodní</w:t>
      </w:r>
      <w:r w:rsidR="00E423CB" w:rsidRPr="007A542A">
        <w:rPr>
          <w:sz w:val="18"/>
          <w:szCs w:val="18"/>
        </w:rPr>
        <w:t xml:space="preserve"> firmy na PEGAS NONWOVENS s.r.o. PEGAS a.s., dceřiná společnost společnosti PEGAS NONWOVENS s.r.o., vznikla v roce 1990. Tato společnost byla sloučena do společnosti </w:t>
      </w:r>
      <w:r w:rsidR="000D5C47" w:rsidRPr="007A542A">
        <w:rPr>
          <w:sz w:val="18"/>
          <w:szCs w:val="18"/>
        </w:rPr>
        <w:t>PEGAS NONWOVENS s.r.o. s rozhodným dnem fúze 1. ledna 2006. Společnost PEGAS a.s. byla vymazána z obchodního rejstříku dne 12. května 2006. Společnost CEE Enterprise a.s. byla sloučena do společnosti PEGAS NONWOVENS s.r.o. s rozhodným dnem 1. ledna 2007. Společnost CEE Enterprise a.s. byla vymazána z obchodního rejstříku dne 20. srpna 2007.</w:t>
      </w:r>
      <w:r w:rsidR="001A41BB" w:rsidRPr="007A542A">
        <w:t xml:space="preserve"> </w:t>
      </w:r>
      <w:r w:rsidR="001A41BB" w:rsidRPr="007A542A">
        <w:rPr>
          <w:sz w:val="18"/>
          <w:szCs w:val="18"/>
        </w:rPr>
        <w:t>Bývalá dceřiná společnost PEGAS – DS a.s. zanikla v důsledku fúze sloučením se společností PEGAS NONWOVENS s.r.o., jakožto společností nástupnickou (od 1. ledna 2011).</w:t>
      </w:r>
      <w:r w:rsidR="000D5C47" w:rsidRPr="007A542A">
        <w:rPr>
          <w:sz w:val="18"/>
          <w:szCs w:val="18"/>
        </w:rPr>
        <w:t xml:space="preserve"> </w:t>
      </w:r>
    </w:p>
    <w:p w:rsidR="006B4829" w:rsidRPr="007A542A" w:rsidRDefault="006B4829" w:rsidP="004A3055">
      <w:pPr>
        <w:jc w:val="both"/>
        <w:rPr>
          <w:sz w:val="18"/>
          <w:szCs w:val="18"/>
        </w:rPr>
      </w:pPr>
    </w:p>
    <w:p w:rsidR="006B4829" w:rsidRPr="007A542A" w:rsidRDefault="006B4829" w:rsidP="008D6A40">
      <w:pPr>
        <w:jc w:val="both"/>
        <w:rPr>
          <w:sz w:val="18"/>
          <w:szCs w:val="18"/>
        </w:rPr>
      </w:pPr>
      <w:bookmarkStart w:id="47" w:name="_Toc165188453"/>
      <w:r w:rsidRPr="007A542A">
        <w:rPr>
          <w:sz w:val="18"/>
          <w:szCs w:val="18"/>
        </w:rPr>
        <w:t xml:space="preserve">** Společnost PEGAS NONWOVENS International s.r.o. byla založena jako účelová firma zřízená k realizaci potenciálních budoucích investic. </w:t>
      </w:r>
    </w:p>
    <w:p w:rsidR="00B7349A" w:rsidRPr="007A542A" w:rsidRDefault="00B7349A" w:rsidP="008D6A40">
      <w:pPr>
        <w:jc w:val="both"/>
        <w:rPr>
          <w:sz w:val="18"/>
          <w:szCs w:val="18"/>
          <w:vertAlign w:val="superscript"/>
        </w:rPr>
      </w:pPr>
    </w:p>
    <w:p w:rsidR="00B7349A" w:rsidRDefault="00B7349A" w:rsidP="008D6A40">
      <w:pPr>
        <w:jc w:val="both"/>
        <w:rPr>
          <w:bCs/>
          <w:sz w:val="18"/>
          <w:szCs w:val="18"/>
        </w:rPr>
      </w:pPr>
      <w:r w:rsidRPr="007A542A">
        <w:rPr>
          <w:sz w:val="18"/>
          <w:szCs w:val="18"/>
        </w:rPr>
        <w:t xml:space="preserve">*** Společnost </w:t>
      </w:r>
      <w:r w:rsidRPr="007A542A">
        <w:rPr>
          <w:bCs/>
          <w:sz w:val="18"/>
          <w:szCs w:val="18"/>
        </w:rPr>
        <w:t xml:space="preserve">PEGAS NONWOVENS EGYPT LLC byla založena </w:t>
      </w:r>
      <w:r w:rsidR="0043406F">
        <w:rPr>
          <w:bCs/>
          <w:sz w:val="18"/>
          <w:szCs w:val="18"/>
        </w:rPr>
        <w:t>jako účelová firma zřízená k realizaci investice do výstavby a provozování nové výrobní linky v Egyptě</w:t>
      </w:r>
      <w:r w:rsidRPr="007A542A">
        <w:rPr>
          <w:bCs/>
          <w:sz w:val="18"/>
          <w:szCs w:val="18"/>
        </w:rPr>
        <w:t xml:space="preserve">. </w:t>
      </w:r>
    </w:p>
    <w:p w:rsidR="0043406F" w:rsidRPr="007A542A" w:rsidRDefault="0043406F" w:rsidP="008D6A40">
      <w:pPr>
        <w:jc w:val="both"/>
        <w:rPr>
          <w:sz w:val="18"/>
          <w:szCs w:val="18"/>
        </w:rPr>
        <w:sectPr w:rsidR="0043406F" w:rsidRPr="007A542A" w:rsidSect="002508E3">
          <w:pgSz w:w="11906" w:h="16838"/>
          <w:pgMar w:top="1417" w:right="1417" w:bottom="1417" w:left="1417" w:header="708" w:footer="708" w:gutter="0"/>
          <w:cols w:space="708"/>
          <w:docGrid w:linePitch="360"/>
        </w:sectPr>
      </w:pPr>
    </w:p>
    <w:p w:rsidR="00CC1601" w:rsidRPr="007A542A" w:rsidRDefault="00CC1601" w:rsidP="00CC1601">
      <w:pPr>
        <w:pStyle w:val="Heading1"/>
        <w:tabs>
          <w:tab w:val="num" w:pos="720"/>
        </w:tabs>
        <w:ind w:left="720" w:hanging="720"/>
      </w:pPr>
      <w:bookmarkStart w:id="48" w:name="_Toc269295558"/>
      <w:bookmarkStart w:id="49" w:name="_Toc269907497"/>
      <w:bookmarkStart w:id="50" w:name="_Toc427918119"/>
      <w:bookmarkEnd w:id="47"/>
      <w:r w:rsidRPr="007A542A">
        <w:lastRenderedPageBreak/>
        <w:t>Mezitímní konsolidovaná účetní závěrka společnosti PEGAS NONWOVENS SA za období šesti měsíců končících 30. červnem 201</w:t>
      </w:r>
      <w:bookmarkEnd w:id="48"/>
      <w:bookmarkEnd w:id="49"/>
      <w:r w:rsidR="0043406F">
        <w:t>5</w:t>
      </w:r>
      <w:bookmarkEnd w:id="50"/>
    </w:p>
    <w:p w:rsidR="00CC1601" w:rsidRPr="009C6249" w:rsidRDefault="00CC1601" w:rsidP="00CC1601">
      <w:pPr>
        <w:pStyle w:val="Heading2"/>
        <w:rPr>
          <w:rFonts w:ascii="Times New Roman" w:hAnsi="Times New Roman" w:cs="Times New Roman"/>
        </w:rPr>
      </w:pPr>
      <w:bookmarkStart w:id="51" w:name="_Toc269139308"/>
      <w:bookmarkStart w:id="52" w:name="_Toc269139309"/>
      <w:bookmarkStart w:id="53" w:name="_Toc269139310"/>
      <w:bookmarkStart w:id="54" w:name="_Toc269139311"/>
      <w:bookmarkStart w:id="55" w:name="_Toc175226104"/>
      <w:bookmarkStart w:id="56" w:name="_Toc165188455"/>
      <w:bookmarkStart w:id="57" w:name="_Toc269295559"/>
      <w:bookmarkStart w:id="58" w:name="_Toc269907498"/>
      <w:bookmarkStart w:id="59" w:name="_Toc427918120"/>
      <w:bookmarkEnd w:id="51"/>
      <w:bookmarkEnd w:id="52"/>
      <w:bookmarkEnd w:id="53"/>
      <w:bookmarkEnd w:id="54"/>
      <w:r w:rsidRPr="009C6249">
        <w:rPr>
          <w:rFonts w:ascii="Times New Roman" w:hAnsi="Times New Roman" w:cs="Times New Roman"/>
        </w:rPr>
        <w:t>Konsolidovaný výkaz o úplném výsledku za období šesti měsíců do 30. června 201</w:t>
      </w:r>
      <w:r w:rsidR="0043406F" w:rsidRPr="009C6249">
        <w:rPr>
          <w:rFonts w:ascii="Times New Roman" w:hAnsi="Times New Roman" w:cs="Times New Roman"/>
        </w:rPr>
        <w:t>5</w:t>
      </w:r>
      <w:r w:rsidRPr="009C6249">
        <w:rPr>
          <w:rFonts w:ascii="Times New Roman" w:hAnsi="Times New Roman" w:cs="Times New Roman"/>
        </w:rPr>
        <w:t xml:space="preserve"> a 30. června 20</w:t>
      </w:r>
      <w:bookmarkEnd w:id="55"/>
      <w:r w:rsidRPr="009C6249">
        <w:rPr>
          <w:rFonts w:ascii="Times New Roman" w:hAnsi="Times New Roman" w:cs="Times New Roman"/>
        </w:rPr>
        <w:t>1</w:t>
      </w:r>
      <w:r w:rsidR="0043406F" w:rsidRPr="009C6249">
        <w:rPr>
          <w:rFonts w:ascii="Times New Roman" w:hAnsi="Times New Roman" w:cs="Times New Roman"/>
        </w:rPr>
        <w:t>4</w:t>
      </w:r>
      <w:r w:rsidRPr="009C6249">
        <w:rPr>
          <w:rFonts w:ascii="Times New Roman" w:hAnsi="Times New Roman" w:cs="Times New Roman"/>
        </w:rPr>
        <w:t xml:space="preserve"> </w:t>
      </w:r>
      <w:bookmarkEnd w:id="56"/>
      <w:r w:rsidRPr="009C6249">
        <w:rPr>
          <w:rFonts w:ascii="Times New Roman" w:hAnsi="Times New Roman" w:cs="Times New Roman"/>
        </w:rPr>
        <w:t>ve zkrácené podobě</w:t>
      </w:r>
      <w:bookmarkEnd w:id="57"/>
      <w:bookmarkEnd w:id="58"/>
      <w:bookmarkEnd w:id="59"/>
    </w:p>
    <w:p w:rsidR="00CC1601" w:rsidRPr="007A542A" w:rsidRDefault="00CC1601" w:rsidP="00CC1601">
      <w:pPr>
        <w:autoSpaceDE w:val="0"/>
        <w:autoSpaceDN w:val="0"/>
        <w:adjustRightInd w:val="0"/>
        <w:spacing w:line="240" w:lineRule="atLeast"/>
        <w:jc w:val="both"/>
        <w:rPr>
          <w:color w:val="000000"/>
        </w:rPr>
      </w:pPr>
      <w:r w:rsidRPr="007A542A">
        <w:t xml:space="preserve">Neauditované výkazy připravené v souladu s </w:t>
      </w:r>
      <w:r w:rsidRPr="007A542A">
        <w:rPr>
          <w:color w:val="000000"/>
        </w:rPr>
        <w:t>Mezinárodními standardy účetního výkaznictví (IFRS) a Mezinárodními účetními standardy IAS 34 ve znění přijatém Evropskou unií</w:t>
      </w:r>
    </w:p>
    <w:p w:rsidR="00CC1601" w:rsidRPr="007A542A" w:rsidRDefault="00CC1601" w:rsidP="00CC1601">
      <w:pPr>
        <w:widowControl w:val="0"/>
      </w:pPr>
      <w:r w:rsidRPr="007A542A">
        <w:t>(v tisících EUR)</w:t>
      </w:r>
    </w:p>
    <w:tbl>
      <w:tblPr>
        <w:tblW w:w="8592" w:type="dxa"/>
        <w:tblInd w:w="70" w:type="dxa"/>
        <w:tblCellMar>
          <w:left w:w="70" w:type="dxa"/>
          <w:right w:w="70" w:type="dxa"/>
        </w:tblCellMar>
        <w:tblLook w:val="04A0" w:firstRow="1" w:lastRow="0" w:firstColumn="1" w:lastColumn="0" w:noHBand="0" w:noVBand="1"/>
      </w:tblPr>
      <w:tblGrid>
        <w:gridCol w:w="3956"/>
        <w:gridCol w:w="1617"/>
        <w:gridCol w:w="1617"/>
        <w:gridCol w:w="1402"/>
      </w:tblGrid>
      <w:tr w:rsidR="005C2DAB" w:rsidRPr="005C2DAB" w:rsidTr="005C2DAB">
        <w:trPr>
          <w:trHeight w:val="285"/>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4636" w:type="dxa"/>
            <w:gridSpan w:val="3"/>
            <w:tcBorders>
              <w:top w:val="nil"/>
              <w:left w:val="nil"/>
              <w:bottom w:val="single" w:sz="12" w:space="0" w:color="auto"/>
              <w:right w:val="nil"/>
            </w:tcBorders>
            <w:shd w:val="clear" w:color="auto" w:fill="auto"/>
            <w:noWrap/>
            <w:vAlign w:val="bottom"/>
            <w:hideMark/>
          </w:tcPr>
          <w:p w:rsidR="005C2DAB" w:rsidRPr="005C2DAB" w:rsidRDefault="005C2DAB">
            <w:pPr>
              <w:jc w:val="center"/>
              <w:rPr>
                <w:b/>
                <w:bCs/>
                <w:color w:val="000000"/>
                <w:sz w:val="22"/>
                <w:szCs w:val="22"/>
              </w:rPr>
            </w:pPr>
            <w:r w:rsidRPr="005C2DAB">
              <w:rPr>
                <w:b/>
                <w:bCs/>
                <w:color w:val="000000"/>
                <w:sz w:val="22"/>
                <w:szCs w:val="22"/>
              </w:rPr>
              <w:t>Období šesti měsíců do</w:t>
            </w:r>
          </w:p>
        </w:tc>
      </w:tr>
      <w:tr w:rsidR="005C2DAB" w:rsidRPr="005C2DAB" w:rsidTr="005C2DAB">
        <w:trPr>
          <w:trHeight w:val="564"/>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vAlign w:val="bottom"/>
            <w:hideMark/>
          </w:tcPr>
          <w:p w:rsidR="005C2DAB" w:rsidRPr="005C2DAB" w:rsidRDefault="005C2DAB">
            <w:pPr>
              <w:jc w:val="center"/>
              <w:rPr>
                <w:b/>
                <w:bCs/>
                <w:color w:val="000000"/>
                <w:sz w:val="22"/>
                <w:szCs w:val="22"/>
              </w:rPr>
            </w:pPr>
            <w:r w:rsidRPr="005C2DAB">
              <w:rPr>
                <w:b/>
                <w:bCs/>
                <w:color w:val="000000"/>
                <w:sz w:val="22"/>
                <w:szCs w:val="22"/>
              </w:rPr>
              <w:t>30. června</w:t>
            </w:r>
            <w:r w:rsidRPr="005C2DAB">
              <w:rPr>
                <w:b/>
                <w:bCs/>
                <w:color w:val="000000"/>
                <w:sz w:val="22"/>
                <w:szCs w:val="22"/>
              </w:rPr>
              <w:br/>
              <w:t>2014</w:t>
            </w:r>
          </w:p>
        </w:tc>
        <w:tc>
          <w:tcPr>
            <w:tcW w:w="1617" w:type="dxa"/>
            <w:tcBorders>
              <w:top w:val="nil"/>
              <w:left w:val="nil"/>
              <w:bottom w:val="nil"/>
              <w:right w:val="nil"/>
            </w:tcBorders>
            <w:shd w:val="clear" w:color="auto" w:fill="auto"/>
            <w:vAlign w:val="bottom"/>
            <w:hideMark/>
          </w:tcPr>
          <w:p w:rsidR="005C2DAB" w:rsidRPr="005C2DAB" w:rsidRDefault="005C2DAB">
            <w:pPr>
              <w:jc w:val="center"/>
              <w:rPr>
                <w:b/>
                <w:bCs/>
                <w:color w:val="000000"/>
                <w:sz w:val="22"/>
                <w:szCs w:val="22"/>
              </w:rPr>
            </w:pPr>
            <w:r w:rsidRPr="005C2DAB">
              <w:rPr>
                <w:b/>
                <w:bCs/>
                <w:color w:val="000000"/>
                <w:sz w:val="22"/>
                <w:szCs w:val="22"/>
              </w:rPr>
              <w:t>30. června</w:t>
            </w:r>
            <w:r w:rsidRPr="005C2DAB">
              <w:rPr>
                <w:b/>
                <w:bCs/>
                <w:color w:val="000000"/>
                <w:sz w:val="22"/>
                <w:szCs w:val="22"/>
              </w:rPr>
              <w:br/>
              <w:t>2015</w:t>
            </w:r>
          </w:p>
        </w:tc>
        <w:tc>
          <w:tcPr>
            <w:tcW w:w="1402"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 </w:t>
            </w:r>
          </w:p>
        </w:tc>
      </w:tr>
      <w:tr w:rsidR="005C2DAB" w:rsidRPr="005C2DAB" w:rsidTr="005C2DAB">
        <w:trPr>
          <w:trHeight w:val="288"/>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single" w:sz="12" w:space="0" w:color="auto"/>
              <w:right w:val="nil"/>
            </w:tcBorders>
            <w:shd w:val="clear" w:color="auto" w:fill="auto"/>
            <w:noWrap/>
            <w:vAlign w:val="bottom"/>
            <w:hideMark/>
          </w:tcPr>
          <w:p w:rsidR="005C2DAB" w:rsidRPr="005C2DAB" w:rsidRDefault="005C2DAB">
            <w:pPr>
              <w:jc w:val="center"/>
              <w:rPr>
                <w:color w:val="000000"/>
                <w:sz w:val="22"/>
                <w:szCs w:val="22"/>
              </w:rPr>
            </w:pPr>
            <w:r w:rsidRPr="005C2DAB">
              <w:rPr>
                <w:color w:val="000000"/>
                <w:sz w:val="22"/>
                <w:szCs w:val="22"/>
              </w:rPr>
              <w:t>(neauditované)</w:t>
            </w:r>
          </w:p>
        </w:tc>
        <w:tc>
          <w:tcPr>
            <w:tcW w:w="1617" w:type="dxa"/>
            <w:tcBorders>
              <w:top w:val="nil"/>
              <w:left w:val="nil"/>
              <w:bottom w:val="single" w:sz="12" w:space="0" w:color="auto"/>
              <w:right w:val="nil"/>
            </w:tcBorders>
            <w:shd w:val="clear" w:color="auto" w:fill="auto"/>
            <w:noWrap/>
            <w:vAlign w:val="bottom"/>
            <w:hideMark/>
          </w:tcPr>
          <w:p w:rsidR="005C2DAB" w:rsidRPr="005C2DAB" w:rsidRDefault="005C2DAB">
            <w:pPr>
              <w:jc w:val="center"/>
              <w:rPr>
                <w:color w:val="000000"/>
                <w:sz w:val="22"/>
                <w:szCs w:val="22"/>
              </w:rPr>
            </w:pPr>
            <w:r w:rsidRPr="005C2DAB">
              <w:rPr>
                <w:color w:val="000000"/>
                <w:sz w:val="22"/>
                <w:szCs w:val="22"/>
              </w:rPr>
              <w:t>(neauditované)</w:t>
            </w:r>
          </w:p>
        </w:tc>
        <w:tc>
          <w:tcPr>
            <w:tcW w:w="1402" w:type="dxa"/>
            <w:tcBorders>
              <w:top w:val="nil"/>
              <w:left w:val="nil"/>
              <w:bottom w:val="single" w:sz="12" w:space="0" w:color="auto"/>
              <w:right w:val="nil"/>
            </w:tcBorders>
            <w:shd w:val="clear" w:color="auto" w:fill="auto"/>
            <w:noWrap/>
            <w:vAlign w:val="bottom"/>
            <w:hideMark/>
          </w:tcPr>
          <w:p w:rsidR="005C2DAB" w:rsidRPr="005C2DAB" w:rsidRDefault="005C2DAB">
            <w:pPr>
              <w:jc w:val="center"/>
              <w:rPr>
                <w:b/>
                <w:bCs/>
                <w:color w:val="000000"/>
                <w:sz w:val="22"/>
                <w:szCs w:val="22"/>
              </w:rPr>
            </w:pPr>
            <w:r w:rsidRPr="005C2DAB">
              <w:rPr>
                <w:b/>
                <w:bCs/>
                <w:color w:val="000000"/>
                <w:sz w:val="22"/>
                <w:szCs w:val="22"/>
              </w:rPr>
              <w:t>% změna</w:t>
            </w:r>
          </w:p>
        </w:tc>
      </w:tr>
      <w:tr w:rsidR="005C2DAB" w:rsidRPr="005C2DAB" w:rsidTr="005C2DAB">
        <w:trPr>
          <w:trHeight w:val="288"/>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Výnosy</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111</w:t>
            </w:r>
            <w:r w:rsidR="00B0727A">
              <w:rPr>
                <w:color w:val="000000"/>
                <w:sz w:val="22"/>
                <w:szCs w:val="22"/>
              </w:rPr>
              <w:t xml:space="preserve"> </w:t>
            </w:r>
            <w:r w:rsidRPr="005C2DAB">
              <w:rPr>
                <w:color w:val="000000"/>
                <w:sz w:val="22"/>
                <w:szCs w:val="22"/>
              </w:rPr>
              <w:t>415</w:t>
            </w:r>
          </w:p>
        </w:tc>
        <w:tc>
          <w:tcPr>
            <w:tcW w:w="1617" w:type="dxa"/>
            <w:tcBorders>
              <w:top w:val="nil"/>
              <w:left w:val="nil"/>
              <w:bottom w:val="nil"/>
              <w:right w:val="nil"/>
            </w:tcBorders>
            <w:shd w:val="clear" w:color="auto" w:fill="auto"/>
            <w:noWrap/>
            <w:vAlign w:val="bottom"/>
            <w:hideMark/>
          </w:tcPr>
          <w:p w:rsidR="005C2DAB" w:rsidRPr="005C2DAB" w:rsidRDefault="005C2DAB">
            <w:pPr>
              <w:ind w:firstLineChars="100" w:firstLine="220"/>
              <w:jc w:val="right"/>
              <w:rPr>
                <w:color w:val="000000"/>
                <w:sz w:val="22"/>
                <w:szCs w:val="22"/>
              </w:rPr>
            </w:pPr>
            <w:r w:rsidRPr="005C2DAB">
              <w:rPr>
                <w:color w:val="000000"/>
                <w:sz w:val="22"/>
                <w:szCs w:val="22"/>
              </w:rPr>
              <w:t>111</w:t>
            </w:r>
            <w:r w:rsidR="00B0727A">
              <w:rPr>
                <w:color w:val="000000"/>
                <w:sz w:val="22"/>
                <w:szCs w:val="22"/>
              </w:rPr>
              <w:t xml:space="preserve"> </w:t>
            </w:r>
            <w:r w:rsidR="008C0748">
              <w:rPr>
                <w:color w:val="000000"/>
                <w:sz w:val="22"/>
                <w:szCs w:val="22"/>
              </w:rPr>
              <w:t>674</w:t>
            </w:r>
          </w:p>
        </w:tc>
        <w:tc>
          <w:tcPr>
            <w:tcW w:w="1402" w:type="dxa"/>
            <w:tcBorders>
              <w:top w:val="nil"/>
              <w:left w:val="nil"/>
              <w:bottom w:val="nil"/>
              <w:right w:val="nil"/>
            </w:tcBorders>
            <w:shd w:val="clear" w:color="auto" w:fill="auto"/>
            <w:noWrap/>
            <w:vAlign w:val="bottom"/>
            <w:hideMark/>
          </w:tcPr>
          <w:p w:rsidR="005C2DAB" w:rsidRPr="005C2DAB" w:rsidRDefault="005C2DAB">
            <w:pPr>
              <w:ind w:firstLineChars="100" w:firstLine="220"/>
              <w:jc w:val="right"/>
              <w:rPr>
                <w:color w:val="000000"/>
                <w:sz w:val="22"/>
                <w:szCs w:val="22"/>
              </w:rPr>
            </w:pPr>
            <w:r w:rsidRPr="005C2DAB">
              <w:rPr>
                <w:color w:val="000000"/>
                <w:sz w:val="22"/>
                <w:szCs w:val="22"/>
              </w:rPr>
              <w:t>0</w:t>
            </w:r>
            <w:r w:rsidR="005A2B64">
              <w:rPr>
                <w:color w:val="000000"/>
                <w:sz w:val="22"/>
                <w:szCs w:val="22"/>
              </w:rPr>
              <w:t>,</w:t>
            </w:r>
            <w:r w:rsidR="008C0748">
              <w:rPr>
                <w:color w:val="000000"/>
                <w:sz w:val="22"/>
                <w:szCs w:val="22"/>
              </w:rPr>
              <w:t>2</w:t>
            </w:r>
            <w:r w:rsidRPr="005C2DAB">
              <w:rPr>
                <w:color w:val="000000"/>
                <w:sz w:val="22"/>
                <w:szCs w:val="22"/>
              </w:rPr>
              <w:t>%</w:t>
            </w: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Spotřeba materiálu a služeb</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-83</w:t>
            </w:r>
            <w:r w:rsidR="00B0727A">
              <w:rPr>
                <w:color w:val="000000"/>
                <w:sz w:val="22"/>
                <w:szCs w:val="22"/>
              </w:rPr>
              <w:t xml:space="preserve"> </w:t>
            </w:r>
            <w:r w:rsidRPr="005C2DAB">
              <w:rPr>
                <w:color w:val="000000"/>
                <w:sz w:val="22"/>
                <w:szCs w:val="22"/>
              </w:rPr>
              <w:t>806</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-81</w:t>
            </w:r>
            <w:r w:rsidR="00B0727A">
              <w:rPr>
                <w:color w:val="000000"/>
                <w:sz w:val="22"/>
                <w:szCs w:val="22"/>
              </w:rPr>
              <w:t xml:space="preserve"> </w:t>
            </w:r>
            <w:r w:rsidRPr="005C2DAB">
              <w:rPr>
                <w:color w:val="000000"/>
                <w:sz w:val="22"/>
                <w:szCs w:val="22"/>
              </w:rPr>
              <w:t>647</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-2</w:t>
            </w:r>
            <w:r w:rsidR="005A2B64">
              <w:rPr>
                <w:color w:val="000000"/>
                <w:sz w:val="22"/>
                <w:szCs w:val="22"/>
              </w:rPr>
              <w:t>,</w:t>
            </w:r>
            <w:r w:rsidRPr="005C2DAB">
              <w:rPr>
                <w:color w:val="000000"/>
                <w:sz w:val="22"/>
                <w:szCs w:val="22"/>
              </w:rPr>
              <w:t>6%</w:t>
            </w: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Osobní náklady</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-4</w:t>
            </w:r>
            <w:r w:rsidR="00B0727A">
              <w:rPr>
                <w:color w:val="000000"/>
                <w:sz w:val="22"/>
                <w:szCs w:val="22"/>
              </w:rPr>
              <w:t xml:space="preserve"> </w:t>
            </w:r>
            <w:r w:rsidRPr="005C2DAB">
              <w:rPr>
                <w:color w:val="000000"/>
                <w:sz w:val="22"/>
                <w:szCs w:val="22"/>
              </w:rPr>
              <w:t>992</w:t>
            </w:r>
          </w:p>
        </w:tc>
        <w:tc>
          <w:tcPr>
            <w:tcW w:w="1617" w:type="dxa"/>
            <w:tcBorders>
              <w:top w:val="nil"/>
              <w:left w:val="nil"/>
              <w:bottom w:val="nil"/>
              <w:right w:val="nil"/>
            </w:tcBorders>
            <w:shd w:val="clear" w:color="auto" w:fill="auto"/>
            <w:noWrap/>
            <w:vAlign w:val="bottom"/>
            <w:hideMark/>
          </w:tcPr>
          <w:p w:rsidR="005C2DAB" w:rsidRPr="005C2DAB" w:rsidRDefault="005C2DAB">
            <w:pPr>
              <w:ind w:firstLineChars="100" w:firstLine="220"/>
              <w:jc w:val="right"/>
              <w:rPr>
                <w:color w:val="000000"/>
                <w:sz w:val="22"/>
                <w:szCs w:val="22"/>
              </w:rPr>
            </w:pPr>
            <w:r w:rsidRPr="005C2DAB">
              <w:rPr>
                <w:color w:val="000000"/>
                <w:sz w:val="22"/>
                <w:szCs w:val="22"/>
              </w:rPr>
              <w:t>-7</w:t>
            </w:r>
            <w:r w:rsidR="00B0727A">
              <w:rPr>
                <w:color w:val="000000"/>
                <w:sz w:val="22"/>
                <w:szCs w:val="22"/>
              </w:rPr>
              <w:t xml:space="preserve"> </w:t>
            </w:r>
            <w:r w:rsidR="008C0748">
              <w:rPr>
                <w:color w:val="000000"/>
                <w:sz w:val="22"/>
                <w:szCs w:val="22"/>
              </w:rPr>
              <w:t>572</w:t>
            </w:r>
          </w:p>
        </w:tc>
        <w:tc>
          <w:tcPr>
            <w:tcW w:w="1402" w:type="dxa"/>
            <w:tcBorders>
              <w:top w:val="nil"/>
              <w:left w:val="nil"/>
              <w:bottom w:val="nil"/>
              <w:right w:val="nil"/>
            </w:tcBorders>
            <w:shd w:val="clear" w:color="auto" w:fill="auto"/>
            <w:noWrap/>
            <w:vAlign w:val="bottom"/>
            <w:hideMark/>
          </w:tcPr>
          <w:p w:rsidR="005C2DAB" w:rsidRPr="005C2DAB" w:rsidRDefault="005C2DAB">
            <w:pPr>
              <w:ind w:firstLineChars="100" w:firstLine="220"/>
              <w:jc w:val="right"/>
              <w:rPr>
                <w:color w:val="000000"/>
                <w:sz w:val="22"/>
                <w:szCs w:val="22"/>
              </w:rPr>
            </w:pPr>
            <w:r w:rsidRPr="005C2DAB">
              <w:rPr>
                <w:color w:val="000000"/>
                <w:sz w:val="22"/>
                <w:szCs w:val="22"/>
              </w:rPr>
              <w:t>5</w:t>
            </w:r>
            <w:r w:rsidR="008C0748">
              <w:rPr>
                <w:color w:val="000000"/>
                <w:sz w:val="22"/>
                <w:szCs w:val="22"/>
              </w:rPr>
              <w:t>1</w:t>
            </w:r>
            <w:r w:rsidR="005A2B64">
              <w:rPr>
                <w:color w:val="000000"/>
                <w:sz w:val="22"/>
                <w:szCs w:val="22"/>
              </w:rPr>
              <w:t>,</w:t>
            </w:r>
            <w:r w:rsidR="008C0748">
              <w:rPr>
                <w:color w:val="000000"/>
                <w:sz w:val="22"/>
                <w:szCs w:val="22"/>
              </w:rPr>
              <w:t>7</w:t>
            </w:r>
            <w:r w:rsidRPr="005C2DAB">
              <w:rPr>
                <w:color w:val="000000"/>
                <w:sz w:val="22"/>
                <w:szCs w:val="22"/>
              </w:rPr>
              <w:t>%</w:t>
            </w:r>
          </w:p>
        </w:tc>
      </w:tr>
      <w:tr w:rsidR="005C2DAB" w:rsidRPr="005C2DAB" w:rsidTr="005C2DAB">
        <w:trPr>
          <w:trHeight w:val="552"/>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Ostatní provozní výnosy/(náklady) (netto)</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-481</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-894</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85</w:t>
            </w:r>
            <w:r w:rsidR="005A2B64">
              <w:rPr>
                <w:color w:val="000000"/>
                <w:sz w:val="22"/>
                <w:szCs w:val="22"/>
              </w:rPr>
              <w:t>,</w:t>
            </w:r>
            <w:r w:rsidRPr="005C2DAB">
              <w:rPr>
                <w:color w:val="000000"/>
                <w:sz w:val="22"/>
                <w:szCs w:val="22"/>
              </w:rPr>
              <w:t>9%</w:t>
            </w:r>
          </w:p>
        </w:tc>
      </w:tr>
      <w:tr w:rsidR="005C2DAB" w:rsidRPr="005C2DAB" w:rsidTr="005C2DAB">
        <w:trPr>
          <w:trHeight w:val="315"/>
        </w:trPr>
        <w:tc>
          <w:tcPr>
            <w:tcW w:w="3956"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EBITDA</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22</w:t>
            </w:r>
            <w:r w:rsidR="00B0727A">
              <w:rPr>
                <w:b/>
                <w:bCs/>
                <w:color w:val="000000"/>
                <w:sz w:val="22"/>
                <w:szCs w:val="22"/>
              </w:rPr>
              <w:t xml:space="preserve"> </w:t>
            </w:r>
            <w:r w:rsidRPr="005C2DAB">
              <w:rPr>
                <w:b/>
                <w:bCs/>
                <w:color w:val="000000"/>
                <w:sz w:val="22"/>
                <w:szCs w:val="22"/>
              </w:rPr>
              <w:t>136</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21</w:t>
            </w:r>
            <w:r w:rsidR="00B0727A">
              <w:rPr>
                <w:b/>
                <w:bCs/>
                <w:color w:val="000000"/>
                <w:sz w:val="22"/>
                <w:szCs w:val="22"/>
              </w:rPr>
              <w:t xml:space="preserve"> </w:t>
            </w:r>
            <w:r w:rsidRPr="005C2DAB">
              <w:rPr>
                <w:b/>
                <w:bCs/>
                <w:color w:val="000000"/>
                <w:sz w:val="22"/>
                <w:szCs w:val="22"/>
              </w:rPr>
              <w:t>561</w:t>
            </w:r>
          </w:p>
        </w:tc>
        <w:tc>
          <w:tcPr>
            <w:tcW w:w="1402"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-2</w:t>
            </w:r>
            <w:r w:rsidR="005A2B64">
              <w:rPr>
                <w:b/>
                <w:bCs/>
                <w:color w:val="000000"/>
                <w:sz w:val="22"/>
                <w:szCs w:val="22"/>
              </w:rPr>
              <w:t>,</w:t>
            </w:r>
            <w:r w:rsidRPr="005C2DAB">
              <w:rPr>
                <w:b/>
                <w:bCs/>
                <w:color w:val="000000"/>
                <w:sz w:val="22"/>
                <w:szCs w:val="22"/>
              </w:rPr>
              <w:t>6%</w:t>
            </w: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b/>
                <w:bCs/>
                <w:i/>
                <w:iCs/>
                <w:color w:val="000000"/>
                <w:sz w:val="22"/>
                <w:szCs w:val="22"/>
              </w:rPr>
            </w:pPr>
            <w:r w:rsidRPr="005C2DAB">
              <w:rPr>
                <w:b/>
                <w:bCs/>
                <w:i/>
                <w:iCs/>
                <w:color w:val="000000"/>
                <w:sz w:val="22"/>
                <w:szCs w:val="22"/>
              </w:rPr>
              <w:t xml:space="preserve">EBITDA marže </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1"/>
              <w:jc w:val="right"/>
              <w:rPr>
                <w:b/>
                <w:bCs/>
                <w:i/>
                <w:iCs/>
                <w:color w:val="000000"/>
                <w:sz w:val="22"/>
                <w:szCs w:val="22"/>
              </w:rPr>
            </w:pPr>
            <w:r w:rsidRPr="005C2DAB">
              <w:rPr>
                <w:b/>
                <w:bCs/>
                <w:i/>
                <w:iCs/>
                <w:color w:val="000000"/>
                <w:sz w:val="22"/>
                <w:szCs w:val="22"/>
              </w:rPr>
              <w:t>19</w:t>
            </w:r>
            <w:r w:rsidR="005A2B64">
              <w:rPr>
                <w:b/>
                <w:bCs/>
                <w:i/>
                <w:iCs/>
                <w:color w:val="000000"/>
                <w:sz w:val="22"/>
                <w:szCs w:val="22"/>
              </w:rPr>
              <w:t>,</w:t>
            </w:r>
            <w:r w:rsidRPr="005C2DAB">
              <w:rPr>
                <w:b/>
                <w:bCs/>
                <w:i/>
                <w:iCs/>
                <w:color w:val="000000"/>
                <w:sz w:val="22"/>
                <w:szCs w:val="22"/>
              </w:rPr>
              <w:t>9%</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1"/>
              <w:jc w:val="right"/>
              <w:rPr>
                <w:b/>
                <w:bCs/>
                <w:i/>
                <w:iCs/>
                <w:color w:val="000000"/>
                <w:sz w:val="22"/>
                <w:szCs w:val="22"/>
              </w:rPr>
            </w:pPr>
            <w:r w:rsidRPr="005C2DAB">
              <w:rPr>
                <w:b/>
                <w:bCs/>
                <w:i/>
                <w:iCs/>
                <w:color w:val="000000"/>
                <w:sz w:val="22"/>
                <w:szCs w:val="22"/>
              </w:rPr>
              <w:t>19</w:t>
            </w:r>
            <w:r w:rsidR="005A2B64">
              <w:rPr>
                <w:b/>
                <w:bCs/>
                <w:i/>
                <w:iCs/>
                <w:color w:val="000000"/>
                <w:sz w:val="22"/>
                <w:szCs w:val="22"/>
              </w:rPr>
              <w:t>,</w:t>
            </w:r>
            <w:r w:rsidRPr="005C2DAB">
              <w:rPr>
                <w:b/>
                <w:bCs/>
                <w:i/>
                <w:iCs/>
                <w:color w:val="000000"/>
                <w:sz w:val="22"/>
                <w:szCs w:val="22"/>
              </w:rPr>
              <w:t>3%</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1"/>
              <w:jc w:val="right"/>
              <w:rPr>
                <w:b/>
                <w:bCs/>
                <w:i/>
                <w:iCs/>
                <w:color w:val="000000"/>
                <w:sz w:val="22"/>
                <w:szCs w:val="22"/>
              </w:rPr>
            </w:pPr>
            <w:r w:rsidRPr="005C2DAB">
              <w:rPr>
                <w:b/>
                <w:bCs/>
                <w:i/>
                <w:iCs/>
                <w:color w:val="000000"/>
                <w:sz w:val="22"/>
                <w:szCs w:val="22"/>
              </w:rPr>
              <w:t>-0</w:t>
            </w:r>
            <w:r w:rsidR="005A2B64">
              <w:rPr>
                <w:b/>
                <w:bCs/>
                <w:i/>
                <w:iCs/>
                <w:color w:val="000000"/>
                <w:sz w:val="22"/>
                <w:szCs w:val="22"/>
              </w:rPr>
              <w:t>,</w:t>
            </w:r>
            <w:r w:rsidRPr="005C2DAB">
              <w:rPr>
                <w:b/>
                <w:bCs/>
                <w:i/>
                <w:iCs/>
                <w:color w:val="000000"/>
                <w:sz w:val="22"/>
                <w:szCs w:val="22"/>
              </w:rPr>
              <w:t>6 pb</w:t>
            </w: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r>
      <w:tr w:rsidR="005C2DAB" w:rsidRPr="005C2DAB" w:rsidTr="005C2DAB">
        <w:trPr>
          <w:trHeight w:val="552"/>
        </w:trPr>
        <w:tc>
          <w:tcPr>
            <w:tcW w:w="3956" w:type="dxa"/>
            <w:tcBorders>
              <w:top w:val="nil"/>
              <w:left w:val="nil"/>
              <w:bottom w:val="nil"/>
              <w:right w:val="nil"/>
            </w:tcBorders>
            <w:shd w:val="clear" w:color="auto" w:fill="auto"/>
            <w:vAlign w:val="bottom"/>
            <w:hideMark/>
          </w:tcPr>
          <w:p w:rsidR="005C2DAB" w:rsidRPr="005C2DAB" w:rsidRDefault="005C2DAB">
            <w:pPr>
              <w:rPr>
                <w:color w:val="000000"/>
                <w:sz w:val="22"/>
                <w:szCs w:val="22"/>
              </w:rPr>
            </w:pPr>
            <w:r w:rsidRPr="005C2DAB">
              <w:rPr>
                <w:color w:val="000000"/>
                <w:sz w:val="22"/>
                <w:szCs w:val="22"/>
              </w:rPr>
              <w:t>Odpisy dlouhodobého nehmotného a hmotného majetku</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-7</w:t>
            </w:r>
            <w:r w:rsidR="00B0727A">
              <w:rPr>
                <w:color w:val="000000"/>
                <w:sz w:val="22"/>
                <w:szCs w:val="22"/>
              </w:rPr>
              <w:t xml:space="preserve"> </w:t>
            </w:r>
            <w:r w:rsidRPr="005C2DAB">
              <w:rPr>
                <w:color w:val="000000"/>
                <w:sz w:val="22"/>
                <w:szCs w:val="22"/>
              </w:rPr>
              <w:t>365</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-7</w:t>
            </w:r>
            <w:r w:rsidR="00B0727A">
              <w:rPr>
                <w:color w:val="000000"/>
                <w:sz w:val="22"/>
                <w:szCs w:val="22"/>
              </w:rPr>
              <w:t xml:space="preserve"> </w:t>
            </w:r>
            <w:r w:rsidRPr="005C2DAB">
              <w:rPr>
                <w:color w:val="000000"/>
                <w:sz w:val="22"/>
                <w:szCs w:val="22"/>
              </w:rPr>
              <w:t>936</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7</w:t>
            </w:r>
            <w:r w:rsidR="005A2B64">
              <w:rPr>
                <w:color w:val="000000"/>
                <w:sz w:val="22"/>
                <w:szCs w:val="22"/>
              </w:rPr>
              <w:t>,</w:t>
            </w:r>
            <w:r w:rsidRPr="005C2DAB">
              <w:rPr>
                <w:color w:val="000000"/>
                <w:sz w:val="22"/>
                <w:szCs w:val="22"/>
              </w:rPr>
              <w:t>7%</w:t>
            </w:r>
          </w:p>
        </w:tc>
      </w:tr>
      <w:tr w:rsidR="005C2DAB" w:rsidRPr="005C2DAB" w:rsidTr="005C2DAB">
        <w:trPr>
          <w:trHeight w:val="315"/>
        </w:trPr>
        <w:tc>
          <w:tcPr>
            <w:tcW w:w="3956"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Provozní zisk</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14</w:t>
            </w:r>
            <w:r w:rsidR="00B0727A">
              <w:rPr>
                <w:b/>
                <w:bCs/>
                <w:color w:val="000000"/>
                <w:sz w:val="22"/>
                <w:szCs w:val="22"/>
              </w:rPr>
              <w:t xml:space="preserve"> </w:t>
            </w:r>
            <w:r w:rsidRPr="005C2DAB">
              <w:rPr>
                <w:b/>
                <w:bCs/>
                <w:color w:val="000000"/>
                <w:sz w:val="22"/>
                <w:szCs w:val="22"/>
              </w:rPr>
              <w:t>771</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13</w:t>
            </w:r>
            <w:r w:rsidR="00B0727A">
              <w:rPr>
                <w:b/>
                <w:bCs/>
                <w:color w:val="000000"/>
                <w:sz w:val="22"/>
                <w:szCs w:val="22"/>
              </w:rPr>
              <w:t xml:space="preserve"> </w:t>
            </w:r>
            <w:r w:rsidRPr="005C2DAB">
              <w:rPr>
                <w:b/>
                <w:bCs/>
                <w:color w:val="000000"/>
                <w:sz w:val="22"/>
                <w:szCs w:val="22"/>
              </w:rPr>
              <w:t>626</w:t>
            </w:r>
          </w:p>
        </w:tc>
        <w:tc>
          <w:tcPr>
            <w:tcW w:w="1402"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-7</w:t>
            </w:r>
            <w:r w:rsidR="005A2B64">
              <w:rPr>
                <w:b/>
                <w:bCs/>
                <w:color w:val="000000"/>
                <w:sz w:val="22"/>
                <w:szCs w:val="22"/>
              </w:rPr>
              <w:t>,</w:t>
            </w:r>
            <w:r w:rsidRPr="005C2DAB">
              <w:rPr>
                <w:b/>
                <w:bCs/>
                <w:color w:val="000000"/>
                <w:sz w:val="22"/>
                <w:szCs w:val="22"/>
              </w:rPr>
              <w:t>8%</w:t>
            </w: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Kurzové zisky a ostatní finanční výnosy</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3</w:t>
            </w:r>
            <w:r w:rsidR="00B0727A">
              <w:rPr>
                <w:color w:val="000000"/>
                <w:sz w:val="22"/>
                <w:szCs w:val="22"/>
              </w:rPr>
              <w:t xml:space="preserve"> </w:t>
            </w:r>
            <w:r w:rsidRPr="005C2DAB">
              <w:rPr>
                <w:color w:val="000000"/>
                <w:sz w:val="22"/>
                <w:szCs w:val="22"/>
              </w:rPr>
              <w:t>465</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11</w:t>
            </w:r>
            <w:r w:rsidR="00B0727A">
              <w:rPr>
                <w:color w:val="000000"/>
                <w:sz w:val="22"/>
                <w:szCs w:val="22"/>
              </w:rPr>
              <w:t xml:space="preserve"> </w:t>
            </w:r>
            <w:r w:rsidRPr="005C2DAB">
              <w:rPr>
                <w:color w:val="000000"/>
                <w:sz w:val="22"/>
                <w:szCs w:val="22"/>
              </w:rPr>
              <w:t>313</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226</w:t>
            </w:r>
            <w:r w:rsidR="005A2B64">
              <w:rPr>
                <w:color w:val="000000"/>
                <w:sz w:val="22"/>
                <w:szCs w:val="22"/>
              </w:rPr>
              <w:t>,</w:t>
            </w:r>
            <w:r w:rsidRPr="005C2DAB">
              <w:rPr>
                <w:color w:val="000000"/>
                <w:sz w:val="22"/>
                <w:szCs w:val="22"/>
              </w:rPr>
              <w:t>5%</w:t>
            </w:r>
          </w:p>
        </w:tc>
      </w:tr>
      <w:tr w:rsidR="005C2DAB" w:rsidRPr="005C2DAB" w:rsidTr="005C2DAB">
        <w:trPr>
          <w:trHeight w:val="552"/>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Kurzové ztráty a ostatní finanční náklady</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-2</w:t>
            </w:r>
            <w:r w:rsidR="00B0727A">
              <w:rPr>
                <w:color w:val="000000"/>
                <w:sz w:val="22"/>
                <w:szCs w:val="22"/>
              </w:rPr>
              <w:t xml:space="preserve"> </w:t>
            </w:r>
            <w:r w:rsidRPr="005C2DAB">
              <w:rPr>
                <w:color w:val="000000"/>
                <w:sz w:val="22"/>
                <w:szCs w:val="22"/>
              </w:rPr>
              <w:t>356</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-3</w:t>
            </w:r>
            <w:r w:rsidR="00B0727A">
              <w:rPr>
                <w:color w:val="000000"/>
                <w:sz w:val="22"/>
                <w:szCs w:val="22"/>
              </w:rPr>
              <w:t xml:space="preserve"> </w:t>
            </w:r>
            <w:r w:rsidRPr="005C2DAB">
              <w:rPr>
                <w:color w:val="000000"/>
                <w:sz w:val="22"/>
                <w:szCs w:val="22"/>
              </w:rPr>
              <w:t>117</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32</w:t>
            </w:r>
            <w:r w:rsidR="005A2B64">
              <w:rPr>
                <w:color w:val="000000"/>
                <w:sz w:val="22"/>
                <w:szCs w:val="22"/>
              </w:rPr>
              <w:t>,</w:t>
            </w:r>
            <w:r w:rsidRPr="005C2DAB">
              <w:rPr>
                <w:color w:val="000000"/>
                <w:sz w:val="22"/>
                <w:szCs w:val="22"/>
              </w:rPr>
              <w:t>3%</w:t>
            </w: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Úrokové výnosy</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17</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0</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-100</w:t>
            </w:r>
            <w:r w:rsidR="005A2B64">
              <w:rPr>
                <w:color w:val="000000"/>
                <w:sz w:val="22"/>
                <w:szCs w:val="22"/>
              </w:rPr>
              <w:t>,</w:t>
            </w:r>
            <w:r w:rsidRPr="005C2DAB">
              <w:rPr>
                <w:color w:val="000000"/>
                <w:sz w:val="22"/>
                <w:szCs w:val="22"/>
              </w:rPr>
              <w:t>0%</w:t>
            </w: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Úrokové náklady</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-4</w:t>
            </w:r>
            <w:r w:rsidR="00B0727A">
              <w:rPr>
                <w:color w:val="000000"/>
                <w:sz w:val="22"/>
                <w:szCs w:val="22"/>
              </w:rPr>
              <w:t xml:space="preserve"> </w:t>
            </w:r>
            <w:r w:rsidRPr="005C2DAB">
              <w:rPr>
                <w:color w:val="000000"/>
                <w:sz w:val="22"/>
                <w:szCs w:val="22"/>
              </w:rPr>
              <w:t>218</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-3</w:t>
            </w:r>
            <w:r w:rsidR="00B0727A">
              <w:rPr>
                <w:color w:val="000000"/>
                <w:sz w:val="22"/>
                <w:szCs w:val="22"/>
              </w:rPr>
              <w:t xml:space="preserve"> </w:t>
            </w:r>
            <w:r w:rsidRPr="005C2DAB">
              <w:rPr>
                <w:color w:val="000000"/>
                <w:sz w:val="22"/>
                <w:szCs w:val="22"/>
              </w:rPr>
              <w:t>532</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-16</w:t>
            </w:r>
            <w:r w:rsidR="005A2B64">
              <w:rPr>
                <w:color w:val="000000"/>
                <w:sz w:val="22"/>
                <w:szCs w:val="22"/>
              </w:rPr>
              <w:t>,</w:t>
            </w:r>
            <w:r w:rsidRPr="005C2DAB">
              <w:rPr>
                <w:color w:val="000000"/>
                <w:sz w:val="22"/>
                <w:szCs w:val="22"/>
              </w:rPr>
              <w:t>3%</w:t>
            </w:r>
          </w:p>
        </w:tc>
      </w:tr>
      <w:tr w:rsidR="005C2DAB" w:rsidRPr="005C2DAB" w:rsidTr="005C2DAB">
        <w:trPr>
          <w:trHeight w:val="315"/>
        </w:trPr>
        <w:tc>
          <w:tcPr>
            <w:tcW w:w="3956"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Zisk před zdaněním</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11</w:t>
            </w:r>
            <w:r w:rsidR="00B0727A">
              <w:rPr>
                <w:b/>
                <w:bCs/>
                <w:color w:val="000000"/>
                <w:sz w:val="22"/>
                <w:szCs w:val="22"/>
              </w:rPr>
              <w:t xml:space="preserve"> </w:t>
            </w:r>
            <w:r w:rsidRPr="005C2DAB">
              <w:rPr>
                <w:b/>
                <w:bCs/>
                <w:color w:val="000000"/>
                <w:sz w:val="22"/>
                <w:szCs w:val="22"/>
              </w:rPr>
              <w:t>679</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18</w:t>
            </w:r>
            <w:r w:rsidR="00B0727A">
              <w:rPr>
                <w:b/>
                <w:bCs/>
                <w:color w:val="000000"/>
                <w:sz w:val="22"/>
                <w:szCs w:val="22"/>
              </w:rPr>
              <w:t xml:space="preserve"> </w:t>
            </w:r>
            <w:r w:rsidRPr="005C2DAB">
              <w:rPr>
                <w:b/>
                <w:bCs/>
                <w:color w:val="000000"/>
                <w:sz w:val="22"/>
                <w:szCs w:val="22"/>
              </w:rPr>
              <w:t>289</w:t>
            </w:r>
          </w:p>
        </w:tc>
        <w:tc>
          <w:tcPr>
            <w:tcW w:w="1402"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56</w:t>
            </w:r>
            <w:r w:rsidR="005A2B64">
              <w:rPr>
                <w:b/>
                <w:bCs/>
                <w:color w:val="000000"/>
                <w:sz w:val="22"/>
                <w:szCs w:val="22"/>
              </w:rPr>
              <w:t>,</w:t>
            </w:r>
            <w:r w:rsidRPr="005C2DAB">
              <w:rPr>
                <w:b/>
                <w:bCs/>
                <w:color w:val="000000"/>
                <w:sz w:val="22"/>
                <w:szCs w:val="22"/>
              </w:rPr>
              <w:t>6%</w:t>
            </w: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r>
      <w:tr w:rsidR="005C2DAB" w:rsidRPr="005C2DAB" w:rsidTr="005C2DAB">
        <w:trPr>
          <w:trHeight w:val="288"/>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 xml:space="preserve">Daň z příjmů – (náklad)/výnos </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w:t>
            </w:r>
            <w:r w:rsidR="00B0727A">
              <w:rPr>
                <w:color w:val="000000"/>
                <w:sz w:val="22"/>
                <w:szCs w:val="22"/>
              </w:rPr>
              <w:t xml:space="preserve"> </w:t>
            </w:r>
            <w:r w:rsidRPr="005C2DAB">
              <w:rPr>
                <w:color w:val="000000"/>
                <w:sz w:val="22"/>
                <w:szCs w:val="22"/>
              </w:rPr>
              <w:t>146</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w:t>
            </w:r>
            <w:r w:rsidR="00B0727A">
              <w:rPr>
                <w:color w:val="000000"/>
                <w:sz w:val="22"/>
                <w:szCs w:val="22"/>
              </w:rPr>
              <w:t xml:space="preserve"> </w:t>
            </w:r>
            <w:r w:rsidRPr="005C2DAB">
              <w:rPr>
                <w:color w:val="000000"/>
                <w:sz w:val="22"/>
                <w:szCs w:val="22"/>
              </w:rPr>
              <w:t>962</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71</w:t>
            </w:r>
            <w:r w:rsidR="005A2B64">
              <w:rPr>
                <w:color w:val="000000"/>
                <w:sz w:val="22"/>
                <w:szCs w:val="22"/>
              </w:rPr>
              <w:t>,</w:t>
            </w:r>
            <w:r w:rsidRPr="005C2DAB">
              <w:rPr>
                <w:color w:val="000000"/>
                <w:sz w:val="22"/>
                <w:szCs w:val="22"/>
              </w:rPr>
              <w:t>2%</w:t>
            </w:r>
          </w:p>
        </w:tc>
      </w:tr>
      <w:tr w:rsidR="005C2DAB" w:rsidRPr="005C2DAB" w:rsidTr="005C2DAB">
        <w:trPr>
          <w:trHeight w:val="300"/>
        </w:trPr>
        <w:tc>
          <w:tcPr>
            <w:tcW w:w="3956"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Čistý zisk po zdanění</w:t>
            </w:r>
          </w:p>
        </w:tc>
        <w:tc>
          <w:tcPr>
            <w:tcW w:w="1617" w:type="dxa"/>
            <w:tcBorders>
              <w:top w:val="double" w:sz="6"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10</w:t>
            </w:r>
            <w:r w:rsidR="00B0727A">
              <w:rPr>
                <w:b/>
                <w:bCs/>
                <w:color w:val="000000"/>
                <w:sz w:val="22"/>
                <w:szCs w:val="22"/>
              </w:rPr>
              <w:t xml:space="preserve"> </w:t>
            </w:r>
            <w:r w:rsidRPr="005C2DAB">
              <w:rPr>
                <w:b/>
                <w:bCs/>
                <w:color w:val="000000"/>
                <w:sz w:val="22"/>
                <w:szCs w:val="22"/>
              </w:rPr>
              <w:t>533</w:t>
            </w:r>
          </w:p>
        </w:tc>
        <w:tc>
          <w:tcPr>
            <w:tcW w:w="1617" w:type="dxa"/>
            <w:tcBorders>
              <w:top w:val="double" w:sz="6"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16</w:t>
            </w:r>
            <w:r w:rsidR="00B0727A">
              <w:rPr>
                <w:b/>
                <w:bCs/>
                <w:color w:val="000000"/>
                <w:sz w:val="22"/>
                <w:szCs w:val="22"/>
              </w:rPr>
              <w:t xml:space="preserve"> </w:t>
            </w:r>
            <w:r w:rsidRPr="005C2DAB">
              <w:rPr>
                <w:b/>
                <w:bCs/>
                <w:color w:val="000000"/>
                <w:sz w:val="22"/>
                <w:szCs w:val="22"/>
              </w:rPr>
              <w:t>327</w:t>
            </w:r>
          </w:p>
        </w:tc>
        <w:tc>
          <w:tcPr>
            <w:tcW w:w="1402" w:type="dxa"/>
            <w:tcBorders>
              <w:top w:val="double" w:sz="6"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55</w:t>
            </w:r>
            <w:r w:rsidR="005A2B64">
              <w:rPr>
                <w:b/>
                <w:bCs/>
                <w:color w:val="000000"/>
                <w:sz w:val="22"/>
                <w:szCs w:val="22"/>
              </w:rPr>
              <w:t>,</w:t>
            </w:r>
            <w:r w:rsidRPr="005C2DAB">
              <w:rPr>
                <w:b/>
                <w:bCs/>
                <w:color w:val="000000"/>
                <w:sz w:val="22"/>
                <w:szCs w:val="22"/>
              </w:rPr>
              <w:t>0%</w:t>
            </w: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Ostatní úplný výsledek</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r>
      <w:tr w:rsidR="005C2DAB" w:rsidRPr="005C2DAB" w:rsidTr="005C2DAB">
        <w:trPr>
          <w:trHeight w:val="552"/>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Ostatní změny ve vlastním kapitálu</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99</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722</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629</w:t>
            </w:r>
            <w:r w:rsidR="005A2B64">
              <w:rPr>
                <w:color w:val="000000"/>
                <w:sz w:val="22"/>
                <w:szCs w:val="22"/>
              </w:rPr>
              <w:t>,</w:t>
            </w:r>
            <w:r w:rsidRPr="005C2DAB">
              <w:rPr>
                <w:color w:val="000000"/>
                <w:sz w:val="22"/>
                <w:szCs w:val="22"/>
              </w:rPr>
              <w:t>3%</w:t>
            </w: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Kurzové rozdíly vzniklé z přepočtu</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-843</w:t>
            </w:r>
          </w:p>
        </w:tc>
        <w:tc>
          <w:tcPr>
            <w:tcW w:w="1617" w:type="dxa"/>
            <w:tcBorders>
              <w:top w:val="nil"/>
              <w:left w:val="nil"/>
              <w:bottom w:val="nil"/>
              <w:right w:val="nil"/>
            </w:tcBorders>
            <w:shd w:val="clear" w:color="auto" w:fill="auto"/>
            <w:noWrap/>
            <w:vAlign w:val="bottom"/>
            <w:hideMark/>
          </w:tcPr>
          <w:p w:rsidR="005C2DAB" w:rsidRPr="005C2DAB" w:rsidRDefault="00B23DDB" w:rsidP="005C2DAB">
            <w:pPr>
              <w:ind w:firstLineChars="100" w:firstLine="220"/>
              <w:jc w:val="right"/>
              <w:rPr>
                <w:color w:val="000000"/>
                <w:sz w:val="22"/>
                <w:szCs w:val="22"/>
              </w:rPr>
            </w:pPr>
            <w:r>
              <w:rPr>
                <w:color w:val="000000"/>
                <w:sz w:val="22"/>
                <w:szCs w:val="22"/>
              </w:rPr>
              <w:t>-4 600</w:t>
            </w:r>
          </w:p>
        </w:tc>
        <w:tc>
          <w:tcPr>
            <w:tcW w:w="1402" w:type="dxa"/>
            <w:tcBorders>
              <w:top w:val="nil"/>
              <w:left w:val="nil"/>
              <w:bottom w:val="nil"/>
              <w:right w:val="nil"/>
            </w:tcBorders>
            <w:shd w:val="clear" w:color="auto" w:fill="auto"/>
            <w:noWrap/>
            <w:vAlign w:val="bottom"/>
            <w:hideMark/>
          </w:tcPr>
          <w:p w:rsidR="005C2DAB" w:rsidRPr="005C2DAB" w:rsidRDefault="00B23DDB" w:rsidP="005C2DAB">
            <w:pPr>
              <w:ind w:firstLineChars="100" w:firstLine="220"/>
              <w:jc w:val="right"/>
              <w:rPr>
                <w:color w:val="000000"/>
                <w:sz w:val="22"/>
                <w:szCs w:val="22"/>
              </w:rPr>
            </w:pPr>
            <w:r>
              <w:rPr>
                <w:color w:val="000000"/>
                <w:sz w:val="22"/>
                <w:szCs w:val="22"/>
              </w:rPr>
              <w:t>445</w:t>
            </w:r>
            <w:r w:rsidR="005A2B64">
              <w:rPr>
                <w:color w:val="000000"/>
                <w:sz w:val="22"/>
                <w:szCs w:val="22"/>
              </w:rPr>
              <w:t>,</w:t>
            </w:r>
            <w:r>
              <w:rPr>
                <w:color w:val="000000"/>
                <w:sz w:val="22"/>
                <w:szCs w:val="22"/>
              </w:rPr>
              <w:t>7</w:t>
            </w:r>
            <w:r w:rsidR="005C2DAB" w:rsidRPr="005C2DAB">
              <w:rPr>
                <w:color w:val="000000"/>
                <w:sz w:val="22"/>
                <w:szCs w:val="22"/>
              </w:rPr>
              <w:t>%</w:t>
            </w:r>
          </w:p>
        </w:tc>
      </w:tr>
      <w:tr w:rsidR="005C2DAB" w:rsidRPr="005C2DAB" w:rsidTr="005C2DAB">
        <w:trPr>
          <w:trHeight w:val="552"/>
        </w:trPr>
        <w:tc>
          <w:tcPr>
            <w:tcW w:w="3956"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Úplný výsledek za období celkem</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9</w:t>
            </w:r>
            <w:r w:rsidR="00B0727A">
              <w:rPr>
                <w:b/>
                <w:bCs/>
                <w:color w:val="000000"/>
                <w:sz w:val="22"/>
                <w:szCs w:val="22"/>
              </w:rPr>
              <w:t xml:space="preserve"> </w:t>
            </w:r>
            <w:r w:rsidRPr="005C2DAB">
              <w:rPr>
                <w:b/>
                <w:bCs/>
                <w:color w:val="000000"/>
                <w:sz w:val="22"/>
                <w:szCs w:val="22"/>
              </w:rPr>
              <w:t>789</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A35ED6" w:rsidP="005C2DAB">
            <w:pPr>
              <w:ind w:firstLineChars="100" w:firstLine="221"/>
              <w:jc w:val="right"/>
              <w:rPr>
                <w:b/>
                <w:bCs/>
                <w:color w:val="000000"/>
                <w:sz w:val="22"/>
                <w:szCs w:val="22"/>
              </w:rPr>
            </w:pPr>
            <w:r>
              <w:rPr>
                <w:b/>
                <w:bCs/>
                <w:color w:val="000000"/>
                <w:sz w:val="22"/>
                <w:szCs w:val="22"/>
              </w:rPr>
              <w:t>12 449</w:t>
            </w:r>
          </w:p>
        </w:tc>
        <w:tc>
          <w:tcPr>
            <w:tcW w:w="1402" w:type="dxa"/>
            <w:tcBorders>
              <w:top w:val="single" w:sz="4" w:space="0" w:color="auto"/>
              <w:left w:val="nil"/>
              <w:bottom w:val="nil"/>
              <w:right w:val="nil"/>
            </w:tcBorders>
            <w:shd w:val="clear" w:color="auto" w:fill="auto"/>
            <w:noWrap/>
            <w:vAlign w:val="bottom"/>
            <w:hideMark/>
          </w:tcPr>
          <w:p w:rsidR="005C2DAB" w:rsidRPr="005C2DAB" w:rsidRDefault="00A35ED6" w:rsidP="005C2DAB">
            <w:pPr>
              <w:ind w:firstLineChars="100" w:firstLine="221"/>
              <w:jc w:val="right"/>
              <w:rPr>
                <w:b/>
                <w:bCs/>
                <w:color w:val="000000"/>
                <w:sz w:val="22"/>
                <w:szCs w:val="22"/>
              </w:rPr>
            </w:pPr>
            <w:r>
              <w:rPr>
                <w:b/>
                <w:bCs/>
                <w:color w:val="000000"/>
                <w:sz w:val="22"/>
                <w:szCs w:val="22"/>
              </w:rPr>
              <w:t>27</w:t>
            </w:r>
            <w:r w:rsidR="005A2B64">
              <w:rPr>
                <w:b/>
                <w:bCs/>
                <w:color w:val="000000"/>
                <w:sz w:val="22"/>
                <w:szCs w:val="22"/>
              </w:rPr>
              <w:t>,</w:t>
            </w:r>
            <w:r>
              <w:rPr>
                <w:b/>
                <w:bCs/>
                <w:color w:val="000000"/>
                <w:sz w:val="22"/>
                <w:szCs w:val="22"/>
              </w:rPr>
              <w:t>2</w:t>
            </w:r>
            <w:r w:rsidR="005C2DAB" w:rsidRPr="005C2DAB">
              <w:rPr>
                <w:b/>
                <w:bCs/>
                <w:color w:val="000000"/>
                <w:sz w:val="22"/>
                <w:szCs w:val="22"/>
              </w:rPr>
              <w:t>%</w:t>
            </w:r>
          </w:p>
        </w:tc>
      </w:tr>
      <w:tr w:rsidR="005C2DAB" w:rsidRPr="005C2DAB" w:rsidTr="005C2DAB">
        <w:trPr>
          <w:trHeight w:val="120"/>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single" w:sz="4" w:space="0" w:color="auto"/>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 </w:t>
            </w:r>
          </w:p>
        </w:tc>
        <w:tc>
          <w:tcPr>
            <w:tcW w:w="1617" w:type="dxa"/>
            <w:tcBorders>
              <w:top w:val="nil"/>
              <w:left w:val="nil"/>
              <w:bottom w:val="single" w:sz="4" w:space="0" w:color="auto"/>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 </w:t>
            </w:r>
          </w:p>
        </w:tc>
        <w:tc>
          <w:tcPr>
            <w:tcW w:w="1402" w:type="dxa"/>
            <w:tcBorders>
              <w:top w:val="nil"/>
              <w:left w:val="nil"/>
              <w:bottom w:val="single" w:sz="4" w:space="0" w:color="auto"/>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 </w:t>
            </w: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Čistý zisk na akcii</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 </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 </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 </w:t>
            </w: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Základní čistý zisk na akcii (EUR)</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w:t>
            </w:r>
            <w:r w:rsidR="005A2B64">
              <w:rPr>
                <w:color w:val="000000"/>
                <w:sz w:val="22"/>
                <w:szCs w:val="22"/>
              </w:rPr>
              <w:t>,</w:t>
            </w:r>
            <w:r w:rsidRPr="005C2DAB">
              <w:rPr>
                <w:color w:val="000000"/>
                <w:sz w:val="22"/>
                <w:szCs w:val="22"/>
              </w:rPr>
              <w:t>14</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w:t>
            </w:r>
            <w:r w:rsidR="005A2B64">
              <w:rPr>
                <w:color w:val="000000"/>
                <w:sz w:val="22"/>
                <w:szCs w:val="22"/>
              </w:rPr>
              <w:t>,</w:t>
            </w:r>
            <w:r w:rsidRPr="005C2DAB">
              <w:rPr>
                <w:color w:val="000000"/>
                <w:sz w:val="22"/>
                <w:szCs w:val="22"/>
              </w:rPr>
              <w:t>77</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55</w:t>
            </w:r>
            <w:r w:rsidR="005A2B64">
              <w:rPr>
                <w:color w:val="000000"/>
                <w:sz w:val="22"/>
                <w:szCs w:val="22"/>
              </w:rPr>
              <w:t>,</w:t>
            </w:r>
            <w:r w:rsidRPr="005C2DAB">
              <w:rPr>
                <w:color w:val="000000"/>
                <w:sz w:val="22"/>
                <w:szCs w:val="22"/>
              </w:rPr>
              <w:t>0%</w:t>
            </w:r>
          </w:p>
        </w:tc>
      </w:tr>
      <w:tr w:rsidR="005C2DAB" w:rsidRPr="005C2DAB" w:rsidTr="005C2DAB">
        <w:trPr>
          <w:trHeight w:val="276"/>
        </w:trPr>
        <w:tc>
          <w:tcPr>
            <w:tcW w:w="3956"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Zředěný čistý zisk na akcii (EUR)</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w:t>
            </w:r>
            <w:r w:rsidR="005A2B64">
              <w:rPr>
                <w:color w:val="000000"/>
                <w:sz w:val="22"/>
                <w:szCs w:val="22"/>
              </w:rPr>
              <w:t>,</w:t>
            </w:r>
            <w:r w:rsidRPr="005C2DAB">
              <w:rPr>
                <w:color w:val="000000"/>
                <w:sz w:val="22"/>
                <w:szCs w:val="22"/>
              </w:rPr>
              <w:t>14</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w:t>
            </w:r>
            <w:r w:rsidR="005A2B64">
              <w:rPr>
                <w:color w:val="000000"/>
                <w:sz w:val="22"/>
                <w:szCs w:val="22"/>
              </w:rPr>
              <w:t>,</w:t>
            </w:r>
            <w:r w:rsidRPr="005C2DAB">
              <w:rPr>
                <w:color w:val="000000"/>
                <w:sz w:val="22"/>
                <w:szCs w:val="22"/>
              </w:rPr>
              <w:t>75</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53</w:t>
            </w:r>
            <w:r w:rsidR="005A2B64">
              <w:rPr>
                <w:color w:val="000000"/>
                <w:sz w:val="22"/>
                <w:szCs w:val="22"/>
              </w:rPr>
              <w:t>,</w:t>
            </w:r>
            <w:r w:rsidRPr="005C2DAB">
              <w:rPr>
                <w:color w:val="000000"/>
                <w:sz w:val="22"/>
                <w:szCs w:val="22"/>
              </w:rPr>
              <w:t>0%</w:t>
            </w:r>
          </w:p>
        </w:tc>
      </w:tr>
    </w:tbl>
    <w:p w:rsidR="00CC1601" w:rsidRPr="007A542A" w:rsidRDefault="00CC1601" w:rsidP="00CC1601">
      <w:pPr>
        <w:widowControl w:val="0"/>
      </w:pPr>
    </w:p>
    <w:p w:rsidR="00CC1601" w:rsidRPr="009C6249" w:rsidRDefault="00CC1601" w:rsidP="00CC1601">
      <w:pPr>
        <w:pStyle w:val="Heading2"/>
        <w:rPr>
          <w:rFonts w:ascii="Times New Roman" w:hAnsi="Times New Roman" w:cs="Times New Roman"/>
        </w:rPr>
      </w:pPr>
      <w:bookmarkStart w:id="60" w:name="_Toc269139315"/>
      <w:bookmarkStart w:id="61" w:name="_Toc269139316"/>
      <w:bookmarkStart w:id="62" w:name="_Toc269139317"/>
      <w:bookmarkStart w:id="63" w:name="_Toc269139318"/>
      <w:bookmarkStart w:id="64" w:name="_Toc269139319"/>
      <w:bookmarkStart w:id="65" w:name="_Toc269139320"/>
      <w:bookmarkStart w:id="66" w:name="_Toc269139321"/>
      <w:bookmarkStart w:id="67" w:name="_Toc269139322"/>
      <w:bookmarkStart w:id="68" w:name="_Toc269139323"/>
      <w:bookmarkStart w:id="69" w:name="_Toc269111138"/>
      <w:bookmarkStart w:id="70" w:name="_Toc269118411"/>
      <w:bookmarkStart w:id="71" w:name="_Toc269139324"/>
      <w:bookmarkStart w:id="72" w:name="_Toc269111139"/>
      <w:bookmarkStart w:id="73" w:name="_Toc269118412"/>
      <w:bookmarkStart w:id="74" w:name="_Toc269139325"/>
      <w:bookmarkStart w:id="75" w:name="_Toc175226105"/>
      <w:bookmarkStart w:id="76" w:name="_Toc269295560"/>
      <w:bookmarkStart w:id="77" w:name="_Toc269907499"/>
      <w:bookmarkStart w:id="78" w:name="_Toc42791812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C6249">
        <w:rPr>
          <w:rFonts w:ascii="Times New Roman" w:hAnsi="Times New Roman" w:cs="Times New Roman"/>
        </w:rPr>
        <w:t>Konsolidovaný výkaz o úplném výsledku za období tří měsíců do 30.</w:t>
      </w:r>
      <w:r w:rsidR="006770BD" w:rsidRPr="009C6249">
        <w:rPr>
          <w:rFonts w:ascii="Times New Roman" w:hAnsi="Times New Roman" w:cs="Times New Roman"/>
        </w:rPr>
        <w:t> </w:t>
      </w:r>
      <w:r w:rsidRPr="009C6249">
        <w:rPr>
          <w:rFonts w:ascii="Times New Roman" w:hAnsi="Times New Roman" w:cs="Times New Roman"/>
        </w:rPr>
        <w:t>června 201</w:t>
      </w:r>
      <w:r w:rsidR="0043406F" w:rsidRPr="009C6249">
        <w:rPr>
          <w:rFonts w:ascii="Times New Roman" w:hAnsi="Times New Roman" w:cs="Times New Roman"/>
        </w:rPr>
        <w:t>5</w:t>
      </w:r>
      <w:r w:rsidRPr="009C6249">
        <w:rPr>
          <w:rFonts w:ascii="Times New Roman" w:hAnsi="Times New Roman" w:cs="Times New Roman"/>
        </w:rPr>
        <w:t xml:space="preserve"> a 30. června 20</w:t>
      </w:r>
      <w:bookmarkEnd w:id="75"/>
      <w:r w:rsidRPr="009C6249">
        <w:rPr>
          <w:rFonts w:ascii="Times New Roman" w:hAnsi="Times New Roman" w:cs="Times New Roman"/>
        </w:rPr>
        <w:t>1</w:t>
      </w:r>
      <w:r w:rsidR="0043406F" w:rsidRPr="009C6249">
        <w:rPr>
          <w:rFonts w:ascii="Times New Roman" w:hAnsi="Times New Roman" w:cs="Times New Roman"/>
        </w:rPr>
        <w:t>4</w:t>
      </w:r>
      <w:r w:rsidRPr="009C6249">
        <w:rPr>
          <w:rFonts w:ascii="Times New Roman" w:hAnsi="Times New Roman" w:cs="Times New Roman"/>
        </w:rPr>
        <w:t xml:space="preserve"> ve zkrácené podobě</w:t>
      </w:r>
      <w:bookmarkEnd w:id="76"/>
      <w:bookmarkEnd w:id="77"/>
      <w:bookmarkEnd w:id="78"/>
    </w:p>
    <w:p w:rsidR="00CC1601" w:rsidRPr="007A542A" w:rsidRDefault="00CC1601" w:rsidP="00CC1601">
      <w:pPr>
        <w:autoSpaceDE w:val="0"/>
        <w:autoSpaceDN w:val="0"/>
        <w:adjustRightInd w:val="0"/>
        <w:spacing w:line="240" w:lineRule="atLeast"/>
        <w:jc w:val="both"/>
        <w:rPr>
          <w:color w:val="000000"/>
        </w:rPr>
      </w:pPr>
      <w:r w:rsidRPr="007A542A">
        <w:t xml:space="preserve">Neauditované výkazy připravené v souladu s </w:t>
      </w:r>
      <w:r w:rsidRPr="007A542A">
        <w:rPr>
          <w:color w:val="000000"/>
        </w:rPr>
        <w:t>Mezinárodními standardy účetního výkaznictví (IFRS) a Mezinárodními účetními standardy IAS 34 ve znění přijatém Evropskou unií</w:t>
      </w:r>
    </w:p>
    <w:p w:rsidR="00CC1601" w:rsidRPr="007A542A" w:rsidRDefault="00CC1601" w:rsidP="00CC1601">
      <w:pPr>
        <w:widowControl w:val="0"/>
      </w:pPr>
      <w:r w:rsidRPr="007A542A">
        <w:t>(v tisících EUR)</w:t>
      </w:r>
    </w:p>
    <w:p w:rsidR="00CC1601" w:rsidRPr="007A542A" w:rsidRDefault="00CC1601" w:rsidP="00CC1601">
      <w:pPr>
        <w:widowControl w:val="0"/>
      </w:pPr>
    </w:p>
    <w:tbl>
      <w:tblPr>
        <w:tblW w:w="8584" w:type="dxa"/>
        <w:tblInd w:w="70" w:type="dxa"/>
        <w:tblCellMar>
          <w:left w:w="70" w:type="dxa"/>
          <w:right w:w="70" w:type="dxa"/>
        </w:tblCellMar>
        <w:tblLook w:val="04A0" w:firstRow="1" w:lastRow="0" w:firstColumn="1" w:lastColumn="0" w:noHBand="0" w:noVBand="1"/>
      </w:tblPr>
      <w:tblGrid>
        <w:gridCol w:w="3948"/>
        <w:gridCol w:w="1617"/>
        <w:gridCol w:w="1617"/>
        <w:gridCol w:w="1402"/>
      </w:tblGrid>
      <w:tr w:rsidR="005C2DAB" w:rsidRPr="005C2DAB" w:rsidTr="005C2DAB">
        <w:trPr>
          <w:trHeight w:val="288"/>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4636" w:type="dxa"/>
            <w:gridSpan w:val="3"/>
            <w:tcBorders>
              <w:top w:val="nil"/>
              <w:left w:val="nil"/>
              <w:bottom w:val="single" w:sz="12" w:space="0" w:color="auto"/>
              <w:right w:val="nil"/>
            </w:tcBorders>
            <w:shd w:val="clear" w:color="auto" w:fill="auto"/>
            <w:noWrap/>
            <w:vAlign w:val="bottom"/>
            <w:hideMark/>
          </w:tcPr>
          <w:p w:rsidR="005C2DAB" w:rsidRPr="005C2DAB" w:rsidRDefault="005C2DAB">
            <w:pPr>
              <w:jc w:val="center"/>
              <w:rPr>
                <w:b/>
                <w:bCs/>
                <w:color w:val="000000"/>
                <w:sz w:val="22"/>
                <w:szCs w:val="22"/>
              </w:rPr>
            </w:pPr>
            <w:r w:rsidRPr="005C2DAB">
              <w:rPr>
                <w:b/>
                <w:bCs/>
                <w:color w:val="000000"/>
                <w:sz w:val="22"/>
                <w:szCs w:val="22"/>
              </w:rPr>
              <w:t>Období tří měsíců do</w:t>
            </w:r>
          </w:p>
        </w:tc>
      </w:tr>
      <w:tr w:rsidR="005C2DAB" w:rsidRPr="005C2DAB" w:rsidTr="005C2DAB">
        <w:trPr>
          <w:trHeight w:val="564"/>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vAlign w:val="bottom"/>
            <w:hideMark/>
          </w:tcPr>
          <w:p w:rsidR="005C2DAB" w:rsidRPr="005C2DAB" w:rsidRDefault="005C2DAB">
            <w:pPr>
              <w:jc w:val="center"/>
              <w:rPr>
                <w:b/>
                <w:bCs/>
                <w:color w:val="000000"/>
                <w:sz w:val="22"/>
                <w:szCs w:val="22"/>
              </w:rPr>
            </w:pPr>
            <w:r w:rsidRPr="005C2DAB">
              <w:rPr>
                <w:b/>
                <w:bCs/>
                <w:color w:val="000000"/>
                <w:sz w:val="22"/>
                <w:szCs w:val="22"/>
              </w:rPr>
              <w:t>30. června</w:t>
            </w:r>
            <w:r w:rsidRPr="005C2DAB">
              <w:rPr>
                <w:b/>
                <w:bCs/>
                <w:color w:val="000000"/>
                <w:sz w:val="22"/>
                <w:szCs w:val="22"/>
              </w:rPr>
              <w:br/>
              <w:t>2014</w:t>
            </w:r>
          </w:p>
        </w:tc>
        <w:tc>
          <w:tcPr>
            <w:tcW w:w="1617" w:type="dxa"/>
            <w:tcBorders>
              <w:top w:val="nil"/>
              <w:left w:val="nil"/>
              <w:bottom w:val="nil"/>
              <w:right w:val="nil"/>
            </w:tcBorders>
            <w:shd w:val="clear" w:color="auto" w:fill="auto"/>
            <w:vAlign w:val="bottom"/>
            <w:hideMark/>
          </w:tcPr>
          <w:p w:rsidR="005C2DAB" w:rsidRPr="005C2DAB" w:rsidRDefault="005C2DAB">
            <w:pPr>
              <w:jc w:val="center"/>
              <w:rPr>
                <w:b/>
                <w:bCs/>
                <w:color w:val="000000"/>
                <w:sz w:val="22"/>
                <w:szCs w:val="22"/>
              </w:rPr>
            </w:pPr>
            <w:r w:rsidRPr="005C2DAB">
              <w:rPr>
                <w:b/>
                <w:bCs/>
                <w:color w:val="000000"/>
                <w:sz w:val="22"/>
                <w:szCs w:val="22"/>
              </w:rPr>
              <w:t>30. června</w:t>
            </w:r>
            <w:r w:rsidRPr="005C2DAB">
              <w:rPr>
                <w:b/>
                <w:bCs/>
                <w:color w:val="000000"/>
                <w:sz w:val="22"/>
                <w:szCs w:val="22"/>
              </w:rPr>
              <w:br/>
              <w:t>2015</w:t>
            </w:r>
          </w:p>
        </w:tc>
        <w:tc>
          <w:tcPr>
            <w:tcW w:w="1402"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 </w:t>
            </w:r>
          </w:p>
        </w:tc>
      </w:tr>
      <w:tr w:rsidR="005C2DAB" w:rsidRPr="005C2DAB" w:rsidTr="005C2DAB">
        <w:trPr>
          <w:trHeight w:val="288"/>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single" w:sz="12" w:space="0" w:color="auto"/>
              <w:right w:val="nil"/>
            </w:tcBorders>
            <w:shd w:val="clear" w:color="auto" w:fill="auto"/>
            <w:noWrap/>
            <w:vAlign w:val="bottom"/>
            <w:hideMark/>
          </w:tcPr>
          <w:p w:rsidR="005C2DAB" w:rsidRPr="005C2DAB" w:rsidRDefault="005C2DAB">
            <w:pPr>
              <w:jc w:val="center"/>
              <w:rPr>
                <w:color w:val="000000"/>
                <w:sz w:val="22"/>
                <w:szCs w:val="22"/>
              </w:rPr>
            </w:pPr>
            <w:r w:rsidRPr="005C2DAB">
              <w:rPr>
                <w:color w:val="000000"/>
                <w:sz w:val="22"/>
                <w:szCs w:val="22"/>
              </w:rPr>
              <w:t>(neauditované)</w:t>
            </w:r>
          </w:p>
        </w:tc>
        <w:tc>
          <w:tcPr>
            <w:tcW w:w="1617" w:type="dxa"/>
            <w:tcBorders>
              <w:top w:val="nil"/>
              <w:left w:val="nil"/>
              <w:bottom w:val="single" w:sz="12" w:space="0" w:color="auto"/>
              <w:right w:val="nil"/>
            </w:tcBorders>
            <w:shd w:val="clear" w:color="auto" w:fill="auto"/>
            <w:noWrap/>
            <w:vAlign w:val="bottom"/>
            <w:hideMark/>
          </w:tcPr>
          <w:p w:rsidR="005C2DAB" w:rsidRPr="005C2DAB" w:rsidRDefault="005C2DAB">
            <w:pPr>
              <w:jc w:val="center"/>
              <w:rPr>
                <w:color w:val="000000"/>
                <w:sz w:val="22"/>
                <w:szCs w:val="22"/>
              </w:rPr>
            </w:pPr>
            <w:r w:rsidRPr="005C2DAB">
              <w:rPr>
                <w:color w:val="000000"/>
                <w:sz w:val="22"/>
                <w:szCs w:val="22"/>
              </w:rPr>
              <w:t>(neauditované)</w:t>
            </w:r>
          </w:p>
        </w:tc>
        <w:tc>
          <w:tcPr>
            <w:tcW w:w="1402" w:type="dxa"/>
            <w:tcBorders>
              <w:top w:val="nil"/>
              <w:left w:val="nil"/>
              <w:bottom w:val="single" w:sz="12" w:space="0" w:color="auto"/>
              <w:right w:val="nil"/>
            </w:tcBorders>
            <w:shd w:val="clear" w:color="auto" w:fill="auto"/>
            <w:noWrap/>
            <w:vAlign w:val="bottom"/>
            <w:hideMark/>
          </w:tcPr>
          <w:p w:rsidR="005C2DAB" w:rsidRPr="005C2DAB" w:rsidRDefault="005C2DAB">
            <w:pPr>
              <w:jc w:val="center"/>
              <w:rPr>
                <w:b/>
                <w:bCs/>
                <w:color w:val="000000"/>
                <w:sz w:val="22"/>
                <w:szCs w:val="22"/>
              </w:rPr>
            </w:pPr>
            <w:r w:rsidRPr="005C2DAB">
              <w:rPr>
                <w:b/>
                <w:bCs/>
                <w:color w:val="000000"/>
                <w:sz w:val="22"/>
                <w:szCs w:val="22"/>
              </w:rPr>
              <w:t>% změna</w:t>
            </w:r>
          </w:p>
        </w:tc>
      </w:tr>
      <w:tr w:rsidR="005C2DAB" w:rsidRPr="005C2DAB" w:rsidTr="005C2DAB">
        <w:trPr>
          <w:trHeight w:val="288"/>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Výnosy</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52</w:t>
            </w:r>
            <w:r w:rsidR="00B0727A">
              <w:rPr>
                <w:color w:val="000000"/>
                <w:sz w:val="22"/>
                <w:szCs w:val="22"/>
              </w:rPr>
              <w:t xml:space="preserve"> </w:t>
            </w:r>
            <w:r w:rsidRPr="005C2DAB">
              <w:rPr>
                <w:color w:val="000000"/>
                <w:sz w:val="22"/>
                <w:szCs w:val="22"/>
              </w:rPr>
              <w:t>586</w:t>
            </w:r>
          </w:p>
        </w:tc>
        <w:tc>
          <w:tcPr>
            <w:tcW w:w="1617" w:type="dxa"/>
            <w:tcBorders>
              <w:top w:val="nil"/>
              <w:left w:val="nil"/>
              <w:bottom w:val="nil"/>
              <w:right w:val="nil"/>
            </w:tcBorders>
            <w:shd w:val="clear" w:color="auto" w:fill="auto"/>
            <w:noWrap/>
            <w:vAlign w:val="bottom"/>
            <w:hideMark/>
          </w:tcPr>
          <w:p w:rsidR="005C2DAB" w:rsidRPr="005C2DAB" w:rsidRDefault="005C2DAB">
            <w:pPr>
              <w:ind w:firstLineChars="100" w:firstLine="220"/>
              <w:jc w:val="right"/>
              <w:rPr>
                <w:color w:val="000000"/>
                <w:sz w:val="22"/>
                <w:szCs w:val="22"/>
              </w:rPr>
            </w:pPr>
            <w:r w:rsidRPr="005C2DAB">
              <w:rPr>
                <w:color w:val="000000"/>
                <w:sz w:val="22"/>
                <w:szCs w:val="22"/>
              </w:rPr>
              <w:t>51</w:t>
            </w:r>
            <w:r w:rsidR="00B0727A">
              <w:rPr>
                <w:color w:val="000000"/>
                <w:sz w:val="22"/>
                <w:szCs w:val="22"/>
              </w:rPr>
              <w:t xml:space="preserve"> </w:t>
            </w:r>
            <w:r w:rsidRPr="005C2DAB">
              <w:rPr>
                <w:color w:val="000000"/>
                <w:sz w:val="22"/>
                <w:szCs w:val="22"/>
              </w:rPr>
              <w:t>1</w:t>
            </w:r>
            <w:r w:rsidR="008C0748">
              <w:rPr>
                <w:color w:val="000000"/>
                <w:sz w:val="22"/>
                <w:szCs w:val="22"/>
              </w:rPr>
              <w:t>13</w:t>
            </w:r>
          </w:p>
        </w:tc>
        <w:tc>
          <w:tcPr>
            <w:tcW w:w="1402" w:type="dxa"/>
            <w:tcBorders>
              <w:top w:val="nil"/>
              <w:left w:val="nil"/>
              <w:bottom w:val="nil"/>
              <w:right w:val="nil"/>
            </w:tcBorders>
            <w:shd w:val="clear" w:color="auto" w:fill="auto"/>
            <w:noWrap/>
            <w:vAlign w:val="bottom"/>
            <w:hideMark/>
          </w:tcPr>
          <w:p w:rsidR="005C2DAB" w:rsidRPr="005C2DAB" w:rsidRDefault="005C2DAB">
            <w:pPr>
              <w:ind w:firstLineChars="100" w:firstLine="220"/>
              <w:jc w:val="right"/>
              <w:rPr>
                <w:color w:val="000000"/>
                <w:sz w:val="22"/>
                <w:szCs w:val="22"/>
              </w:rPr>
            </w:pPr>
            <w:r w:rsidRPr="005C2DAB">
              <w:rPr>
                <w:color w:val="000000"/>
                <w:sz w:val="22"/>
                <w:szCs w:val="22"/>
              </w:rPr>
              <w:t>-2</w:t>
            </w:r>
            <w:r w:rsidR="005A2B64">
              <w:rPr>
                <w:color w:val="000000"/>
                <w:sz w:val="22"/>
                <w:szCs w:val="22"/>
              </w:rPr>
              <w:t>,</w:t>
            </w:r>
            <w:r w:rsidR="008C0748">
              <w:rPr>
                <w:color w:val="000000"/>
                <w:sz w:val="22"/>
                <w:szCs w:val="22"/>
              </w:rPr>
              <w:t>8</w:t>
            </w:r>
            <w:r w:rsidRPr="005C2DAB">
              <w:rPr>
                <w:color w:val="000000"/>
                <w:sz w:val="22"/>
                <w:szCs w:val="22"/>
              </w:rPr>
              <w:t>%</w:t>
            </w: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Spotřeba materiálu a služeb</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-39</w:t>
            </w:r>
            <w:r w:rsidR="00B0727A">
              <w:rPr>
                <w:color w:val="000000"/>
                <w:sz w:val="22"/>
                <w:szCs w:val="22"/>
              </w:rPr>
              <w:t xml:space="preserve"> </w:t>
            </w:r>
            <w:r w:rsidRPr="005C2DAB">
              <w:rPr>
                <w:color w:val="000000"/>
                <w:sz w:val="22"/>
                <w:szCs w:val="22"/>
              </w:rPr>
              <w:t>765</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-37</w:t>
            </w:r>
            <w:r w:rsidR="00B0727A">
              <w:rPr>
                <w:color w:val="000000"/>
                <w:sz w:val="22"/>
                <w:szCs w:val="22"/>
              </w:rPr>
              <w:t xml:space="preserve"> </w:t>
            </w:r>
            <w:r w:rsidRPr="005C2DAB">
              <w:rPr>
                <w:color w:val="000000"/>
                <w:sz w:val="22"/>
                <w:szCs w:val="22"/>
              </w:rPr>
              <w:t>516</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-5</w:t>
            </w:r>
            <w:r w:rsidR="005A2B64">
              <w:rPr>
                <w:color w:val="000000"/>
                <w:sz w:val="22"/>
                <w:szCs w:val="22"/>
              </w:rPr>
              <w:t>,</w:t>
            </w:r>
            <w:r w:rsidRPr="005C2DAB">
              <w:rPr>
                <w:color w:val="000000"/>
                <w:sz w:val="22"/>
                <w:szCs w:val="22"/>
              </w:rPr>
              <w:t>7%</w:t>
            </w: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Osobní náklady</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-2</w:t>
            </w:r>
            <w:r w:rsidR="00B0727A">
              <w:rPr>
                <w:color w:val="000000"/>
                <w:sz w:val="22"/>
                <w:szCs w:val="22"/>
              </w:rPr>
              <w:t xml:space="preserve"> </w:t>
            </w:r>
            <w:r w:rsidRPr="005C2DAB">
              <w:rPr>
                <w:color w:val="000000"/>
                <w:sz w:val="22"/>
                <w:szCs w:val="22"/>
              </w:rPr>
              <w:t>328</w:t>
            </w:r>
          </w:p>
        </w:tc>
        <w:tc>
          <w:tcPr>
            <w:tcW w:w="1617" w:type="dxa"/>
            <w:tcBorders>
              <w:top w:val="nil"/>
              <w:left w:val="nil"/>
              <w:bottom w:val="nil"/>
              <w:right w:val="nil"/>
            </w:tcBorders>
            <w:shd w:val="clear" w:color="auto" w:fill="auto"/>
            <w:noWrap/>
            <w:vAlign w:val="bottom"/>
            <w:hideMark/>
          </w:tcPr>
          <w:p w:rsidR="005C2DAB" w:rsidRPr="005C2DAB" w:rsidRDefault="005C2DAB">
            <w:pPr>
              <w:ind w:firstLineChars="100" w:firstLine="220"/>
              <w:jc w:val="right"/>
              <w:rPr>
                <w:color w:val="000000"/>
                <w:sz w:val="22"/>
                <w:szCs w:val="22"/>
              </w:rPr>
            </w:pPr>
            <w:r w:rsidRPr="005C2DAB">
              <w:rPr>
                <w:color w:val="000000"/>
                <w:sz w:val="22"/>
                <w:szCs w:val="22"/>
              </w:rPr>
              <w:t>-4</w:t>
            </w:r>
            <w:r w:rsidR="00B0727A">
              <w:rPr>
                <w:color w:val="000000"/>
                <w:sz w:val="22"/>
                <w:szCs w:val="22"/>
              </w:rPr>
              <w:t xml:space="preserve"> </w:t>
            </w:r>
            <w:r w:rsidRPr="005C2DAB">
              <w:rPr>
                <w:color w:val="000000"/>
                <w:sz w:val="22"/>
                <w:szCs w:val="22"/>
              </w:rPr>
              <w:t>1</w:t>
            </w:r>
            <w:r w:rsidR="008C0748">
              <w:rPr>
                <w:color w:val="000000"/>
                <w:sz w:val="22"/>
                <w:szCs w:val="22"/>
              </w:rPr>
              <w:t>45</w:t>
            </w:r>
          </w:p>
        </w:tc>
        <w:tc>
          <w:tcPr>
            <w:tcW w:w="1402" w:type="dxa"/>
            <w:tcBorders>
              <w:top w:val="nil"/>
              <w:left w:val="nil"/>
              <w:bottom w:val="nil"/>
              <w:right w:val="nil"/>
            </w:tcBorders>
            <w:shd w:val="clear" w:color="auto" w:fill="auto"/>
            <w:noWrap/>
            <w:vAlign w:val="bottom"/>
            <w:hideMark/>
          </w:tcPr>
          <w:p w:rsidR="005C2DAB" w:rsidRPr="005C2DAB" w:rsidRDefault="005C2DAB">
            <w:pPr>
              <w:ind w:firstLineChars="100" w:firstLine="220"/>
              <w:jc w:val="right"/>
              <w:rPr>
                <w:color w:val="000000"/>
                <w:sz w:val="22"/>
                <w:szCs w:val="22"/>
              </w:rPr>
            </w:pPr>
            <w:r w:rsidRPr="005C2DAB">
              <w:rPr>
                <w:color w:val="000000"/>
                <w:sz w:val="22"/>
                <w:szCs w:val="22"/>
              </w:rPr>
              <w:t>7</w:t>
            </w:r>
            <w:r w:rsidR="008C0748">
              <w:rPr>
                <w:color w:val="000000"/>
                <w:sz w:val="22"/>
                <w:szCs w:val="22"/>
              </w:rPr>
              <w:t>8</w:t>
            </w:r>
            <w:r w:rsidR="005A2B64">
              <w:rPr>
                <w:color w:val="000000"/>
                <w:sz w:val="22"/>
                <w:szCs w:val="22"/>
              </w:rPr>
              <w:t>,</w:t>
            </w:r>
            <w:r w:rsidR="008C0748">
              <w:rPr>
                <w:color w:val="000000"/>
                <w:sz w:val="22"/>
                <w:szCs w:val="22"/>
              </w:rPr>
              <w:t>1</w:t>
            </w:r>
            <w:r w:rsidRPr="005C2DAB">
              <w:rPr>
                <w:color w:val="000000"/>
                <w:sz w:val="22"/>
                <w:szCs w:val="22"/>
              </w:rPr>
              <w:t>%</w:t>
            </w:r>
          </w:p>
        </w:tc>
      </w:tr>
      <w:tr w:rsidR="005C2DAB" w:rsidRPr="005C2DAB" w:rsidTr="005C2DAB">
        <w:trPr>
          <w:trHeight w:val="552"/>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Ostatní provozní výnosy/(náklady) (netto)</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-609</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-516</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-15</w:t>
            </w:r>
            <w:r w:rsidR="005A2B64">
              <w:rPr>
                <w:color w:val="000000"/>
                <w:sz w:val="22"/>
                <w:szCs w:val="22"/>
              </w:rPr>
              <w:t>,</w:t>
            </w:r>
            <w:r w:rsidRPr="005C2DAB">
              <w:rPr>
                <w:color w:val="000000"/>
                <w:sz w:val="22"/>
                <w:szCs w:val="22"/>
              </w:rPr>
              <w:t>3%</w:t>
            </w:r>
          </w:p>
        </w:tc>
      </w:tr>
      <w:tr w:rsidR="005C2DAB" w:rsidRPr="005C2DAB" w:rsidTr="005C2DAB">
        <w:trPr>
          <w:trHeight w:val="315"/>
        </w:trPr>
        <w:tc>
          <w:tcPr>
            <w:tcW w:w="3948"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EBITDA</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9</w:t>
            </w:r>
            <w:r w:rsidR="00B0727A">
              <w:rPr>
                <w:b/>
                <w:bCs/>
                <w:color w:val="000000"/>
                <w:sz w:val="22"/>
                <w:szCs w:val="22"/>
              </w:rPr>
              <w:t xml:space="preserve"> </w:t>
            </w:r>
            <w:r w:rsidRPr="005C2DAB">
              <w:rPr>
                <w:b/>
                <w:bCs/>
                <w:color w:val="000000"/>
                <w:sz w:val="22"/>
                <w:szCs w:val="22"/>
              </w:rPr>
              <w:t>884</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8</w:t>
            </w:r>
            <w:r w:rsidR="00B0727A">
              <w:rPr>
                <w:b/>
                <w:bCs/>
                <w:color w:val="000000"/>
                <w:sz w:val="22"/>
                <w:szCs w:val="22"/>
              </w:rPr>
              <w:t xml:space="preserve"> </w:t>
            </w:r>
            <w:r w:rsidRPr="005C2DAB">
              <w:rPr>
                <w:b/>
                <w:bCs/>
                <w:color w:val="000000"/>
                <w:sz w:val="22"/>
                <w:szCs w:val="22"/>
              </w:rPr>
              <w:t>936</w:t>
            </w:r>
          </w:p>
        </w:tc>
        <w:tc>
          <w:tcPr>
            <w:tcW w:w="1402"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-9</w:t>
            </w:r>
            <w:r w:rsidR="005A2B64">
              <w:rPr>
                <w:b/>
                <w:bCs/>
                <w:color w:val="000000"/>
                <w:sz w:val="22"/>
                <w:szCs w:val="22"/>
              </w:rPr>
              <w:t>,</w:t>
            </w:r>
            <w:r w:rsidRPr="005C2DAB">
              <w:rPr>
                <w:b/>
                <w:bCs/>
                <w:color w:val="000000"/>
                <w:sz w:val="22"/>
                <w:szCs w:val="22"/>
              </w:rPr>
              <w:t>6%</w:t>
            </w: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b/>
                <w:bCs/>
                <w:i/>
                <w:iCs/>
                <w:color w:val="000000"/>
                <w:sz w:val="22"/>
                <w:szCs w:val="22"/>
              </w:rPr>
            </w:pPr>
            <w:r w:rsidRPr="005C2DAB">
              <w:rPr>
                <w:b/>
                <w:bCs/>
                <w:i/>
                <w:iCs/>
                <w:color w:val="000000"/>
                <w:sz w:val="22"/>
                <w:szCs w:val="22"/>
              </w:rPr>
              <w:t xml:space="preserve">EBITDA marže </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1"/>
              <w:jc w:val="right"/>
              <w:rPr>
                <w:b/>
                <w:bCs/>
                <w:i/>
                <w:iCs/>
                <w:color w:val="000000"/>
                <w:sz w:val="22"/>
                <w:szCs w:val="22"/>
              </w:rPr>
            </w:pPr>
            <w:r w:rsidRPr="005C2DAB">
              <w:rPr>
                <w:b/>
                <w:bCs/>
                <w:i/>
                <w:iCs/>
                <w:color w:val="000000"/>
                <w:sz w:val="22"/>
                <w:szCs w:val="22"/>
              </w:rPr>
              <w:t>18</w:t>
            </w:r>
            <w:r w:rsidR="005A2B64">
              <w:rPr>
                <w:b/>
                <w:bCs/>
                <w:i/>
                <w:iCs/>
                <w:color w:val="000000"/>
                <w:sz w:val="22"/>
                <w:szCs w:val="22"/>
              </w:rPr>
              <w:t>,</w:t>
            </w:r>
            <w:r w:rsidRPr="005C2DAB">
              <w:rPr>
                <w:b/>
                <w:bCs/>
                <w:i/>
                <w:iCs/>
                <w:color w:val="000000"/>
                <w:sz w:val="22"/>
                <w:szCs w:val="22"/>
              </w:rPr>
              <w:t>8%</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1"/>
              <w:jc w:val="right"/>
              <w:rPr>
                <w:b/>
                <w:bCs/>
                <w:i/>
                <w:iCs/>
                <w:color w:val="000000"/>
                <w:sz w:val="22"/>
                <w:szCs w:val="22"/>
              </w:rPr>
            </w:pPr>
            <w:r w:rsidRPr="005C2DAB">
              <w:rPr>
                <w:b/>
                <w:bCs/>
                <w:i/>
                <w:iCs/>
                <w:color w:val="000000"/>
                <w:sz w:val="22"/>
                <w:szCs w:val="22"/>
              </w:rPr>
              <w:t>17</w:t>
            </w:r>
            <w:r w:rsidR="005A2B64">
              <w:rPr>
                <w:b/>
                <w:bCs/>
                <w:i/>
                <w:iCs/>
                <w:color w:val="000000"/>
                <w:sz w:val="22"/>
                <w:szCs w:val="22"/>
              </w:rPr>
              <w:t>,</w:t>
            </w:r>
            <w:r w:rsidRPr="005C2DAB">
              <w:rPr>
                <w:b/>
                <w:bCs/>
                <w:i/>
                <w:iCs/>
                <w:color w:val="000000"/>
                <w:sz w:val="22"/>
                <w:szCs w:val="22"/>
              </w:rPr>
              <w:t>5%</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1"/>
              <w:jc w:val="right"/>
              <w:rPr>
                <w:b/>
                <w:bCs/>
                <w:i/>
                <w:iCs/>
                <w:color w:val="000000"/>
                <w:sz w:val="22"/>
                <w:szCs w:val="22"/>
              </w:rPr>
            </w:pPr>
            <w:r w:rsidRPr="005C2DAB">
              <w:rPr>
                <w:b/>
                <w:bCs/>
                <w:i/>
                <w:iCs/>
                <w:color w:val="000000"/>
                <w:sz w:val="22"/>
                <w:szCs w:val="22"/>
              </w:rPr>
              <w:t>-1</w:t>
            </w:r>
            <w:r w:rsidR="005A2B64">
              <w:rPr>
                <w:b/>
                <w:bCs/>
                <w:i/>
                <w:iCs/>
                <w:color w:val="000000"/>
                <w:sz w:val="22"/>
                <w:szCs w:val="22"/>
              </w:rPr>
              <w:t>,</w:t>
            </w:r>
            <w:r w:rsidRPr="005C2DAB">
              <w:rPr>
                <w:b/>
                <w:bCs/>
                <w:i/>
                <w:iCs/>
                <w:color w:val="000000"/>
                <w:sz w:val="22"/>
                <w:szCs w:val="22"/>
              </w:rPr>
              <w:t>3 pb</w:t>
            </w: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r>
      <w:tr w:rsidR="005C2DAB" w:rsidRPr="005C2DAB" w:rsidTr="005C2DAB">
        <w:trPr>
          <w:trHeight w:val="552"/>
        </w:trPr>
        <w:tc>
          <w:tcPr>
            <w:tcW w:w="3948" w:type="dxa"/>
            <w:tcBorders>
              <w:top w:val="nil"/>
              <w:left w:val="nil"/>
              <w:bottom w:val="nil"/>
              <w:right w:val="nil"/>
            </w:tcBorders>
            <w:shd w:val="clear" w:color="auto" w:fill="auto"/>
            <w:vAlign w:val="bottom"/>
            <w:hideMark/>
          </w:tcPr>
          <w:p w:rsidR="005C2DAB" w:rsidRPr="005C2DAB" w:rsidRDefault="005C2DAB">
            <w:pPr>
              <w:rPr>
                <w:color w:val="000000"/>
                <w:sz w:val="22"/>
                <w:szCs w:val="22"/>
              </w:rPr>
            </w:pPr>
            <w:r w:rsidRPr="005C2DAB">
              <w:rPr>
                <w:color w:val="000000"/>
                <w:sz w:val="22"/>
                <w:szCs w:val="22"/>
              </w:rPr>
              <w:t>Odpisy dlouhodobého nehmotného a hmotného majetku</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-3</w:t>
            </w:r>
            <w:r w:rsidR="00B0727A">
              <w:rPr>
                <w:color w:val="000000"/>
                <w:sz w:val="22"/>
                <w:szCs w:val="22"/>
              </w:rPr>
              <w:t xml:space="preserve"> </w:t>
            </w:r>
            <w:r w:rsidRPr="005C2DAB">
              <w:rPr>
                <w:color w:val="000000"/>
                <w:sz w:val="22"/>
                <w:szCs w:val="22"/>
              </w:rPr>
              <w:t>697</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-3</w:t>
            </w:r>
            <w:r w:rsidR="00B0727A">
              <w:rPr>
                <w:color w:val="000000"/>
                <w:sz w:val="22"/>
                <w:szCs w:val="22"/>
              </w:rPr>
              <w:t xml:space="preserve"> </w:t>
            </w:r>
            <w:r w:rsidRPr="005C2DAB">
              <w:rPr>
                <w:color w:val="000000"/>
                <w:sz w:val="22"/>
                <w:szCs w:val="22"/>
              </w:rPr>
              <w:t>938</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6</w:t>
            </w:r>
            <w:r w:rsidR="005A2B64">
              <w:rPr>
                <w:color w:val="000000"/>
                <w:sz w:val="22"/>
                <w:szCs w:val="22"/>
              </w:rPr>
              <w:t>,</w:t>
            </w:r>
            <w:r w:rsidRPr="005C2DAB">
              <w:rPr>
                <w:color w:val="000000"/>
                <w:sz w:val="22"/>
                <w:szCs w:val="22"/>
              </w:rPr>
              <w:t>5%</w:t>
            </w:r>
          </w:p>
        </w:tc>
      </w:tr>
      <w:tr w:rsidR="005C2DAB" w:rsidRPr="005C2DAB" w:rsidTr="005C2DAB">
        <w:trPr>
          <w:trHeight w:val="315"/>
        </w:trPr>
        <w:tc>
          <w:tcPr>
            <w:tcW w:w="3948"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Provozní zisk</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6</w:t>
            </w:r>
            <w:r w:rsidR="00B0727A">
              <w:rPr>
                <w:b/>
                <w:bCs/>
                <w:color w:val="000000"/>
                <w:sz w:val="22"/>
                <w:szCs w:val="22"/>
              </w:rPr>
              <w:t xml:space="preserve"> </w:t>
            </w:r>
            <w:r w:rsidRPr="005C2DAB">
              <w:rPr>
                <w:b/>
                <w:bCs/>
                <w:color w:val="000000"/>
                <w:sz w:val="22"/>
                <w:szCs w:val="22"/>
              </w:rPr>
              <w:t>187</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4</w:t>
            </w:r>
            <w:r w:rsidR="00B0727A">
              <w:rPr>
                <w:b/>
                <w:bCs/>
                <w:color w:val="000000"/>
                <w:sz w:val="22"/>
                <w:szCs w:val="22"/>
              </w:rPr>
              <w:t xml:space="preserve"> </w:t>
            </w:r>
            <w:r w:rsidRPr="005C2DAB">
              <w:rPr>
                <w:b/>
                <w:bCs/>
                <w:color w:val="000000"/>
                <w:sz w:val="22"/>
                <w:szCs w:val="22"/>
              </w:rPr>
              <w:t>998</w:t>
            </w:r>
          </w:p>
        </w:tc>
        <w:tc>
          <w:tcPr>
            <w:tcW w:w="1402"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-19</w:t>
            </w:r>
            <w:r w:rsidR="005A2B64">
              <w:rPr>
                <w:b/>
                <w:bCs/>
                <w:color w:val="000000"/>
                <w:sz w:val="22"/>
                <w:szCs w:val="22"/>
              </w:rPr>
              <w:t>,</w:t>
            </w:r>
            <w:r w:rsidRPr="005C2DAB">
              <w:rPr>
                <w:b/>
                <w:bCs/>
                <w:color w:val="000000"/>
                <w:sz w:val="22"/>
                <w:szCs w:val="22"/>
              </w:rPr>
              <w:t>2%</w:t>
            </w: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Kurzové zisky a ostatní finanční výnosy</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2</w:t>
            </w:r>
            <w:r w:rsidR="00B0727A">
              <w:rPr>
                <w:color w:val="000000"/>
                <w:sz w:val="22"/>
                <w:szCs w:val="22"/>
              </w:rPr>
              <w:t xml:space="preserve"> </w:t>
            </w:r>
            <w:r w:rsidRPr="005C2DAB">
              <w:rPr>
                <w:color w:val="000000"/>
                <w:sz w:val="22"/>
                <w:szCs w:val="22"/>
              </w:rPr>
              <w:t>808</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415</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-85</w:t>
            </w:r>
            <w:r w:rsidR="005A2B64">
              <w:rPr>
                <w:color w:val="000000"/>
                <w:sz w:val="22"/>
                <w:szCs w:val="22"/>
              </w:rPr>
              <w:t>,</w:t>
            </w:r>
            <w:r w:rsidRPr="005C2DAB">
              <w:rPr>
                <w:color w:val="000000"/>
                <w:sz w:val="22"/>
                <w:szCs w:val="22"/>
              </w:rPr>
              <w:t>2%</w:t>
            </w:r>
          </w:p>
        </w:tc>
      </w:tr>
      <w:tr w:rsidR="005C2DAB" w:rsidRPr="005C2DAB" w:rsidTr="005C2DAB">
        <w:trPr>
          <w:trHeight w:val="552"/>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Kurzové ztráty a ostatní finanční náklady</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w:t>
            </w:r>
            <w:r w:rsidR="00B0727A">
              <w:rPr>
                <w:color w:val="000000"/>
                <w:sz w:val="22"/>
                <w:szCs w:val="22"/>
              </w:rPr>
              <w:t xml:space="preserve"> </w:t>
            </w:r>
            <w:r w:rsidRPr="005C2DAB">
              <w:rPr>
                <w:color w:val="000000"/>
                <w:sz w:val="22"/>
                <w:szCs w:val="22"/>
              </w:rPr>
              <w:t>357</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-762</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-43</w:t>
            </w:r>
            <w:r w:rsidR="005A2B64">
              <w:rPr>
                <w:color w:val="000000"/>
                <w:sz w:val="22"/>
                <w:szCs w:val="22"/>
              </w:rPr>
              <w:t>,</w:t>
            </w:r>
            <w:r w:rsidRPr="005C2DAB">
              <w:rPr>
                <w:color w:val="000000"/>
                <w:sz w:val="22"/>
                <w:szCs w:val="22"/>
              </w:rPr>
              <w:t>8%</w:t>
            </w: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Úrokové výnosy</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17</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-105</w:t>
            </w:r>
            <w:r w:rsidR="005A2B64">
              <w:rPr>
                <w:color w:val="000000"/>
                <w:sz w:val="22"/>
                <w:szCs w:val="22"/>
              </w:rPr>
              <w:t>,</w:t>
            </w:r>
            <w:r w:rsidRPr="005C2DAB">
              <w:rPr>
                <w:color w:val="000000"/>
                <w:sz w:val="22"/>
                <w:szCs w:val="22"/>
              </w:rPr>
              <w:t>9%</w:t>
            </w: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Úrokové náklady</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-2</w:t>
            </w:r>
            <w:r w:rsidR="00B0727A">
              <w:rPr>
                <w:color w:val="000000"/>
                <w:sz w:val="22"/>
                <w:szCs w:val="22"/>
              </w:rPr>
              <w:t xml:space="preserve"> </w:t>
            </w:r>
            <w:r w:rsidRPr="005C2DAB">
              <w:rPr>
                <w:color w:val="000000"/>
                <w:sz w:val="22"/>
                <w:szCs w:val="22"/>
              </w:rPr>
              <w:t>089</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w:t>
            </w:r>
            <w:r w:rsidR="00B0727A">
              <w:rPr>
                <w:color w:val="000000"/>
                <w:sz w:val="22"/>
                <w:szCs w:val="22"/>
              </w:rPr>
              <w:t xml:space="preserve"> </w:t>
            </w:r>
            <w:r w:rsidRPr="005C2DAB">
              <w:rPr>
                <w:color w:val="000000"/>
                <w:sz w:val="22"/>
                <w:szCs w:val="22"/>
              </w:rPr>
              <w:t>758</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-15</w:t>
            </w:r>
            <w:r w:rsidR="005A2B64">
              <w:rPr>
                <w:color w:val="000000"/>
                <w:sz w:val="22"/>
                <w:szCs w:val="22"/>
              </w:rPr>
              <w:t>,</w:t>
            </w:r>
            <w:r w:rsidRPr="005C2DAB">
              <w:rPr>
                <w:color w:val="000000"/>
                <w:sz w:val="22"/>
                <w:szCs w:val="22"/>
              </w:rPr>
              <w:t>9%</w:t>
            </w:r>
          </w:p>
        </w:tc>
      </w:tr>
      <w:tr w:rsidR="005C2DAB" w:rsidRPr="005C2DAB" w:rsidTr="005C2DAB">
        <w:trPr>
          <w:trHeight w:val="315"/>
        </w:trPr>
        <w:tc>
          <w:tcPr>
            <w:tcW w:w="3948"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Zisk před zdaněním</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5</w:t>
            </w:r>
            <w:r w:rsidR="00B0727A">
              <w:rPr>
                <w:b/>
                <w:bCs/>
                <w:color w:val="000000"/>
                <w:sz w:val="22"/>
                <w:szCs w:val="22"/>
              </w:rPr>
              <w:t xml:space="preserve"> </w:t>
            </w:r>
            <w:r w:rsidRPr="005C2DAB">
              <w:rPr>
                <w:b/>
                <w:bCs/>
                <w:color w:val="000000"/>
                <w:sz w:val="22"/>
                <w:szCs w:val="22"/>
              </w:rPr>
              <w:t>566</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2</w:t>
            </w:r>
            <w:r w:rsidR="00B0727A">
              <w:rPr>
                <w:b/>
                <w:bCs/>
                <w:color w:val="000000"/>
                <w:sz w:val="22"/>
                <w:szCs w:val="22"/>
              </w:rPr>
              <w:t xml:space="preserve"> </w:t>
            </w:r>
            <w:r w:rsidRPr="005C2DAB">
              <w:rPr>
                <w:b/>
                <w:bCs/>
                <w:color w:val="000000"/>
                <w:sz w:val="22"/>
                <w:szCs w:val="22"/>
              </w:rPr>
              <w:t>892</w:t>
            </w:r>
          </w:p>
        </w:tc>
        <w:tc>
          <w:tcPr>
            <w:tcW w:w="1402"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-48</w:t>
            </w:r>
            <w:r w:rsidR="005A2B64">
              <w:rPr>
                <w:b/>
                <w:bCs/>
                <w:color w:val="000000"/>
                <w:sz w:val="22"/>
                <w:szCs w:val="22"/>
              </w:rPr>
              <w:t>,</w:t>
            </w:r>
            <w:r w:rsidRPr="005C2DAB">
              <w:rPr>
                <w:b/>
                <w:bCs/>
                <w:color w:val="000000"/>
                <w:sz w:val="22"/>
                <w:szCs w:val="22"/>
              </w:rPr>
              <w:t>0%</w:t>
            </w: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r>
      <w:tr w:rsidR="005C2DAB" w:rsidRPr="005C2DAB" w:rsidTr="005C2DAB">
        <w:trPr>
          <w:trHeight w:val="288"/>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 xml:space="preserve">Daň z příjmů – (náklad)/výnos </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-569</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-923</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62</w:t>
            </w:r>
            <w:r w:rsidR="005A2B64">
              <w:rPr>
                <w:color w:val="000000"/>
                <w:sz w:val="22"/>
                <w:szCs w:val="22"/>
              </w:rPr>
              <w:t>,</w:t>
            </w:r>
            <w:r w:rsidRPr="005C2DAB">
              <w:rPr>
                <w:color w:val="000000"/>
                <w:sz w:val="22"/>
                <w:szCs w:val="22"/>
              </w:rPr>
              <w:t>3%</w:t>
            </w:r>
          </w:p>
        </w:tc>
      </w:tr>
      <w:tr w:rsidR="005C2DAB" w:rsidRPr="005C2DAB" w:rsidTr="005C2DAB">
        <w:trPr>
          <w:trHeight w:val="300"/>
        </w:trPr>
        <w:tc>
          <w:tcPr>
            <w:tcW w:w="3948"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Čistý zisk po zdanění</w:t>
            </w:r>
          </w:p>
        </w:tc>
        <w:tc>
          <w:tcPr>
            <w:tcW w:w="1617" w:type="dxa"/>
            <w:tcBorders>
              <w:top w:val="double" w:sz="6"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4</w:t>
            </w:r>
            <w:r w:rsidR="00B0727A">
              <w:rPr>
                <w:b/>
                <w:bCs/>
                <w:color w:val="000000"/>
                <w:sz w:val="22"/>
                <w:szCs w:val="22"/>
              </w:rPr>
              <w:t xml:space="preserve"> </w:t>
            </w:r>
            <w:r w:rsidRPr="005C2DAB">
              <w:rPr>
                <w:b/>
                <w:bCs/>
                <w:color w:val="000000"/>
                <w:sz w:val="22"/>
                <w:szCs w:val="22"/>
              </w:rPr>
              <w:t>997</w:t>
            </w:r>
          </w:p>
        </w:tc>
        <w:tc>
          <w:tcPr>
            <w:tcW w:w="1617" w:type="dxa"/>
            <w:tcBorders>
              <w:top w:val="double" w:sz="6"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1</w:t>
            </w:r>
            <w:r w:rsidR="00B0727A">
              <w:rPr>
                <w:b/>
                <w:bCs/>
                <w:color w:val="000000"/>
                <w:sz w:val="22"/>
                <w:szCs w:val="22"/>
              </w:rPr>
              <w:t xml:space="preserve"> </w:t>
            </w:r>
            <w:r w:rsidRPr="005C2DAB">
              <w:rPr>
                <w:b/>
                <w:bCs/>
                <w:color w:val="000000"/>
                <w:sz w:val="22"/>
                <w:szCs w:val="22"/>
              </w:rPr>
              <w:t>969</w:t>
            </w:r>
          </w:p>
        </w:tc>
        <w:tc>
          <w:tcPr>
            <w:tcW w:w="1402" w:type="dxa"/>
            <w:tcBorders>
              <w:top w:val="double" w:sz="6"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-60</w:t>
            </w:r>
            <w:r w:rsidR="005A2B64">
              <w:rPr>
                <w:b/>
                <w:bCs/>
                <w:color w:val="000000"/>
                <w:sz w:val="22"/>
                <w:szCs w:val="22"/>
              </w:rPr>
              <w:t>,</w:t>
            </w:r>
            <w:r w:rsidRPr="005C2DAB">
              <w:rPr>
                <w:b/>
                <w:bCs/>
                <w:color w:val="000000"/>
                <w:sz w:val="22"/>
                <w:szCs w:val="22"/>
              </w:rPr>
              <w:t>6%</w:t>
            </w: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Ostatní úplný výsledek</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r>
      <w:tr w:rsidR="005C2DAB" w:rsidRPr="005C2DAB" w:rsidTr="005C2DAB">
        <w:trPr>
          <w:trHeight w:val="552"/>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Ostatní změny ve vlastním kapitálu</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-16</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-506</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3059</w:t>
            </w:r>
            <w:r w:rsidR="005A2B64">
              <w:rPr>
                <w:color w:val="000000"/>
                <w:sz w:val="22"/>
                <w:szCs w:val="22"/>
              </w:rPr>
              <w:t>,</w:t>
            </w:r>
            <w:r w:rsidRPr="005C2DAB">
              <w:rPr>
                <w:color w:val="000000"/>
                <w:sz w:val="22"/>
                <w:szCs w:val="22"/>
              </w:rPr>
              <w:t>4%</w:t>
            </w: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Kurzové rozdíly vzniklé z přepočtu</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-964</w:t>
            </w:r>
          </w:p>
        </w:tc>
        <w:tc>
          <w:tcPr>
            <w:tcW w:w="1617" w:type="dxa"/>
            <w:tcBorders>
              <w:top w:val="nil"/>
              <w:left w:val="nil"/>
              <w:bottom w:val="nil"/>
              <w:right w:val="nil"/>
            </w:tcBorders>
            <w:shd w:val="clear" w:color="auto" w:fill="auto"/>
            <w:noWrap/>
            <w:vAlign w:val="bottom"/>
            <w:hideMark/>
          </w:tcPr>
          <w:p w:rsidR="005C2DAB" w:rsidRPr="005C2DAB" w:rsidRDefault="009F00C8" w:rsidP="005C2DAB">
            <w:pPr>
              <w:ind w:firstLineChars="100" w:firstLine="220"/>
              <w:jc w:val="right"/>
              <w:rPr>
                <w:color w:val="000000"/>
                <w:sz w:val="22"/>
                <w:szCs w:val="22"/>
              </w:rPr>
            </w:pPr>
            <w:r>
              <w:rPr>
                <w:color w:val="000000"/>
                <w:sz w:val="22"/>
                <w:szCs w:val="22"/>
              </w:rPr>
              <w:t>387</w:t>
            </w:r>
          </w:p>
        </w:tc>
        <w:tc>
          <w:tcPr>
            <w:tcW w:w="1402" w:type="dxa"/>
            <w:tcBorders>
              <w:top w:val="nil"/>
              <w:left w:val="nil"/>
              <w:bottom w:val="nil"/>
              <w:right w:val="nil"/>
            </w:tcBorders>
            <w:shd w:val="clear" w:color="auto" w:fill="auto"/>
            <w:noWrap/>
            <w:vAlign w:val="bottom"/>
            <w:hideMark/>
          </w:tcPr>
          <w:p w:rsidR="005C2DAB" w:rsidRPr="005C2DAB" w:rsidRDefault="009F00C8" w:rsidP="005C2DAB">
            <w:pPr>
              <w:ind w:firstLineChars="100" w:firstLine="220"/>
              <w:jc w:val="right"/>
              <w:rPr>
                <w:color w:val="000000"/>
                <w:sz w:val="22"/>
                <w:szCs w:val="22"/>
              </w:rPr>
            </w:pPr>
            <w:r>
              <w:rPr>
                <w:color w:val="000000"/>
                <w:sz w:val="22"/>
                <w:szCs w:val="22"/>
              </w:rPr>
              <w:t>n/a</w:t>
            </w:r>
          </w:p>
        </w:tc>
      </w:tr>
      <w:tr w:rsidR="005C2DAB" w:rsidRPr="005C2DAB" w:rsidTr="005C2DAB">
        <w:trPr>
          <w:trHeight w:val="315"/>
        </w:trPr>
        <w:tc>
          <w:tcPr>
            <w:tcW w:w="3948"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Úplný výsledek za období celkem</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1"/>
              <w:jc w:val="right"/>
              <w:rPr>
                <w:b/>
                <w:bCs/>
                <w:color w:val="000000"/>
                <w:sz w:val="22"/>
                <w:szCs w:val="22"/>
              </w:rPr>
            </w:pPr>
            <w:r w:rsidRPr="005C2DAB">
              <w:rPr>
                <w:b/>
                <w:bCs/>
                <w:color w:val="000000"/>
                <w:sz w:val="22"/>
                <w:szCs w:val="22"/>
              </w:rPr>
              <w:t>4</w:t>
            </w:r>
            <w:r w:rsidR="00B0727A">
              <w:rPr>
                <w:b/>
                <w:bCs/>
                <w:color w:val="000000"/>
                <w:sz w:val="22"/>
                <w:szCs w:val="22"/>
              </w:rPr>
              <w:t xml:space="preserve"> </w:t>
            </w:r>
            <w:r w:rsidRPr="005C2DAB">
              <w:rPr>
                <w:b/>
                <w:bCs/>
                <w:color w:val="000000"/>
                <w:sz w:val="22"/>
                <w:szCs w:val="22"/>
              </w:rPr>
              <w:t>017</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9F00C8" w:rsidP="005C2DAB">
            <w:pPr>
              <w:ind w:firstLineChars="100" w:firstLine="221"/>
              <w:jc w:val="right"/>
              <w:rPr>
                <w:b/>
                <w:bCs/>
                <w:color w:val="000000"/>
                <w:sz w:val="22"/>
                <w:szCs w:val="22"/>
              </w:rPr>
            </w:pPr>
            <w:r>
              <w:rPr>
                <w:b/>
                <w:bCs/>
                <w:color w:val="000000"/>
                <w:sz w:val="22"/>
                <w:szCs w:val="22"/>
              </w:rPr>
              <w:t>1 850</w:t>
            </w:r>
          </w:p>
        </w:tc>
        <w:tc>
          <w:tcPr>
            <w:tcW w:w="1402" w:type="dxa"/>
            <w:tcBorders>
              <w:top w:val="single" w:sz="4" w:space="0" w:color="auto"/>
              <w:left w:val="nil"/>
              <w:bottom w:val="nil"/>
              <w:right w:val="nil"/>
            </w:tcBorders>
            <w:shd w:val="clear" w:color="auto" w:fill="auto"/>
            <w:noWrap/>
            <w:vAlign w:val="bottom"/>
            <w:hideMark/>
          </w:tcPr>
          <w:p w:rsidR="005C2DAB" w:rsidRPr="005C2DAB" w:rsidRDefault="005C2DAB" w:rsidP="009F00C8">
            <w:pPr>
              <w:ind w:firstLineChars="100" w:firstLine="221"/>
              <w:jc w:val="right"/>
              <w:rPr>
                <w:b/>
                <w:bCs/>
                <w:color w:val="000000"/>
                <w:sz w:val="22"/>
                <w:szCs w:val="22"/>
              </w:rPr>
            </w:pPr>
            <w:r w:rsidRPr="005C2DAB">
              <w:rPr>
                <w:b/>
                <w:bCs/>
                <w:color w:val="000000"/>
                <w:sz w:val="22"/>
                <w:szCs w:val="22"/>
              </w:rPr>
              <w:t>-</w:t>
            </w:r>
            <w:r w:rsidR="009F00C8">
              <w:rPr>
                <w:b/>
                <w:bCs/>
                <w:color w:val="000000"/>
                <w:sz w:val="22"/>
                <w:szCs w:val="22"/>
              </w:rPr>
              <w:t>53</w:t>
            </w:r>
            <w:r w:rsidR="005A2B64">
              <w:rPr>
                <w:b/>
                <w:bCs/>
                <w:color w:val="000000"/>
                <w:sz w:val="22"/>
                <w:szCs w:val="22"/>
              </w:rPr>
              <w:t>,</w:t>
            </w:r>
            <w:r w:rsidR="009F00C8">
              <w:rPr>
                <w:b/>
                <w:bCs/>
                <w:color w:val="000000"/>
                <w:sz w:val="22"/>
                <w:szCs w:val="22"/>
              </w:rPr>
              <w:t>9</w:t>
            </w:r>
            <w:r w:rsidRPr="005C2DAB">
              <w:rPr>
                <w:b/>
                <w:bCs/>
                <w:color w:val="000000"/>
                <w:sz w:val="22"/>
                <w:szCs w:val="22"/>
              </w:rPr>
              <w:t>%</w:t>
            </w:r>
          </w:p>
        </w:tc>
      </w:tr>
      <w:tr w:rsidR="005C2DAB" w:rsidRPr="005C2DAB" w:rsidTr="005C2DAB">
        <w:trPr>
          <w:trHeight w:val="105"/>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b/>
                <w:bCs/>
                <w:color w:val="000000"/>
                <w:sz w:val="22"/>
                <w:szCs w:val="22"/>
              </w:rPr>
            </w:pPr>
            <w:r w:rsidRPr="005C2DAB">
              <w:rPr>
                <w:b/>
                <w:bCs/>
                <w:color w:val="000000"/>
                <w:sz w:val="22"/>
                <w:szCs w:val="22"/>
              </w:rPr>
              <w:t>Čistý zisk na akcii</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 </w:t>
            </w:r>
          </w:p>
        </w:tc>
        <w:tc>
          <w:tcPr>
            <w:tcW w:w="1617"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 </w:t>
            </w:r>
          </w:p>
        </w:tc>
        <w:tc>
          <w:tcPr>
            <w:tcW w:w="1402" w:type="dxa"/>
            <w:tcBorders>
              <w:top w:val="single" w:sz="4" w:space="0" w:color="auto"/>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 </w:t>
            </w: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Základní čistý zisk na akcii (EUR)</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0</w:t>
            </w:r>
            <w:r w:rsidR="005A2B64">
              <w:rPr>
                <w:color w:val="000000"/>
                <w:sz w:val="22"/>
                <w:szCs w:val="22"/>
              </w:rPr>
              <w:t>,</w:t>
            </w:r>
            <w:r w:rsidRPr="005C2DAB">
              <w:rPr>
                <w:color w:val="000000"/>
                <w:sz w:val="22"/>
                <w:szCs w:val="22"/>
              </w:rPr>
              <w:t>54</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0</w:t>
            </w:r>
            <w:r w:rsidR="005A2B64">
              <w:rPr>
                <w:color w:val="000000"/>
                <w:sz w:val="22"/>
                <w:szCs w:val="22"/>
              </w:rPr>
              <w:t>,</w:t>
            </w:r>
            <w:r w:rsidRPr="005C2DAB">
              <w:rPr>
                <w:color w:val="000000"/>
                <w:sz w:val="22"/>
                <w:szCs w:val="22"/>
              </w:rPr>
              <w:t>21</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-60</w:t>
            </w:r>
            <w:r w:rsidR="005A2B64">
              <w:rPr>
                <w:color w:val="000000"/>
                <w:sz w:val="22"/>
                <w:szCs w:val="22"/>
              </w:rPr>
              <w:t>,</w:t>
            </w:r>
            <w:r w:rsidRPr="005C2DAB">
              <w:rPr>
                <w:color w:val="000000"/>
                <w:sz w:val="22"/>
                <w:szCs w:val="22"/>
              </w:rPr>
              <w:t>6%</w:t>
            </w:r>
          </w:p>
        </w:tc>
      </w:tr>
      <w:tr w:rsidR="005C2DAB" w:rsidRPr="005C2DAB" w:rsidTr="005C2DAB">
        <w:trPr>
          <w:trHeight w:val="276"/>
        </w:trPr>
        <w:tc>
          <w:tcPr>
            <w:tcW w:w="3948" w:type="dxa"/>
            <w:tcBorders>
              <w:top w:val="nil"/>
              <w:left w:val="nil"/>
              <w:bottom w:val="nil"/>
              <w:right w:val="nil"/>
            </w:tcBorders>
            <w:shd w:val="clear" w:color="auto" w:fill="auto"/>
            <w:noWrap/>
            <w:vAlign w:val="bottom"/>
            <w:hideMark/>
          </w:tcPr>
          <w:p w:rsidR="005C2DAB" w:rsidRPr="005C2DAB" w:rsidRDefault="005C2DAB">
            <w:pPr>
              <w:rPr>
                <w:color w:val="000000"/>
                <w:sz w:val="22"/>
                <w:szCs w:val="22"/>
              </w:rPr>
            </w:pPr>
            <w:r w:rsidRPr="005C2DAB">
              <w:rPr>
                <w:color w:val="000000"/>
                <w:sz w:val="22"/>
                <w:szCs w:val="22"/>
              </w:rPr>
              <w:t>Zředěný čistý zisk na akcii (EUR)</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0</w:t>
            </w:r>
            <w:r w:rsidR="005A2B64">
              <w:rPr>
                <w:color w:val="000000"/>
                <w:sz w:val="22"/>
                <w:szCs w:val="22"/>
              </w:rPr>
              <w:t>,</w:t>
            </w:r>
            <w:r w:rsidRPr="005C2DAB">
              <w:rPr>
                <w:color w:val="000000"/>
                <w:sz w:val="22"/>
                <w:szCs w:val="22"/>
              </w:rPr>
              <w:t>54</w:t>
            </w:r>
          </w:p>
        </w:tc>
        <w:tc>
          <w:tcPr>
            <w:tcW w:w="1617"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0</w:t>
            </w:r>
            <w:r w:rsidR="005A2B64">
              <w:rPr>
                <w:color w:val="000000"/>
                <w:sz w:val="22"/>
                <w:szCs w:val="22"/>
              </w:rPr>
              <w:t>,</w:t>
            </w:r>
            <w:r w:rsidRPr="005C2DAB">
              <w:rPr>
                <w:color w:val="000000"/>
                <w:sz w:val="22"/>
                <w:szCs w:val="22"/>
              </w:rPr>
              <w:t>21</w:t>
            </w:r>
          </w:p>
        </w:tc>
        <w:tc>
          <w:tcPr>
            <w:tcW w:w="1402" w:type="dxa"/>
            <w:tcBorders>
              <w:top w:val="nil"/>
              <w:left w:val="nil"/>
              <w:bottom w:val="nil"/>
              <w:right w:val="nil"/>
            </w:tcBorders>
            <w:shd w:val="clear" w:color="auto" w:fill="auto"/>
            <w:noWrap/>
            <w:vAlign w:val="bottom"/>
            <w:hideMark/>
          </w:tcPr>
          <w:p w:rsidR="005C2DAB" w:rsidRPr="005C2DAB" w:rsidRDefault="005C2DAB" w:rsidP="005C2DAB">
            <w:pPr>
              <w:ind w:firstLineChars="100" w:firstLine="220"/>
              <w:jc w:val="right"/>
              <w:rPr>
                <w:color w:val="000000"/>
                <w:sz w:val="22"/>
                <w:szCs w:val="22"/>
              </w:rPr>
            </w:pPr>
            <w:r w:rsidRPr="005C2DAB">
              <w:rPr>
                <w:color w:val="000000"/>
                <w:sz w:val="22"/>
                <w:szCs w:val="22"/>
              </w:rPr>
              <w:t>-61</w:t>
            </w:r>
            <w:r w:rsidR="005A2B64">
              <w:rPr>
                <w:color w:val="000000"/>
                <w:sz w:val="22"/>
                <w:szCs w:val="22"/>
              </w:rPr>
              <w:t>,</w:t>
            </w:r>
            <w:r w:rsidRPr="005C2DAB">
              <w:rPr>
                <w:color w:val="000000"/>
                <w:sz w:val="22"/>
                <w:szCs w:val="22"/>
              </w:rPr>
              <w:t>2%</w:t>
            </w:r>
          </w:p>
        </w:tc>
      </w:tr>
    </w:tbl>
    <w:p w:rsidR="00CC1601" w:rsidRPr="007A542A" w:rsidRDefault="00CC1601" w:rsidP="00CC1601">
      <w:pPr>
        <w:widowControl w:val="0"/>
      </w:pPr>
    </w:p>
    <w:p w:rsidR="00CC1601" w:rsidRPr="007A542A" w:rsidRDefault="00CC1601" w:rsidP="00CC1601">
      <w:pPr>
        <w:widowControl w:val="0"/>
      </w:pPr>
    </w:p>
    <w:p w:rsidR="00CC1601" w:rsidRPr="007A542A" w:rsidRDefault="00CC1601" w:rsidP="00CC1601">
      <w:pPr>
        <w:widowControl w:val="0"/>
      </w:pPr>
    </w:p>
    <w:p w:rsidR="00CC1601" w:rsidRPr="007A542A" w:rsidRDefault="00CC1601" w:rsidP="00CC1601">
      <w:pPr>
        <w:rPr>
          <w:rFonts w:ascii="Arial" w:hAnsi="Arial"/>
        </w:rPr>
      </w:pPr>
    </w:p>
    <w:p w:rsidR="00CC1601" w:rsidRPr="009C6249" w:rsidRDefault="00CC1601" w:rsidP="00CC1601">
      <w:pPr>
        <w:pStyle w:val="Heading2"/>
        <w:rPr>
          <w:rFonts w:ascii="Times New Roman" w:hAnsi="Times New Roman" w:cs="Times New Roman"/>
        </w:rPr>
      </w:pPr>
      <w:bookmarkStart w:id="79" w:name="_Toc269139327"/>
      <w:bookmarkStart w:id="80" w:name="_Toc269139328"/>
      <w:bookmarkStart w:id="81" w:name="_Toc269139329"/>
      <w:bookmarkStart w:id="82" w:name="_Toc269139330"/>
      <w:bookmarkStart w:id="83" w:name="_Toc269139331"/>
      <w:bookmarkStart w:id="84" w:name="_Toc269111141"/>
      <w:bookmarkStart w:id="85" w:name="_Toc269118414"/>
      <w:bookmarkStart w:id="86" w:name="_Toc269139332"/>
      <w:bookmarkStart w:id="87" w:name="_Toc269111142"/>
      <w:bookmarkStart w:id="88" w:name="_Toc269118415"/>
      <w:bookmarkStart w:id="89" w:name="_Toc269139333"/>
      <w:bookmarkStart w:id="90" w:name="_Toc269111143"/>
      <w:bookmarkStart w:id="91" w:name="_Toc269118416"/>
      <w:bookmarkStart w:id="92" w:name="_Toc269139334"/>
      <w:bookmarkStart w:id="93" w:name="_Toc165188456"/>
      <w:bookmarkStart w:id="94" w:name="_Toc175226106"/>
      <w:bookmarkStart w:id="95" w:name="_Toc269295561"/>
      <w:bookmarkStart w:id="96" w:name="_Toc269907500"/>
      <w:bookmarkStart w:id="97" w:name="_Toc427918122"/>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C6249">
        <w:rPr>
          <w:rFonts w:ascii="Times New Roman" w:hAnsi="Times New Roman" w:cs="Times New Roman"/>
        </w:rPr>
        <w:lastRenderedPageBreak/>
        <w:t>Konsolidovaný výkaz o finanční situaci k 30. červnu 201</w:t>
      </w:r>
      <w:r w:rsidR="0043406F" w:rsidRPr="009C6249">
        <w:rPr>
          <w:rFonts w:ascii="Times New Roman" w:hAnsi="Times New Roman" w:cs="Times New Roman"/>
        </w:rPr>
        <w:t>5</w:t>
      </w:r>
      <w:r w:rsidRPr="009C6249">
        <w:rPr>
          <w:rFonts w:ascii="Times New Roman" w:hAnsi="Times New Roman" w:cs="Times New Roman"/>
        </w:rPr>
        <w:t>, 31. prosinci 201</w:t>
      </w:r>
      <w:r w:rsidR="0043406F" w:rsidRPr="009C6249">
        <w:rPr>
          <w:rFonts w:ascii="Times New Roman" w:hAnsi="Times New Roman" w:cs="Times New Roman"/>
        </w:rPr>
        <w:t>4</w:t>
      </w:r>
      <w:r w:rsidRPr="009C6249">
        <w:rPr>
          <w:rFonts w:ascii="Times New Roman" w:hAnsi="Times New Roman" w:cs="Times New Roman"/>
        </w:rPr>
        <w:t xml:space="preserve"> a k 30. červnu 20</w:t>
      </w:r>
      <w:bookmarkEnd w:id="93"/>
      <w:bookmarkEnd w:id="94"/>
      <w:r w:rsidRPr="009C6249">
        <w:rPr>
          <w:rFonts w:ascii="Times New Roman" w:hAnsi="Times New Roman" w:cs="Times New Roman"/>
        </w:rPr>
        <w:t>1</w:t>
      </w:r>
      <w:r w:rsidR="0043406F" w:rsidRPr="009C6249">
        <w:rPr>
          <w:rFonts w:ascii="Times New Roman" w:hAnsi="Times New Roman" w:cs="Times New Roman"/>
        </w:rPr>
        <w:t>4</w:t>
      </w:r>
      <w:r w:rsidRPr="009C6249">
        <w:rPr>
          <w:rFonts w:ascii="Times New Roman" w:hAnsi="Times New Roman" w:cs="Times New Roman"/>
        </w:rPr>
        <w:t xml:space="preserve"> ve zkrácené podobě</w:t>
      </w:r>
      <w:bookmarkEnd w:id="95"/>
      <w:bookmarkEnd w:id="96"/>
      <w:bookmarkEnd w:id="97"/>
    </w:p>
    <w:p w:rsidR="00CC1601" w:rsidRPr="007A542A" w:rsidRDefault="00CC1601" w:rsidP="00CC1601">
      <w:pPr>
        <w:autoSpaceDE w:val="0"/>
        <w:autoSpaceDN w:val="0"/>
        <w:adjustRightInd w:val="0"/>
        <w:spacing w:line="240" w:lineRule="atLeast"/>
        <w:jc w:val="both"/>
      </w:pPr>
      <w:r w:rsidRPr="007A542A">
        <w:t>Neauditované výkazy připravené v souladu s Mezinárodními standardy účetního výkaznictví (IFRS) a Mezinárodními účetními standardy IAS 34</w:t>
      </w:r>
      <w:r w:rsidRPr="007A542A">
        <w:rPr>
          <w:color w:val="000000"/>
        </w:rPr>
        <w:t xml:space="preserve"> ve znění přijatém Evropskou unií</w:t>
      </w:r>
    </w:p>
    <w:p w:rsidR="00CC1601" w:rsidRPr="007A542A" w:rsidRDefault="00CC1601" w:rsidP="00CC1601">
      <w:pPr>
        <w:autoSpaceDE w:val="0"/>
        <w:autoSpaceDN w:val="0"/>
        <w:adjustRightInd w:val="0"/>
        <w:spacing w:line="240" w:lineRule="atLeast"/>
        <w:jc w:val="both"/>
      </w:pPr>
      <w:r w:rsidRPr="007A542A">
        <w:t>(v tisících EUR)</w:t>
      </w:r>
    </w:p>
    <w:p w:rsidR="00CC1601" w:rsidRPr="007A542A" w:rsidRDefault="00CC1601" w:rsidP="00CC1601">
      <w:pPr>
        <w:autoSpaceDE w:val="0"/>
        <w:autoSpaceDN w:val="0"/>
        <w:adjustRightInd w:val="0"/>
        <w:spacing w:line="240" w:lineRule="atLeast"/>
        <w:jc w:val="both"/>
      </w:pPr>
    </w:p>
    <w:tbl>
      <w:tblPr>
        <w:tblW w:w="8600" w:type="dxa"/>
        <w:tblInd w:w="70" w:type="dxa"/>
        <w:tblCellMar>
          <w:left w:w="70" w:type="dxa"/>
          <w:right w:w="70" w:type="dxa"/>
        </w:tblCellMar>
        <w:tblLook w:val="04A0" w:firstRow="1" w:lastRow="0" w:firstColumn="1" w:lastColumn="0" w:noHBand="0" w:noVBand="1"/>
      </w:tblPr>
      <w:tblGrid>
        <w:gridCol w:w="4144"/>
        <w:gridCol w:w="1492"/>
        <w:gridCol w:w="1472"/>
        <w:gridCol w:w="1492"/>
      </w:tblGrid>
      <w:tr w:rsidR="009C6249" w:rsidRPr="009C6249" w:rsidTr="009C6249">
        <w:trPr>
          <w:trHeight w:val="840"/>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p>
        </w:tc>
        <w:tc>
          <w:tcPr>
            <w:tcW w:w="1492" w:type="dxa"/>
            <w:tcBorders>
              <w:top w:val="single" w:sz="12" w:space="0" w:color="auto"/>
              <w:left w:val="nil"/>
              <w:bottom w:val="nil"/>
              <w:right w:val="nil"/>
            </w:tcBorders>
            <w:shd w:val="clear" w:color="auto" w:fill="auto"/>
            <w:vAlign w:val="bottom"/>
            <w:hideMark/>
          </w:tcPr>
          <w:p w:rsidR="009C6249" w:rsidRPr="009C6249" w:rsidRDefault="009C6249">
            <w:pPr>
              <w:jc w:val="center"/>
              <w:rPr>
                <w:b/>
                <w:bCs/>
                <w:color w:val="000000"/>
                <w:sz w:val="22"/>
                <w:szCs w:val="22"/>
              </w:rPr>
            </w:pPr>
            <w:r w:rsidRPr="009C6249">
              <w:rPr>
                <w:b/>
                <w:bCs/>
                <w:color w:val="000000"/>
                <w:sz w:val="22"/>
                <w:szCs w:val="22"/>
              </w:rPr>
              <w:t>30. června</w:t>
            </w:r>
            <w:r w:rsidRPr="009C6249">
              <w:rPr>
                <w:b/>
                <w:bCs/>
                <w:color w:val="000000"/>
                <w:sz w:val="22"/>
                <w:szCs w:val="22"/>
              </w:rPr>
              <w:br/>
              <w:t>2014</w:t>
            </w:r>
          </w:p>
        </w:tc>
        <w:tc>
          <w:tcPr>
            <w:tcW w:w="1472" w:type="dxa"/>
            <w:tcBorders>
              <w:top w:val="single" w:sz="12" w:space="0" w:color="auto"/>
              <w:left w:val="nil"/>
              <w:bottom w:val="nil"/>
              <w:right w:val="nil"/>
            </w:tcBorders>
            <w:shd w:val="clear" w:color="auto" w:fill="auto"/>
            <w:vAlign w:val="bottom"/>
            <w:hideMark/>
          </w:tcPr>
          <w:p w:rsidR="009C6249" w:rsidRPr="009C6249" w:rsidRDefault="009C6249">
            <w:pPr>
              <w:jc w:val="center"/>
              <w:rPr>
                <w:b/>
                <w:bCs/>
                <w:color w:val="000000"/>
                <w:sz w:val="22"/>
                <w:szCs w:val="22"/>
              </w:rPr>
            </w:pPr>
            <w:r w:rsidRPr="009C6249">
              <w:rPr>
                <w:b/>
                <w:bCs/>
                <w:color w:val="000000"/>
                <w:sz w:val="22"/>
                <w:szCs w:val="22"/>
              </w:rPr>
              <w:t>31. prosince</w:t>
            </w:r>
            <w:r w:rsidRPr="009C6249">
              <w:rPr>
                <w:b/>
                <w:bCs/>
                <w:color w:val="000000"/>
                <w:sz w:val="22"/>
                <w:szCs w:val="22"/>
              </w:rPr>
              <w:br/>
              <w:t>2014</w:t>
            </w:r>
          </w:p>
        </w:tc>
        <w:tc>
          <w:tcPr>
            <w:tcW w:w="1492" w:type="dxa"/>
            <w:tcBorders>
              <w:top w:val="single" w:sz="12" w:space="0" w:color="auto"/>
              <w:left w:val="nil"/>
              <w:bottom w:val="nil"/>
              <w:right w:val="nil"/>
            </w:tcBorders>
            <w:shd w:val="clear" w:color="auto" w:fill="auto"/>
            <w:vAlign w:val="bottom"/>
            <w:hideMark/>
          </w:tcPr>
          <w:p w:rsidR="009C6249" w:rsidRPr="009C6249" w:rsidRDefault="009C6249">
            <w:pPr>
              <w:jc w:val="center"/>
              <w:rPr>
                <w:b/>
                <w:bCs/>
                <w:color w:val="000000"/>
                <w:sz w:val="22"/>
                <w:szCs w:val="22"/>
              </w:rPr>
            </w:pPr>
            <w:r w:rsidRPr="009C6249">
              <w:rPr>
                <w:b/>
                <w:bCs/>
                <w:color w:val="000000"/>
                <w:sz w:val="22"/>
                <w:szCs w:val="22"/>
              </w:rPr>
              <w:t>30. června</w:t>
            </w:r>
            <w:r w:rsidRPr="009C6249">
              <w:rPr>
                <w:b/>
                <w:bCs/>
                <w:color w:val="000000"/>
                <w:sz w:val="22"/>
                <w:szCs w:val="22"/>
              </w:rPr>
              <w:br/>
              <w:t>2015</w:t>
            </w:r>
          </w:p>
        </w:tc>
      </w:tr>
      <w:tr w:rsidR="009C6249" w:rsidRPr="009C6249" w:rsidTr="009C6249">
        <w:trPr>
          <w:trHeight w:val="288"/>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p>
        </w:tc>
        <w:tc>
          <w:tcPr>
            <w:tcW w:w="1492" w:type="dxa"/>
            <w:tcBorders>
              <w:top w:val="nil"/>
              <w:left w:val="nil"/>
              <w:bottom w:val="single" w:sz="12" w:space="0" w:color="auto"/>
              <w:right w:val="nil"/>
            </w:tcBorders>
            <w:shd w:val="clear" w:color="auto" w:fill="auto"/>
            <w:noWrap/>
            <w:vAlign w:val="bottom"/>
            <w:hideMark/>
          </w:tcPr>
          <w:p w:rsidR="009C6249" w:rsidRPr="009C6249" w:rsidRDefault="009C6249">
            <w:pPr>
              <w:jc w:val="center"/>
              <w:rPr>
                <w:color w:val="000000"/>
                <w:sz w:val="22"/>
                <w:szCs w:val="22"/>
              </w:rPr>
            </w:pPr>
            <w:r w:rsidRPr="009C6249">
              <w:rPr>
                <w:color w:val="000000"/>
                <w:sz w:val="22"/>
                <w:szCs w:val="22"/>
              </w:rPr>
              <w:t>(neauditované)</w:t>
            </w:r>
          </w:p>
        </w:tc>
        <w:tc>
          <w:tcPr>
            <w:tcW w:w="1472" w:type="dxa"/>
            <w:tcBorders>
              <w:top w:val="nil"/>
              <w:left w:val="nil"/>
              <w:bottom w:val="single" w:sz="12" w:space="0" w:color="auto"/>
              <w:right w:val="nil"/>
            </w:tcBorders>
            <w:shd w:val="clear" w:color="auto" w:fill="auto"/>
            <w:noWrap/>
            <w:vAlign w:val="bottom"/>
            <w:hideMark/>
          </w:tcPr>
          <w:p w:rsidR="009C6249" w:rsidRPr="009C6249" w:rsidRDefault="009C6249">
            <w:pPr>
              <w:jc w:val="center"/>
              <w:rPr>
                <w:color w:val="000000"/>
                <w:sz w:val="22"/>
                <w:szCs w:val="22"/>
              </w:rPr>
            </w:pPr>
            <w:r w:rsidRPr="009C6249">
              <w:rPr>
                <w:color w:val="000000"/>
                <w:sz w:val="22"/>
                <w:szCs w:val="22"/>
              </w:rPr>
              <w:t>(auditované)</w:t>
            </w:r>
          </w:p>
        </w:tc>
        <w:tc>
          <w:tcPr>
            <w:tcW w:w="1492" w:type="dxa"/>
            <w:tcBorders>
              <w:top w:val="nil"/>
              <w:left w:val="nil"/>
              <w:bottom w:val="single" w:sz="12" w:space="0" w:color="auto"/>
              <w:right w:val="nil"/>
            </w:tcBorders>
            <w:shd w:val="clear" w:color="auto" w:fill="auto"/>
            <w:noWrap/>
            <w:vAlign w:val="bottom"/>
            <w:hideMark/>
          </w:tcPr>
          <w:p w:rsidR="009C6249" w:rsidRPr="009C6249" w:rsidRDefault="009C6249">
            <w:pPr>
              <w:jc w:val="center"/>
              <w:rPr>
                <w:color w:val="000000"/>
                <w:sz w:val="22"/>
                <w:szCs w:val="22"/>
              </w:rPr>
            </w:pPr>
            <w:r w:rsidRPr="009C6249">
              <w:rPr>
                <w:color w:val="000000"/>
                <w:sz w:val="22"/>
                <w:szCs w:val="22"/>
              </w:rPr>
              <w:t>(neauditované)</w:t>
            </w:r>
          </w:p>
        </w:tc>
      </w:tr>
      <w:tr w:rsidR="009C6249" w:rsidRPr="009C6249" w:rsidTr="009C6249">
        <w:trPr>
          <w:trHeight w:val="288"/>
        </w:trPr>
        <w:tc>
          <w:tcPr>
            <w:tcW w:w="4144" w:type="dxa"/>
            <w:tcBorders>
              <w:top w:val="nil"/>
              <w:left w:val="nil"/>
              <w:bottom w:val="nil"/>
              <w:right w:val="nil"/>
            </w:tcBorders>
            <w:shd w:val="clear" w:color="auto" w:fill="auto"/>
            <w:noWrap/>
            <w:vAlign w:val="bottom"/>
            <w:hideMark/>
          </w:tcPr>
          <w:p w:rsidR="009C6249" w:rsidRPr="009C6249" w:rsidRDefault="009C6249">
            <w:pPr>
              <w:rPr>
                <w:b/>
                <w:bCs/>
                <w:color w:val="000000"/>
                <w:sz w:val="22"/>
                <w:szCs w:val="22"/>
              </w:rPr>
            </w:pPr>
            <w:r w:rsidRPr="009C6249">
              <w:rPr>
                <w:b/>
                <w:bCs/>
                <w:color w:val="000000"/>
                <w:sz w:val="22"/>
                <w:szCs w:val="22"/>
              </w:rPr>
              <w:t>Aktiva</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150"/>
        </w:trPr>
        <w:tc>
          <w:tcPr>
            <w:tcW w:w="4144" w:type="dxa"/>
            <w:tcBorders>
              <w:top w:val="nil"/>
              <w:left w:val="nil"/>
              <w:bottom w:val="nil"/>
              <w:right w:val="nil"/>
            </w:tcBorders>
            <w:shd w:val="clear" w:color="auto" w:fill="auto"/>
            <w:noWrap/>
            <w:vAlign w:val="bottom"/>
            <w:hideMark/>
          </w:tcPr>
          <w:p w:rsidR="009C6249" w:rsidRPr="009C6249" w:rsidRDefault="009C6249">
            <w:pPr>
              <w:rPr>
                <w:b/>
                <w:bCs/>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b/>
                <w:bCs/>
                <w:i/>
                <w:iCs/>
                <w:color w:val="000000"/>
                <w:sz w:val="22"/>
                <w:szCs w:val="22"/>
              </w:rPr>
            </w:pPr>
            <w:r w:rsidRPr="009C6249">
              <w:rPr>
                <w:b/>
                <w:bCs/>
                <w:i/>
                <w:iCs/>
                <w:color w:val="000000"/>
                <w:sz w:val="22"/>
                <w:szCs w:val="22"/>
              </w:rPr>
              <w:t>Dlouhodobý majetek</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Dlouhodobý hmotný majetek</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176</w:t>
            </w:r>
            <w:r w:rsidR="00B0727A">
              <w:rPr>
                <w:color w:val="000000"/>
                <w:sz w:val="22"/>
                <w:szCs w:val="22"/>
              </w:rPr>
              <w:t xml:space="preserve"> </w:t>
            </w:r>
            <w:r w:rsidRPr="009C6249">
              <w:rPr>
                <w:color w:val="000000"/>
                <w:sz w:val="22"/>
                <w:szCs w:val="22"/>
              </w:rPr>
              <w:t>867</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178</w:t>
            </w:r>
            <w:r w:rsidR="00B0727A">
              <w:rPr>
                <w:color w:val="000000"/>
                <w:sz w:val="22"/>
                <w:szCs w:val="22"/>
              </w:rPr>
              <w:t xml:space="preserve"> </w:t>
            </w:r>
            <w:r w:rsidRPr="009C6249">
              <w:rPr>
                <w:color w:val="000000"/>
                <w:sz w:val="22"/>
                <w:szCs w:val="22"/>
              </w:rPr>
              <w:t>939</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180</w:t>
            </w:r>
            <w:r w:rsidR="00B0727A">
              <w:rPr>
                <w:color w:val="000000"/>
                <w:sz w:val="22"/>
                <w:szCs w:val="22"/>
              </w:rPr>
              <w:t xml:space="preserve"> </w:t>
            </w:r>
            <w:r w:rsidRPr="009C6249">
              <w:rPr>
                <w:color w:val="000000"/>
                <w:sz w:val="22"/>
                <w:szCs w:val="22"/>
              </w:rPr>
              <w:t>547</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Dlouhodobý nehmotný majetek</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547</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495</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442</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Goodwill</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84</w:t>
            </w:r>
            <w:r w:rsidR="00B0727A">
              <w:rPr>
                <w:color w:val="000000"/>
                <w:sz w:val="22"/>
                <w:szCs w:val="22"/>
              </w:rPr>
              <w:t xml:space="preserve"> </w:t>
            </w:r>
            <w:r w:rsidRPr="009C6249">
              <w:rPr>
                <w:color w:val="000000"/>
                <w:sz w:val="22"/>
                <w:szCs w:val="22"/>
              </w:rPr>
              <w:t>522</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83</w:t>
            </w:r>
            <w:r w:rsidR="00B0727A">
              <w:rPr>
                <w:color w:val="000000"/>
                <w:sz w:val="22"/>
                <w:szCs w:val="22"/>
              </w:rPr>
              <w:t xml:space="preserve"> </w:t>
            </w:r>
            <w:r w:rsidRPr="009C6249">
              <w:rPr>
                <w:color w:val="000000"/>
                <w:sz w:val="22"/>
                <w:szCs w:val="22"/>
              </w:rPr>
              <w:t>684</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85</w:t>
            </w:r>
            <w:r w:rsidR="00B0727A">
              <w:rPr>
                <w:color w:val="000000"/>
                <w:sz w:val="22"/>
                <w:szCs w:val="22"/>
              </w:rPr>
              <w:t xml:space="preserve"> </w:t>
            </w:r>
            <w:r w:rsidRPr="009C6249">
              <w:rPr>
                <w:color w:val="000000"/>
                <w:sz w:val="22"/>
                <w:szCs w:val="22"/>
              </w:rPr>
              <w:t>133</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b/>
                <w:bCs/>
                <w:color w:val="000000"/>
                <w:sz w:val="22"/>
                <w:szCs w:val="22"/>
              </w:rPr>
            </w:pPr>
            <w:r w:rsidRPr="009C6249">
              <w:rPr>
                <w:b/>
                <w:bCs/>
                <w:color w:val="000000"/>
                <w:sz w:val="22"/>
                <w:szCs w:val="22"/>
              </w:rPr>
              <w:t>Dlouhodobý majetek celkem</w:t>
            </w:r>
          </w:p>
        </w:tc>
        <w:tc>
          <w:tcPr>
            <w:tcW w:w="149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261</w:t>
            </w:r>
            <w:r w:rsidR="00B0727A">
              <w:rPr>
                <w:b/>
                <w:bCs/>
                <w:color w:val="000000"/>
                <w:sz w:val="22"/>
                <w:szCs w:val="22"/>
              </w:rPr>
              <w:t xml:space="preserve"> </w:t>
            </w:r>
            <w:r w:rsidRPr="009C6249">
              <w:rPr>
                <w:b/>
                <w:bCs/>
                <w:color w:val="000000"/>
                <w:sz w:val="22"/>
                <w:szCs w:val="22"/>
              </w:rPr>
              <w:t>936</w:t>
            </w:r>
          </w:p>
        </w:tc>
        <w:tc>
          <w:tcPr>
            <w:tcW w:w="147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263</w:t>
            </w:r>
            <w:r w:rsidR="00B0727A">
              <w:rPr>
                <w:b/>
                <w:bCs/>
                <w:color w:val="000000"/>
                <w:sz w:val="22"/>
                <w:szCs w:val="22"/>
              </w:rPr>
              <w:t xml:space="preserve"> </w:t>
            </w:r>
            <w:r w:rsidRPr="009C6249">
              <w:rPr>
                <w:b/>
                <w:bCs/>
                <w:color w:val="000000"/>
                <w:sz w:val="22"/>
                <w:szCs w:val="22"/>
              </w:rPr>
              <w:t>118</w:t>
            </w:r>
          </w:p>
        </w:tc>
        <w:tc>
          <w:tcPr>
            <w:tcW w:w="149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266</w:t>
            </w:r>
            <w:r w:rsidR="00B0727A">
              <w:rPr>
                <w:b/>
                <w:bCs/>
                <w:color w:val="000000"/>
                <w:sz w:val="22"/>
                <w:szCs w:val="22"/>
              </w:rPr>
              <w:t xml:space="preserve"> </w:t>
            </w:r>
            <w:r w:rsidRPr="009C6249">
              <w:rPr>
                <w:b/>
                <w:bCs/>
                <w:color w:val="000000"/>
                <w:sz w:val="22"/>
                <w:szCs w:val="22"/>
              </w:rPr>
              <w:t>122</w:t>
            </w:r>
          </w:p>
        </w:tc>
      </w:tr>
      <w:tr w:rsidR="009C6249" w:rsidRPr="009C6249" w:rsidTr="009C6249">
        <w:trPr>
          <w:trHeight w:val="150"/>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b/>
                <w:bCs/>
                <w:i/>
                <w:iCs/>
                <w:color w:val="000000"/>
                <w:sz w:val="22"/>
                <w:szCs w:val="22"/>
              </w:rPr>
            </w:pPr>
            <w:r w:rsidRPr="009C6249">
              <w:rPr>
                <w:b/>
                <w:bCs/>
                <w:i/>
                <w:iCs/>
                <w:color w:val="000000"/>
                <w:sz w:val="22"/>
                <w:szCs w:val="22"/>
              </w:rPr>
              <w:t>Oběžná aktiva</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Zásoby</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32</w:t>
            </w:r>
            <w:r w:rsidR="00B0727A">
              <w:rPr>
                <w:color w:val="000000"/>
                <w:sz w:val="22"/>
                <w:szCs w:val="22"/>
              </w:rPr>
              <w:t xml:space="preserve"> </w:t>
            </w:r>
            <w:r w:rsidRPr="009C6249">
              <w:rPr>
                <w:color w:val="000000"/>
                <w:sz w:val="22"/>
                <w:szCs w:val="22"/>
              </w:rPr>
              <w:t>692</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41</w:t>
            </w:r>
            <w:r w:rsidR="00B0727A">
              <w:rPr>
                <w:color w:val="000000"/>
                <w:sz w:val="22"/>
                <w:szCs w:val="22"/>
              </w:rPr>
              <w:t xml:space="preserve"> </w:t>
            </w:r>
            <w:r w:rsidRPr="009C6249">
              <w:rPr>
                <w:color w:val="000000"/>
                <w:sz w:val="22"/>
                <w:szCs w:val="22"/>
              </w:rPr>
              <w:t>666</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38</w:t>
            </w:r>
            <w:r w:rsidR="00B0727A">
              <w:rPr>
                <w:color w:val="000000"/>
                <w:sz w:val="22"/>
                <w:szCs w:val="22"/>
              </w:rPr>
              <w:t xml:space="preserve"> </w:t>
            </w:r>
            <w:r w:rsidRPr="009C6249">
              <w:rPr>
                <w:color w:val="000000"/>
                <w:sz w:val="22"/>
                <w:szCs w:val="22"/>
              </w:rPr>
              <w:t>450</w:t>
            </w:r>
          </w:p>
        </w:tc>
      </w:tr>
      <w:tr w:rsidR="009C6249" w:rsidRPr="009C6249" w:rsidTr="009C6249">
        <w:trPr>
          <w:trHeight w:val="552"/>
        </w:trPr>
        <w:tc>
          <w:tcPr>
            <w:tcW w:w="4144"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Pohledávky z obchodních vztahů a jiné pohledávky</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44</w:t>
            </w:r>
            <w:r w:rsidR="00B0727A">
              <w:rPr>
                <w:color w:val="000000"/>
                <w:sz w:val="22"/>
                <w:szCs w:val="22"/>
              </w:rPr>
              <w:t xml:space="preserve"> </w:t>
            </w:r>
            <w:r w:rsidRPr="009C6249">
              <w:rPr>
                <w:color w:val="000000"/>
                <w:sz w:val="22"/>
                <w:szCs w:val="22"/>
              </w:rPr>
              <w:t>544</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42</w:t>
            </w:r>
            <w:r w:rsidR="00B0727A">
              <w:rPr>
                <w:color w:val="000000"/>
                <w:sz w:val="22"/>
                <w:szCs w:val="22"/>
              </w:rPr>
              <w:t xml:space="preserve"> </w:t>
            </w:r>
            <w:r w:rsidRPr="009C6249">
              <w:rPr>
                <w:color w:val="000000"/>
                <w:sz w:val="22"/>
                <w:szCs w:val="22"/>
              </w:rPr>
              <w:t>451</w:t>
            </w:r>
          </w:p>
        </w:tc>
        <w:tc>
          <w:tcPr>
            <w:tcW w:w="1492" w:type="dxa"/>
            <w:tcBorders>
              <w:top w:val="nil"/>
              <w:left w:val="nil"/>
              <w:bottom w:val="nil"/>
              <w:right w:val="nil"/>
            </w:tcBorders>
            <w:shd w:val="clear" w:color="auto" w:fill="auto"/>
            <w:noWrap/>
            <w:vAlign w:val="bottom"/>
            <w:hideMark/>
          </w:tcPr>
          <w:p w:rsidR="009C6249" w:rsidRPr="009C6249" w:rsidRDefault="009C6249">
            <w:pPr>
              <w:ind w:firstLineChars="100" w:firstLine="220"/>
              <w:jc w:val="right"/>
              <w:rPr>
                <w:color w:val="000000"/>
                <w:sz w:val="22"/>
                <w:szCs w:val="22"/>
              </w:rPr>
            </w:pPr>
            <w:r w:rsidRPr="009C6249">
              <w:rPr>
                <w:color w:val="000000"/>
                <w:sz w:val="22"/>
                <w:szCs w:val="22"/>
              </w:rPr>
              <w:t>45</w:t>
            </w:r>
            <w:r w:rsidR="00B0727A">
              <w:rPr>
                <w:color w:val="000000"/>
                <w:sz w:val="22"/>
                <w:szCs w:val="22"/>
              </w:rPr>
              <w:t xml:space="preserve"> </w:t>
            </w:r>
            <w:r w:rsidRPr="009C6249">
              <w:rPr>
                <w:color w:val="000000"/>
                <w:sz w:val="22"/>
                <w:szCs w:val="22"/>
              </w:rPr>
              <w:t>4</w:t>
            </w:r>
            <w:r w:rsidR="008C0748">
              <w:rPr>
                <w:color w:val="000000"/>
                <w:sz w:val="22"/>
                <w:szCs w:val="22"/>
              </w:rPr>
              <w:t>04</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Daňové pohledávky</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w:t>
            </w:r>
            <w:r w:rsidR="00B0727A">
              <w:rPr>
                <w:color w:val="000000"/>
                <w:sz w:val="22"/>
                <w:szCs w:val="22"/>
              </w:rPr>
              <w:t xml:space="preserve"> </w:t>
            </w:r>
            <w:r w:rsidRPr="009C6249">
              <w:rPr>
                <w:color w:val="000000"/>
                <w:sz w:val="22"/>
                <w:szCs w:val="22"/>
              </w:rPr>
              <w:t>185</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0</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0</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Peníze a peněžní ekvivalenty</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9</w:t>
            </w:r>
            <w:r w:rsidR="00B0727A">
              <w:rPr>
                <w:color w:val="000000"/>
                <w:sz w:val="22"/>
                <w:szCs w:val="22"/>
              </w:rPr>
              <w:t xml:space="preserve"> </w:t>
            </w:r>
            <w:r w:rsidRPr="009C6249">
              <w:rPr>
                <w:color w:val="000000"/>
                <w:sz w:val="22"/>
                <w:szCs w:val="22"/>
              </w:rPr>
              <w:t>663</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8</w:t>
            </w:r>
            <w:r w:rsidR="00B0727A">
              <w:rPr>
                <w:color w:val="000000"/>
                <w:sz w:val="22"/>
                <w:szCs w:val="22"/>
              </w:rPr>
              <w:t xml:space="preserve"> </w:t>
            </w:r>
            <w:r w:rsidRPr="009C6249">
              <w:rPr>
                <w:color w:val="000000"/>
                <w:sz w:val="22"/>
                <w:szCs w:val="22"/>
              </w:rPr>
              <w:t>962</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9</w:t>
            </w:r>
            <w:r w:rsidR="00B0727A">
              <w:rPr>
                <w:color w:val="000000"/>
                <w:sz w:val="22"/>
                <w:szCs w:val="22"/>
              </w:rPr>
              <w:t xml:space="preserve"> </w:t>
            </w:r>
            <w:r w:rsidRPr="009C6249">
              <w:rPr>
                <w:color w:val="000000"/>
                <w:sz w:val="22"/>
                <w:szCs w:val="22"/>
              </w:rPr>
              <w:t>227</w:t>
            </w:r>
          </w:p>
        </w:tc>
      </w:tr>
      <w:tr w:rsidR="009C6249" w:rsidRPr="009C6249" w:rsidTr="009C6249">
        <w:trPr>
          <w:trHeight w:val="288"/>
        </w:trPr>
        <w:tc>
          <w:tcPr>
            <w:tcW w:w="4144" w:type="dxa"/>
            <w:tcBorders>
              <w:top w:val="nil"/>
              <w:left w:val="nil"/>
              <w:bottom w:val="nil"/>
              <w:right w:val="nil"/>
            </w:tcBorders>
            <w:shd w:val="clear" w:color="auto" w:fill="auto"/>
            <w:noWrap/>
            <w:vAlign w:val="bottom"/>
            <w:hideMark/>
          </w:tcPr>
          <w:p w:rsidR="009C6249" w:rsidRPr="009C6249" w:rsidRDefault="009C6249">
            <w:pPr>
              <w:rPr>
                <w:b/>
                <w:bCs/>
                <w:color w:val="000000"/>
                <w:sz w:val="22"/>
                <w:szCs w:val="22"/>
              </w:rPr>
            </w:pPr>
            <w:r w:rsidRPr="009C6249">
              <w:rPr>
                <w:b/>
                <w:bCs/>
                <w:color w:val="000000"/>
                <w:sz w:val="22"/>
                <w:szCs w:val="22"/>
              </w:rPr>
              <w:t>Oběžná aktiva celkem</w:t>
            </w:r>
          </w:p>
        </w:tc>
        <w:tc>
          <w:tcPr>
            <w:tcW w:w="149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88</w:t>
            </w:r>
            <w:r w:rsidR="00B0727A">
              <w:rPr>
                <w:b/>
                <w:bCs/>
                <w:color w:val="000000"/>
                <w:sz w:val="22"/>
                <w:szCs w:val="22"/>
              </w:rPr>
              <w:t xml:space="preserve"> </w:t>
            </w:r>
            <w:r w:rsidRPr="009C6249">
              <w:rPr>
                <w:b/>
                <w:bCs/>
                <w:color w:val="000000"/>
                <w:sz w:val="22"/>
                <w:szCs w:val="22"/>
              </w:rPr>
              <w:t>084</w:t>
            </w:r>
          </w:p>
        </w:tc>
        <w:tc>
          <w:tcPr>
            <w:tcW w:w="147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93</w:t>
            </w:r>
            <w:r w:rsidR="00B0727A">
              <w:rPr>
                <w:b/>
                <w:bCs/>
                <w:color w:val="000000"/>
                <w:sz w:val="22"/>
                <w:szCs w:val="22"/>
              </w:rPr>
              <w:t xml:space="preserve"> </w:t>
            </w:r>
            <w:r w:rsidRPr="009C6249">
              <w:rPr>
                <w:b/>
                <w:bCs/>
                <w:color w:val="000000"/>
                <w:sz w:val="22"/>
                <w:szCs w:val="22"/>
              </w:rPr>
              <w:t>079</w:t>
            </w:r>
          </w:p>
        </w:tc>
        <w:tc>
          <w:tcPr>
            <w:tcW w:w="1492" w:type="dxa"/>
            <w:tcBorders>
              <w:top w:val="single" w:sz="4" w:space="0" w:color="auto"/>
              <w:left w:val="nil"/>
              <w:bottom w:val="nil"/>
              <w:right w:val="nil"/>
            </w:tcBorders>
            <w:shd w:val="clear" w:color="auto" w:fill="auto"/>
            <w:noWrap/>
            <w:vAlign w:val="bottom"/>
            <w:hideMark/>
          </w:tcPr>
          <w:p w:rsidR="009C6249" w:rsidRPr="009C6249" w:rsidRDefault="009C6249">
            <w:pPr>
              <w:ind w:firstLineChars="100" w:firstLine="221"/>
              <w:jc w:val="right"/>
              <w:rPr>
                <w:b/>
                <w:bCs/>
                <w:color w:val="000000"/>
                <w:sz w:val="22"/>
                <w:szCs w:val="22"/>
              </w:rPr>
            </w:pPr>
            <w:r w:rsidRPr="009C6249">
              <w:rPr>
                <w:b/>
                <w:bCs/>
                <w:color w:val="000000"/>
                <w:sz w:val="22"/>
                <w:szCs w:val="22"/>
              </w:rPr>
              <w:t>93</w:t>
            </w:r>
            <w:r w:rsidR="00B0727A">
              <w:rPr>
                <w:b/>
                <w:bCs/>
                <w:color w:val="000000"/>
                <w:sz w:val="22"/>
                <w:szCs w:val="22"/>
              </w:rPr>
              <w:t xml:space="preserve"> </w:t>
            </w:r>
            <w:r w:rsidR="008C0748">
              <w:rPr>
                <w:b/>
                <w:bCs/>
                <w:color w:val="000000"/>
                <w:sz w:val="22"/>
                <w:szCs w:val="22"/>
              </w:rPr>
              <w:t>081</w:t>
            </w:r>
          </w:p>
        </w:tc>
      </w:tr>
      <w:tr w:rsidR="009C6249" w:rsidRPr="009C6249" w:rsidTr="009C6249">
        <w:trPr>
          <w:trHeight w:val="300"/>
        </w:trPr>
        <w:tc>
          <w:tcPr>
            <w:tcW w:w="4144" w:type="dxa"/>
            <w:tcBorders>
              <w:top w:val="nil"/>
              <w:left w:val="nil"/>
              <w:bottom w:val="nil"/>
              <w:right w:val="nil"/>
            </w:tcBorders>
            <w:shd w:val="clear" w:color="auto" w:fill="auto"/>
            <w:noWrap/>
            <w:vAlign w:val="bottom"/>
            <w:hideMark/>
          </w:tcPr>
          <w:p w:rsidR="009C6249" w:rsidRPr="009C6249" w:rsidRDefault="009C6249">
            <w:pPr>
              <w:rPr>
                <w:b/>
                <w:bCs/>
                <w:color w:val="000000"/>
                <w:sz w:val="22"/>
                <w:szCs w:val="22"/>
              </w:rPr>
            </w:pPr>
            <w:r w:rsidRPr="009C6249">
              <w:rPr>
                <w:b/>
                <w:bCs/>
                <w:color w:val="000000"/>
                <w:sz w:val="22"/>
                <w:szCs w:val="22"/>
              </w:rPr>
              <w:t>Aktiva celkem</w:t>
            </w:r>
          </w:p>
        </w:tc>
        <w:tc>
          <w:tcPr>
            <w:tcW w:w="1492" w:type="dxa"/>
            <w:tcBorders>
              <w:top w:val="double" w:sz="6"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350</w:t>
            </w:r>
            <w:r w:rsidR="00B0727A">
              <w:rPr>
                <w:b/>
                <w:bCs/>
                <w:color w:val="000000"/>
                <w:sz w:val="22"/>
                <w:szCs w:val="22"/>
              </w:rPr>
              <w:t xml:space="preserve"> </w:t>
            </w:r>
            <w:r w:rsidRPr="009C6249">
              <w:rPr>
                <w:b/>
                <w:bCs/>
                <w:color w:val="000000"/>
                <w:sz w:val="22"/>
                <w:szCs w:val="22"/>
              </w:rPr>
              <w:t>020</w:t>
            </w:r>
          </w:p>
        </w:tc>
        <w:tc>
          <w:tcPr>
            <w:tcW w:w="1472" w:type="dxa"/>
            <w:tcBorders>
              <w:top w:val="double" w:sz="6"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356</w:t>
            </w:r>
            <w:r w:rsidR="00B0727A">
              <w:rPr>
                <w:b/>
                <w:bCs/>
                <w:color w:val="000000"/>
                <w:sz w:val="22"/>
                <w:szCs w:val="22"/>
              </w:rPr>
              <w:t xml:space="preserve"> </w:t>
            </w:r>
            <w:r w:rsidRPr="009C6249">
              <w:rPr>
                <w:b/>
                <w:bCs/>
                <w:color w:val="000000"/>
                <w:sz w:val="22"/>
                <w:szCs w:val="22"/>
              </w:rPr>
              <w:t>197</w:t>
            </w:r>
          </w:p>
        </w:tc>
        <w:tc>
          <w:tcPr>
            <w:tcW w:w="1492" w:type="dxa"/>
            <w:tcBorders>
              <w:top w:val="double" w:sz="6" w:space="0" w:color="auto"/>
              <w:left w:val="nil"/>
              <w:bottom w:val="nil"/>
              <w:right w:val="nil"/>
            </w:tcBorders>
            <w:shd w:val="clear" w:color="auto" w:fill="auto"/>
            <w:noWrap/>
            <w:vAlign w:val="bottom"/>
            <w:hideMark/>
          </w:tcPr>
          <w:p w:rsidR="009C6249" w:rsidRPr="009C6249" w:rsidRDefault="009C6249">
            <w:pPr>
              <w:ind w:firstLineChars="100" w:firstLine="221"/>
              <w:jc w:val="right"/>
              <w:rPr>
                <w:b/>
                <w:bCs/>
                <w:color w:val="000000"/>
                <w:sz w:val="22"/>
                <w:szCs w:val="22"/>
              </w:rPr>
            </w:pPr>
            <w:r w:rsidRPr="009C6249">
              <w:rPr>
                <w:b/>
                <w:bCs/>
                <w:color w:val="000000"/>
                <w:sz w:val="22"/>
                <w:szCs w:val="22"/>
              </w:rPr>
              <w:t>359</w:t>
            </w:r>
            <w:r w:rsidR="00B0727A">
              <w:rPr>
                <w:b/>
                <w:bCs/>
                <w:color w:val="000000"/>
                <w:sz w:val="22"/>
                <w:szCs w:val="22"/>
              </w:rPr>
              <w:t xml:space="preserve"> </w:t>
            </w:r>
            <w:r w:rsidRPr="009C6249">
              <w:rPr>
                <w:b/>
                <w:bCs/>
                <w:color w:val="000000"/>
                <w:sz w:val="22"/>
                <w:szCs w:val="22"/>
              </w:rPr>
              <w:t>2</w:t>
            </w:r>
            <w:r w:rsidR="008C0748">
              <w:rPr>
                <w:b/>
                <w:bCs/>
                <w:color w:val="000000"/>
                <w:sz w:val="22"/>
                <w:szCs w:val="22"/>
              </w:rPr>
              <w:t>03</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b/>
                <w:bCs/>
                <w:color w:val="000000"/>
                <w:sz w:val="22"/>
                <w:szCs w:val="22"/>
              </w:rPr>
            </w:pPr>
            <w:r w:rsidRPr="009C6249">
              <w:rPr>
                <w:b/>
                <w:bCs/>
                <w:color w:val="000000"/>
                <w:sz w:val="22"/>
                <w:szCs w:val="22"/>
              </w:rPr>
              <w:t>Vlastní kapitál a cizí zdroje</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150"/>
        </w:trPr>
        <w:tc>
          <w:tcPr>
            <w:tcW w:w="4144" w:type="dxa"/>
            <w:tcBorders>
              <w:top w:val="nil"/>
              <w:left w:val="nil"/>
              <w:bottom w:val="nil"/>
              <w:right w:val="nil"/>
            </w:tcBorders>
            <w:shd w:val="clear" w:color="auto" w:fill="auto"/>
            <w:noWrap/>
            <w:vAlign w:val="bottom"/>
            <w:hideMark/>
          </w:tcPr>
          <w:p w:rsidR="009C6249" w:rsidRPr="009C6249" w:rsidRDefault="009C6249">
            <w:pPr>
              <w:rPr>
                <w:b/>
                <w:bCs/>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b/>
                <w:bCs/>
                <w:i/>
                <w:iCs/>
                <w:color w:val="000000"/>
                <w:sz w:val="22"/>
                <w:szCs w:val="22"/>
              </w:rPr>
            </w:pPr>
            <w:r w:rsidRPr="009C6249">
              <w:rPr>
                <w:b/>
                <w:bCs/>
                <w:i/>
                <w:iCs/>
                <w:color w:val="000000"/>
                <w:sz w:val="22"/>
                <w:szCs w:val="22"/>
              </w:rPr>
              <w:t>Základní kapitál a rezervní fondy</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 xml:space="preserve">Základní kapitál </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11</w:t>
            </w:r>
            <w:r w:rsidR="00B0727A">
              <w:rPr>
                <w:color w:val="000000"/>
                <w:sz w:val="22"/>
                <w:szCs w:val="22"/>
              </w:rPr>
              <w:t xml:space="preserve"> </w:t>
            </w:r>
            <w:r w:rsidRPr="009C6249">
              <w:rPr>
                <w:color w:val="000000"/>
                <w:sz w:val="22"/>
                <w:szCs w:val="22"/>
              </w:rPr>
              <w:t>444</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11</w:t>
            </w:r>
            <w:r w:rsidR="00B0727A">
              <w:rPr>
                <w:color w:val="000000"/>
                <w:sz w:val="22"/>
                <w:szCs w:val="22"/>
              </w:rPr>
              <w:t xml:space="preserve"> </w:t>
            </w:r>
            <w:r w:rsidRPr="009C6249">
              <w:rPr>
                <w:color w:val="000000"/>
                <w:sz w:val="22"/>
                <w:szCs w:val="22"/>
              </w:rPr>
              <w:t>444</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11</w:t>
            </w:r>
            <w:r w:rsidR="00B0727A">
              <w:rPr>
                <w:color w:val="000000"/>
                <w:sz w:val="22"/>
                <w:szCs w:val="22"/>
              </w:rPr>
              <w:t xml:space="preserve"> </w:t>
            </w:r>
            <w:r w:rsidRPr="009C6249">
              <w:rPr>
                <w:color w:val="000000"/>
                <w:sz w:val="22"/>
                <w:szCs w:val="22"/>
              </w:rPr>
              <w:t>444</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Ostatní rezervní fondy</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9</w:t>
            </w:r>
            <w:r w:rsidR="00B0727A">
              <w:rPr>
                <w:color w:val="000000"/>
                <w:sz w:val="22"/>
                <w:szCs w:val="22"/>
              </w:rPr>
              <w:t xml:space="preserve"> </w:t>
            </w:r>
            <w:r w:rsidRPr="009C6249">
              <w:rPr>
                <w:color w:val="000000"/>
                <w:sz w:val="22"/>
                <w:szCs w:val="22"/>
              </w:rPr>
              <w:t>152</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9</w:t>
            </w:r>
            <w:r w:rsidR="00B0727A">
              <w:rPr>
                <w:color w:val="000000"/>
                <w:sz w:val="22"/>
                <w:szCs w:val="22"/>
              </w:rPr>
              <w:t xml:space="preserve"> </w:t>
            </w:r>
            <w:r w:rsidRPr="009C6249">
              <w:rPr>
                <w:color w:val="000000"/>
                <w:sz w:val="22"/>
                <w:szCs w:val="22"/>
              </w:rPr>
              <w:t>187</w:t>
            </w:r>
          </w:p>
        </w:tc>
        <w:tc>
          <w:tcPr>
            <w:tcW w:w="1492" w:type="dxa"/>
            <w:tcBorders>
              <w:top w:val="nil"/>
              <w:left w:val="nil"/>
              <w:bottom w:val="nil"/>
              <w:right w:val="nil"/>
            </w:tcBorders>
            <w:shd w:val="clear" w:color="auto" w:fill="auto"/>
            <w:noWrap/>
            <w:vAlign w:val="bottom"/>
            <w:hideMark/>
          </w:tcPr>
          <w:p w:rsidR="009C6249" w:rsidRPr="009C6249" w:rsidRDefault="009C6249">
            <w:pPr>
              <w:ind w:firstLineChars="100" w:firstLine="220"/>
              <w:jc w:val="right"/>
              <w:rPr>
                <w:color w:val="000000"/>
                <w:sz w:val="22"/>
                <w:szCs w:val="22"/>
              </w:rPr>
            </w:pPr>
            <w:r w:rsidRPr="00CE4019">
              <w:rPr>
                <w:color w:val="000000"/>
                <w:sz w:val="22"/>
                <w:szCs w:val="22"/>
              </w:rPr>
              <w:t>9</w:t>
            </w:r>
            <w:r w:rsidR="00B0727A" w:rsidRPr="00CE4019">
              <w:rPr>
                <w:color w:val="000000"/>
                <w:sz w:val="22"/>
                <w:szCs w:val="22"/>
              </w:rPr>
              <w:t xml:space="preserve"> </w:t>
            </w:r>
            <w:r w:rsidRPr="00CE4019">
              <w:rPr>
                <w:color w:val="000000"/>
                <w:sz w:val="22"/>
                <w:szCs w:val="22"/>
              </w:rPr>
              <w:t>18</w:t>
            </w:r>
            <w:r w:rsidR="00B23DDB" w:rsidRPr="00B23DDB">
              <w:rPr>
                <w:color w:val="000000"/>
                <w:sz w:val="22"/>
                <w:szCs w:val="22"/>
              </w:rPr>
              <w:t>7</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Rozdíly z přepočtu</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-3</w:t>
            </w:r>
            <w:r w:rsidR="00B0727A">
              <w:rPr>
                <w:color w:val="000000"/>
                <w:sz w:val="22"/>
                <w:szCs w:val="22"/>
              </w:rPr>
              <w:t xml:space="preserve"> </w:t>
            </w:r>
            <w:r w:rsidRPr="009C6249">
              <w:rPr>
                <w:color w:val="000000"/>
                <w:sz w:val="22"/>
                <w:szCs w:val="22"/>
              </w:rPr>
              <w:t>149</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11</w:t>
            </w:r>
            <w:r w:rsidR="00B0727A">
              <w:rPr>
                <w:color w:val="000000"/>
                <w:sz w:val="22"/>
                <w:szCs w:val="22"/>
              </w:rPr>
              <w:t xml:space="preserve"> </w:t>
            </w:r>
            <w:r w:rsidRPr="009C6249">
              <w:rPr>
                <w:color w:val="000000"/>
                <w:sz w:val="22"/>
                <w:szCs w:val="22"/>
              </w:rPr>
              <w:t>855</w:t>
            </w:r>
          </w:p>
        </w:tc>
        <w:tc>
          <w:tcPr>
            <w:tcW w:w="1492" w:type="dxa"/>
            <w:tcBorders>
              <w:top w:val="nil"/>
              <w:left w:val="nil"/>
              <w:bottom w:val="nil"/>
              <w:right w:val="nil"/>
            </w:tcBorders>
            <w:shd w:val="clear" w:color="auto" w:fill="auto"/>
            <w:noWrap/>
            <w:vAlign w:val="bottom"/>
            <w:hideMark/>
          </w:tcPr>
          <w:p w:rsidR="009C6249" w:rsidRPr="009C6249" w:rsidRDefault="008C0748" w:rsidP="009C6249">
            <w:pPr>
              <w:ind w:firstLineChars="100" w:firstLine="220"/>
              <w:jc w:val="right"/>
              <w:rPr>
                <w:color w:val="000000"/>
                <w:sz w:val="22"/>
                <w:szCs w:val="22"/>
              </w:rPr>
            </w:pPr>
            <w:r>
              <w:rPr>
                <w:color w:val="000000"/>
                <w:sz w:val="22"/>
                <w:szCs w:val="22"/>
              </w:rPr>
              <w:t>7 255</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Ostatní změny ve vlastním kapitálu</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-2</w:t>
            </w:r>
            <w:r w:rsidR="00B0727A">
              <w:rPr>
                <w:color w:val="000000"/>
                <w:sz w:val="22"/>
                <w:szCs w:val="22"/>
              </w:rPr>
              <w:t xml:space="preserve"> </w:t>
            </w:r>
            <w:r w:rsidRPr="009C6249">
              <w:rPr>
                <w:color w:val="000000"/>
                <w:sz w:val="22"/>
                <w:szCs w:val="22"/>
              </w:rPr>
              <w:t>812</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w:t>
            </w:r>
            <w:r w:rsidR="00B0727A">
              <w:rPr>
                <w:color w:val="000000"/>
                <w:sz w:val="22"/>
                <w:szCs w:val="22"/>
              </w:rPr>
              <w:t xml:space="preserve"> </w:t>
            </w:r>
            <w:r w:rsidRPr="009C6249">
              <w:rPr>
                <w:color w:val="000000"/>
                <w:sz w:val="22"/>
                <w:szCs w:val="22"/>
              </w:rPr>
              <w:t>986</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w:t>
            </w:r>
            <w:r w:rsidR="00B0727A">
              <w:rPr>
                <w:color w:val="000000"/>
                <w:sz w:val="22"/>
                <w:szCs w:val="22"/>
              </w:rPr>
              <w:t xml:space="preserve"> </w:t>
            </w:r>
            <w:r w:rsidRPr="009C6249">
              <w:rPr>
                <w:color w:val="000000"/>
                <w:sz w:val="22"/>
                <w:szCs w:val="22"/>
              </w:rPr>
              <w:t>264</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Nerozdělený zisk</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110</w:t>
            </w:r>
            <w:r w:rsidR="00B0727A">
              <w:rPr>
                <w:color w:val="000000"/>
                <w:sz w:val="22"/>
                <w:szCs w:val="22"/>
              </w:rPr>
              <w:t xml:space="preserve"> </w:t>
            </w:r>
            <w:r w:rsidRPr="009C6249">
              <w:rPr>
                <w:color w:val="000000"/>
                <w:sz w:val="22"/>
                <w:szCs w:val="22"/>
              </w:rPr>
              <w:t>565</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127</w:t>
            </w:r>
            <w:r w:rsidR="00B0727A">
              <w:rPr>
                <w:color w:val="000000"/>
                <w:sz w:val="22"/>
                <w:szCs w:val="22"/>
              </w:rPr>
              <w:t xml:space="preserve"> </w:t>
            </w:r>
            <w:r w:rsidRPr="009C6249">
              <w:rPr>
                <w:color w:val="000000"/>
                <w:sz w:val="22"/>
                <w:szCs w:val="22"/>
              </w:rPr>
              <w:t>141</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132</w:t>
            </w:r>
            <w:r w:rsidR="00B0727A">
              <w:rPr>
                <w:color w:val="000000"/>
                <w:sz w:val="22"/>
                <w:szCs w:val="22"/>
              </w:rPr>
              <w:t xml:space="preserve"> </w:t>
            </w:r>
            <w:r w:rsidRPr="009C6249">
              <w:rPr>
                <w:color w:val="000000"/>
                <w:sz w:val="22"/>
                <w:szCs w:val="22"/>
              </w:rPr>
              <w:t>854</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b/>
                <w:bCs/>
                <w:color w:val="000000"/>
                <w:sz w:val="22"/>
                <w:szCs w:val="22"/>
              </w:rPr>
            </w:pPr>
            <w:r w:rsidRPr="009C6249">
              <w:rPr>
                <w:b/>
                <w:bCs/>
                <w:color w:val="000000"/>
                <w:sz w:val="22"/>
                <w:szCs w:val="22"/>
              </w:rPr>
              <w:t>Základní kapitál a rezervní fondy celkem</w:t>
            </w:r>
          </w:p>
        </w:tc>
        <w:tc>
          <w:tcPr>
            <w:tcW w:w="149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125</w:t>
            </w:r>
            <w:r w:rsidR="00B0727A">
              <w:rPr>
                <w:b/>
                <w:bCs/>
                <w:color w:val="000000"/>
                <w:sz w:val="22"/>
                <w:szCs w:val="22"/>
              </w:rPr>
              <w:t xml:space="preserve"> </w:t>
            </w:r>
            <w:r w:rsidRPr="009C6249">
              <w:rPr>
                <w:b/>
                <w:bCs/>
                <w:color w:val="000000"/>
                <w:sz w:val="22"/>
                <w:szCs w:val="22"/>
              </w:rPr>
              <w:t>200</w:t>
            </w:r>
          </w:p>
        </w:tc>
        <w:tc>
          <w:tcPr>
            <w:tcW w:w="147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157</w:t>
            </w:r>
            <w:r w:rsidR="00B0727A">
              <w:rPr>
                <w:b/>
                <w:bCs/>
                <w:color w:val="000000"/>
                <w:sz w:val="22"/>
                <w:szCs w:val="22"/>
              </w:rPr>
              <w:t xml:space="preserve"> </w:t>
            </w:r>
            <w:r w:rsidRPr="009C6249">
              <w:rPr>
                <w:b/>
                <w:bCs/>
                <w:color w:val="000000"/>
                <w:sz w:val="22"/>
                <w:szCs w:val="22"/>
              </w:rPr>
              <w:t>641</w:t>
            </w:r>
          </w:p>
        </w:tc>
        <w:tc>
          <w:tcPr>
            <w:tcW w:w="1492" w:type="dxa"/>
            <w:tcBorders>
              <w:top w:val="single" w:sz="4" w:space="0" w:color="auto"/>
              <w:left w:val="nil"/>
              <w:bottom w:val="nil"/>
              <w:right w:val="nil"/>
            </w:tcBorders>
            <w:shd w:val="clear" w:color="auto" w:fill="auto"/>
            <w:noWrap/>
            <w:vAlign w:val="bottom"/>
            <w:hideMark/>
          </w:tcPr>
          <w:p w:rsidR="009C6249" w:rsidRPr="009C6249" w:rsidRDefault="008C0748">
            <w:pPr>
              <w:ind w:firstLineChars="100" w:firstLine="221"/>
              <w:jc w:val="right"/>
              <w:rPr>
                <w:b/>
                <w:bCs/>
                <w:color w:val="000000"/>
                <w:sz w:val="22"/>
                <w:szCs w:val="22"/>
              </w:rPr>
            </w:pPr>
            <w:r>
              <w:rPr>
                <w:b/>
                <w:bCs/>
                <w:color w:val="000000"/>
                <w:sz w:val="22"/>
                <w:szCs w:val="22"/>
              </w:rPr>
              <w:t>159 47</w:t>
            </w:r>
            <w:r w:rsidR="00B23DDB">
              <w:rPr>
                <w:b/>
                <w:bCs/>
                <w:color w:val="000000"/>
                <w:sz w:val="22"/>
                <w:szCs w:val="22"/>
              </w:rPr>
              <w:t>6</w:t>
            </w:r>
          </w:p>
        </w:tc>
      </w:tr>
      <w:tr w:rsidR="009C6249" w:rsidRPr="009C6249" w:rsidTr="009C6249">
        <w:trPr>
          <w:trHeight w:val="150"/>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b/>
                <w:bCs/>
                <w:i/>
                <w:iCs/>
                <w:color w:val="000000"/>
                <w:sz w:val="22"/>
                <w:szCs w:val="22"/>
              </w:rPr>
            </w:pPr>
            <w:r w:rsidRPr="009C6249">
              <w:rPr>
                <w:b/>
                <w:bCs/>
                <w:i/>
                <w:iCs/>
                <w:color w:val="000000"/>
                <w:sz w:val="22"/>
                <w:szCs w:val="22"/>
              </w:rPr>
              <w:t>Dlouhodobé závazky</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Bankovní úvěry</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130</w:t>
            </w:r>
            <w:r w:rsidR="00B0727A">
              <w:rPr>
                <w:color w:val="000000"/>
                <w:sz w:val="22"/>
                <w:szCs w:val="22"/>
              </w:rPr>
              <w:t xml:space="preserve"> </w:t>
            </w:r>
            <w:r w:rsidRPr="009C6249">
              <w:rPr>
                <w:color w:val="000000"/>
                <w:sz w:val="22"/>
                <w:szCs w:val="22"/>
              </w:rPr>
              <w:t>913</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35</w:t>
            </w:r>
            <w:r w:rsidR="00B0727A">
              <w:rPr>
                <w:color w:val="000000"/>
                <w:sz w:val="22"/>
                <w:szCs w:val="22"/>
              </w:rPr>
              <w:t xml:space="preserve"> </w:t>
            </w:r>
            <w:r w:rsidRPr="009C6249">
              <w:rPr>
                <w:color w:val="000000"/>
                <w:sz w:val="22"/>
                <w:szCs w:val="22"/>
              </w:rPr>
              <w:t>402</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38</w:t>
            </w:r>
            <w:r w:rsidR="00B0727A">
              <w:rPr>
                <w:color w:val="000000"/>
                <w:sz w:val="22"/>
                <w:szCs w:val="22"/>
              </w:rPr>
              <w:t xml:space="preserve"> </w:t>
            </w:r>
            <w:r w:rsidRPr="009C6249">
              <w:rPr>
                <w:color w:val="000000"/>
                <w:sz w:val="22"/>
                <w:szCs w:val="22"/>
              </w:rPr>
              <w:t>209</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Odložený daňový závazek</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13</w:t>
            </w:r>
            <w:r w:rsidR="00B0727A">
              <w:rPr>
                <w:color w:val="000000"/>
                <w:sz w:val="22"/>
                <w:szCs w:val="22"/>
              </w:rPr>
              <w:t xml:space="preserve"> </w:t>
            </w:r>
            <w:r w:rsidRPr="009C6249">
              <w:rPr>
                <w:color w:val="000000"/>
                <w:sz w:val="22"/>
                <w:szCs w:val="22"/>
              </w:rPr>
              <w:t>059</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15</w:t>
            </w:r>
            <w:r w:rsidR="00B0727A">
              <w:rPr>
                <w:color w:val="000000"/>
                <w:sz w:val="22"/>
                <w:szCs w:val="22"/>
              </w:rPr>
              <w:t xml:space="preserve"> </w:t>
            </w:r>
            <w:r w:rsidRPr="009C6249">
              <w:rPr>
                <w:color w:val="000000"/>
                <w:sz w:val="22"/>
                <w:szCs w:val="22"/>
              </w:rPr>
              <w:t>583</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16</w:t>
            </w:r>
            <w:r w:rsidR="00B0727A">
              <w:rPr>
                <w:color w:val="000000"/>
                <w:sz w:val="22"/>
                <w:szCs w:val="22"/>
              </w:rPr>
              <w:t xml:space="preserve"> </w:t>
            </w:r>
            <w:r w:rsidRPr="009C6249">
              <w:rPr>
                <w:color w:val="000000"/>
                <w:sz w:val="22"/>
                <w:szCs w:val="22"/>
              </w:rPr>
              <w:t>462</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Ostatní dlouhodobé závazky</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0</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89</w:t>
            </w:r>
            <w:r w:rsidR="00B0727A">
              <w:rPr>
                <w:color w:val="000000"/>
                <w:sz w:val="22"/>
                <w:szCs w:val="22"/>
              </w:rPr>
              <w:t xml:space="preserve"> </w:t>
            </w:r>
            <w:r w:rsidRPr="009C6249">
              <w:rPr>
                <w:color w:val="000000"/>
                <w:sz w:val="22"/>
                <w:szCs w:val="22"/>
              </w:rPr>
              <w:t>036</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90</w:t>
            </w:r>
            <w:r w:rsidR="00B0727A">
              <w:rPr>
                <w:color w:val="000000"/>
                <w:sz w:val="22"/>
                <w:szCs w:val="22"/>
              </w:rPr>
              <w:t xml:space="preserve"> </w:t>
            </w:r>
            <w:r w:rsidRPr="009C6249">
              <w:rPr>
                <w:color w:val="000000"/>
                <w:sz w:val="22"/>
                <w:szCs w:val="22"/>
              </w:rPr>
              <w:t>683</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b/>
                <w:bCs/>
                <w:color w:val="000000"/>
                <w:sz w:val="22"/>
                <w:szCs w:val="22"/>
              </w:rPr>
            </w:pPr>
            <w:r w:rsidRPr="009C6249">
              <w:rPr>
                <w:b/>
                <w:bCs/>
                <w:color w:val="000000"/>
                <w:sz w:val="22"/>
                <w:szCs w:val="22"/>
              </w:rPr>
              <w:t>Dlouhodobé závazky celkem</w:t>
            </w:r>
          </w:p>
        </w:tc>
        <w:tc>
          <w:tcPr>
            <w:tcW w:w="149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143</w:t>
            </w:r>
            <w:r w:rsidR="00B0727A">
              <w:rPr>
                <w:b/>
                <w:bCs/>
                <w:color w:val="000000"/>
                <w:sz w:val="22"/>
                <w:szCs w:val="22"/>
              </w:rPr>
              <w:t xml:space="preserve"> </w:t>
            </w:r>
            <w:r w:rsidRPr="009C6249">
              <w:rPr>
                <w:b/>
                <w:bCs/>
                <w:color w:val="000000"/>
                <w:sz w:val="22"/>
                <w:szCs w:val="22"/>
              </w:rPr>
              <w:t>972</w:t>
            </w:r>
          </w:p>
        </w:tc>
        <w:tc>
          <w:tcPr>
            <w:tcW w:w="147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140</w:t>
            </w:r>
            <w:r w:rsidR="00B0727A">
              <w:rPr>
                <w:b/>
                <w:bCs/>
                <w:color w:val="000000"/>
                <w:sz w:val="22"/>
                <w:szCs w:val="22"/>
              </w:rPr>
              <w:t xml:space="preserve"> </w:t>
            </w:r>
            <w:r w:rsidRPr="009C6249">
              <w:rPr>
                <w:b/>
                <w:bCs/>
                <w:color w:val="000000"/>
                <w:sz w:val="22"/>
                <w:szCs w:val="22"/>
              </w:rPr>
              <w:t>021</w:t>
            </w:r>
          </w:p>
        </w:tc>
        <w:tc>
          <w:tcPr>
            <w:tcW w:w="149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145</w:t>
            </w:r>
            <w:r w:rsidR="00B0727A">
              <w:rPr>
                <w:b/>
                <w:bCs/>
                <w:color w:val="000000"/>
                <w:sz w:val="22"/>
                <w:szCs w:val="22"/>
              </w:rPr>
              <w:t xml:space="preserve"> </w:t>
            </w:r>
            <w:r w:rsidRPr="009C6249">
              <w:rPr>
                <w:b/>
                <w:bCs/>
                <w:color w:val="000000"/>
                <w:sz w:val="22"/>
                <w:szCs w:val="22"/>
              </w:rPr>
              <w:t>354</w:t>
            </w:r>
          </w:p>
        </w:tc>
      </w:tr>
      <w:tr w:rsidR="009C6249" w:rsidRPr="009C6249" w:rsidTr="009C6249">
        <w:trPr>
          <w:trHeight w:val="150"/>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b/>
                <w:bCs/>
                <w:i/>
                <w:iCs/>
                <w:color w:val="000000"/>
                <w:sz w:val="22"/>
                <w:szCs w:val="22"/>
              </w:rPr>
            </w:pPr>
            <w:r w:rsidRPr="009C6249">
              <w:rPr>
                <w:b/>
                <w:bCs/>
                <w:i/>
                <w:iCs/>
                <w:color w:val="000000"/>
                <w:sz w:val="22"/>
                <w:szCs w:val="22"/>
              </w:rPr>
              <w:t>Krátkodobé závazky</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Závazky z obchodních vztahů a jiné závazky</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58</w:t>
            </w:r>
            <w:r w:rsidR="00B0727A">
              <w:rPr>
                <w:color w:val="000000"/>
                <w:sz w:val="22"/>
                <w:szCs w:val="22"/>
              </w:rPr>
              <w:t xml:space="preserve"> </w:t>
            </w:r>
            <w:r w:rsidRPr="009C6249">
              <w:rPr>
                <w:color w:val="000000"/>
                <w:sz w:val="22"/>
                <w:szCs w:val="22"/>
              </w:rPr>
              <w:t>733</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31</w:t>
            </w:r>
            <w:r w:rsidR="00B0727A">
              <w:rPr>
                <w:color w:val="000000"/>
                <w:sz w:val="22"/>
                <w:szCs w:val="22"/>
              </w:rPr>
              <w:t xml:space="preserve"> </w:t>
            </w:r>
            <w:r w:rsidRPr="009C6249">
              <w:rPr>
                <w:color w:val="000000"/>
                <w:sz w:val="22"/>
                <w:szCs w:val="22"/>
              </w:rPr>
              <w:t>792</w:t>
            </w:r>
          </w:p>
        </w:tc>
        <w:tc>
          <w:tcPr>
            <w:tcW w:w="1492" w:type="dxa"/>
            <w:tcBorders>
              <w:top w:val="nil"/>
              <w:left w:val="nil"/>
              <w:bottom w:val="nil"/>
              <w:right w:val="nil"/>
            </w:tcBorders>
            <w:shd w:val="clear" w:color="auto" w:fill="auto"/>
            <w:noWrap/>
            <w:vAlign w:val="bottom"/>
            <w:hideMark/>
          </w:tcPr>
          <w:p w:rsidR="009C6249" w:rsidRPr="00B0727A" w:rsidRDefault="00B23DDB" w:rsidP="009C6249">
            <w:pPr>
              <w:ind w:firstLineChars="100" w:firstLine="220"/>
              <w:jc w:val="right"/>
              <w:rPr>
                <w:color w:val="000000"/>
                <w:sz w:val="22"/>
                <w:szCs w:val="22"/>
                <w:highlight w:val="yellow"/>
              </w:rPr>
            </w:pPr>
            <w:r w:rsidRPr="00CE4019">
              <w:rPr>
                <w:color w:val="000000"/>
                <w:sz w:val="22"/>
                <w:szCs w:val="22"/>
              </w:rPr>
              <w:t>30 597</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Daňové závazky</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115</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233</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w:t>
            </w:r>
            <w:r w:rsidR="00B0727A">
              <w:rPr>
                <w:color w:val="000000"/>
                <w:sz w:val="22"/>
                <w:szCs w:val="22"/>
              </w:rPr>
              <w:t xml:space="preserve"> </w:t>
            </w:r>
            <w:r w:rsidRPr="009C6249">
              <w:rPr>
                <w:color w:val="000000"/>
                <w:sz w:val="22"/>
                <w:szCs w:val="22"/>
              </w:rPr>
              <w:t>281</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Krátkodobá část bankovních úvěrů</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22</w:t>
            </w:r>
            <w:r w:rsidR="00B0727A">
              <w:rPr>
                <w:color w:val="000000"/>
                <w:sz w:val="22"/>
                <w:szCs w:val="22"/>
              </w:rPr>
              <w:t xml:space="preserve"> </w:t>
            </w:r>
            <w:r w:rsidRPr="009C6249">
              <w:rPr>
                <w:color w:val="000000"/>
                <w:sz w:val="22"/>
                <w:szCs w:val="22"/>
              </w:rPr>
              <w:t>000</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26</w:t>
            </w:r>
            <w:r w:rsidR="00B0727A">
              <w:rPr>
                <w:color w:val="000000"/>
                <w:sz w:val="22"/>
                <w:szCs w:val="22"/>
              </w:rPr>
              <w:t xml:space="preserve"> </w:t>
            </w:r>
            <w:r w:rsidRPr="009C6249">
              <w:rPr>
                <w:color w:val="000000"/>
                <w:sz w:val="22"/>
                <w:szCs w:val="22"/>
              </w:rPr>
              <w:t>500</w:t>
            </w:r>
          </w:p>
        </w:tc>
        <w:tc>
          <w:tcPr>
            <w:tcW w:w="1492" w:type="dxa"/>
            <w:tcBorders>
              <w:top w:val="nil"/>
              <w:left w:val="nil"/>
              <w:bottom w:val="nil"/>
              <w:right w:val="nil"/>
            </w:tcBorders>
            <w:shd w:val="clear" w:color="auto" w:fill="auto"/>
            <w:noWrap/>
            <w:vAlign w:val="bottom"/>
            <w:hideMark/>
          </w:tcPr>
          <w:p w:rsidR="009C6249" w:rsidRPr="009C6249" w:rsidRDefault="009C6249">
            <w:pPr>
              <w:ind w:firstLineChars="100" w:firstLine="220"/>
              <w:jc w:val="right"/>
              <w:rPr>
                <w:color w:val="000000"/>
                <w:sz w:val="22"/>
                <w:szCs w:val="22"/>
              </w:rPr>
            </w:pPr>
            <w:r w:rsidRPr="00CE4019">
              <w:rPr>
                <w:color w:val="000000"/>
                <w:sz w:val="22"/>
                <w:szCs w:val="22"/>
              </w:rPr>
              <w:t>22</w:t>
            </w:r>
            <w:r w:rsidR="00B0727A" w:rsidRPr="00CE4019">
              <w:rPr>
                <w:color w:val="000000"/>
                <w:sz w:val="22"/>
                <w:szCs w:val="22"/>
              </w:rPr>
              <w:t xml:space="preserve"> </w:t>
            </w:r>
            <w:r w:rsidRPr="00CE4019">
              <w:rPr>
                <w:color w:val="000000"/>
                <w:sz w:val="22"/>
                <w:szCs w:val="22"/>
              </w:rPr>
              <w:t>49</w:t>
            </w:r>
            <w:r w:rsidR="00B23DDB" w:rsidRPr="00B23DDB">
              <w:rPr>
                <w:color w:val="000000"/>
                <w:sz w:val="22"/>
                <w:szCs w:val="22"/>
              </w:rPr>
              <w:t>5</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r w:rsidRPr="009C6249">
              <w:rPr>
                <w:color w:val="000000"/>
                <w:sz w:val="22"/>
                <w:szCs w:val="22"/>
              </w:rPr>
              <w:t>Rezervy</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0</w:t>
            </w:r>
          </w:p>
        </w:tc>
        <w:tc>
          <w:tcPr>
            <w:tcW w:w="147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10</w:t>
            </w:r>
          </w:p>
        </w:tc>
        <w:tc>
          <w:tcPr>
            <w:tcW w:w="1492"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0</w:t>
            </w:r>
          </w:p>
        </w:tc>
      </w:tr>
      <w:tr w:rsidR="009C6249" w:rsidRPr="009C6249" w:rsidTr="009C6249">
        <w:trPr>
          <w:trHeight w:val="276"/>
        </w:trPr>
        <w:tc>
          <w:tcPr>
            <w:tcW w:w="4144" w:type="dxa"/>
            <w:tcBorders>
              <w:top w:val="nil"/>
              <w:left w:val="nil"/>
              <w:bottom w:val="nil"/>
              <w:right w:val="nil"/>
            </w:tcBorders>
            <w:shd w:val="clear" w:color="auto" w:fill="auto"/>
            <w:noWrap/>
            <w:vAlign w:val="bottom"/>
            <w:hideMark/>
          </w:tcPr>
          <w:p w:rsidR="009C6249" w:rsidRPr="009C6249" w:rsidRDefault="009C6249">
            <w:pPr>
              <w:rPr>
                <w:b/>
                <w:bCs/>
                <w:color w:val="000000"/>
                <w:sz w:val="22"/>
                <w:szCs w:val="22"/>
              </w:rPr>
            </w:pPr>
            <w:r w:rsidRPr="009C6249">
              <w:rPr>
                <w:b/>
                <w:bCs/>
                <w:color w:val="000000"/>
                <w:sz w:val="22"/>
                <w:szCs w:val="22"/>
              </w:rPr>
              <w:t>Krátkodobé závazky celkem</w:t>
            </w:r>
          </w:p>
        </w:tc>
        <w:tc>
          <w:tcPr>
            <w:tcW w:w="149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80</w:t>
            </w:r>
            <w:r w:rsidR="00B0727A">
              <w:rPr>
                <w:b/>
                <w:bCs/>
                <w:color w:val="000000"/>
                <w:sz w:val="22"/>
                <w:szCs w:val="22"/>
              </w:rPr>
              <w:t xml:space="preserve"> </w:t>
            </w:r>
            <w:r w:rsidRPr="009C6249">
              <w:rPr>
                <w:b/>
                <w:bCs/>
                <w:color w:val="000000"/>
                <w:sz w:val="22"/>
                <w:szCs w:val="22"/>
              </w:rPr>
              <w:t>848</w:t>
            </w:r>
          </w:p>
        </w:tc>
        <w:tc>
          <w:tcPr>
            <w:tcW w:w="147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58</w:t>
            </w:r>
            <w:r w:rsidR="00B0727A">
              <w:rPr>
                <w:b/>
                <w:bCs/>
                <w:color w:val="000000"/>
                <w:sz w:val="22"/>
                <w:szCs w:val="22"/>
              </w:rPr>
              <w:t xml:space="preserve"> </w:t>
            </w:r>
            <w:r w:rsidRPr="009C6249">
              <w:rPr>
                <w:b/>
                <w:bCs/>
                <w:color w:val="000000"/>
                <w:sz w:val="22"/>
                <w:szCs w:val="22"/>
              </w:rPr>
              <w:t>535</w:t>
            </w:r>
          </w:p>
        </w:tc>
        <w:tc>
          <w:tcPr>
            <w:tcW w:w="1492" w:type="dxa"/>
            <w:tcBorders>
              <w:top w:val="single" w:sz="4" w:space="0" w:color="auto"/>
              <w:left w:val="nil"/>
              <w:bottom w:val="nil"/>
              <w:right w:val="nil"/>
            </w:tcBorders>
            <w:shd w:val="clear" w:color="auto" w:fill="auto"/>
            <w:noWrap/>
            <w:vAlign w:val="bottom"/>
            <w:hideMark/>
          </w:tcPr>
          <w:p w:rsidR="009C6249" w:rsidRPr="009C6249" w:rsidRDefault="00B23DDB">
            <w:pPr>
              <w:ind w:firstLineChars="100" w:firstLine="221"/>
              <w:jc w:val="right"/>
              <w:rPr>
                <w:b/>
                <w:bCs/>
                <w:color w:val="000000"/>
                <w:sz w:val="22"/>
                <w:szCs w:val="22"/>
              </w:rPr>
            </w:pPr>
            <w:r>
              <w:rPr>
                <w:b/>
                <w:bCs/>
                <w:color w:val="000000"/>
                <w:sz w:val="22"/>
                <w:szCs w:val="22"/>
              </w:rPr>
              <w:t>54 373</w:t>
            </w:r>
          </w:p>
        </w:tc>
      </w:tr>
      <w:tr w:rsidR="009C6249" w:rsidRPr="009C6249" w:rsidTr="009C6249">
        <w:trPr>
          <w:trHeight w:val="288"/>
        </w:trPr>
        <w:tc>
          <w:tcPr>
            <w:tcW w:w="4144" w:type="dxa"/>
            <w:tcBorders>
              <w:top w:val="nil"/>
              <w:left w:val="nil"/>
              <w:bottom w:val="nil"/>
              <w:right w:val="nil"/>
            </w:tcBorders>
            <w:shd w:val="clear" w:color="auto" w:fill="auto"/>
            <w:noWrap/>
            <w:vAlign w:val="bottom"/>
            <w:hideMark/>
          </w:tcPr>
          <w:p w:rsidR="009C6249" w:rsidRPr="009C6249" w:rsidRDefault="009C6249">
            <w:pPr>
              <w:rPr>
                <w:b/>
                <w:bCs/>
                <w:color w:val="000000"/>
                <w:sz w:val="22"/>
                <w:szCs w:val="22"/>
              </w:rPr>
            </w:pPr>
            <w:r w:rsidRPr="009C6249">
              <w:rPr>
                <w:b/>
                <w:bCs/>
                <w:color w:val="000000"/>
                <w:sz w:val="22"/>
                <w:szCs w:val="22"/>
              </w:rPr>
              <w:t>Cizí zdroje celkem</w:t>
            </w:r>
          </w:p>
        </w:tc>
        <w:tc>
          <w:tcPr>
            <w:tcW w:w="149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224</w:t>
            </w:r>
            <w:r w:rsidR="00B0727A">
              <w:rPr>
                <w:b/>
                <w:bCs/>
                <w:color w:val="000000"/>
                <w:sz w:val="22"/>
                <w:szCs w:val="22"/>
              </w:rPr>
              <w:t xml:space="preserve"> </w:t>
            </w:r>
            <w:r w:rsidRPr="009C6249">
              <w:rPr>
                <w:b/>
                <w:bCs/>
                <w:color w:val="000000"/>
                <w:sz w:val="22"/>
                <w:szCs w:val="22"/>
              </w:rPr>
              <w:t>820</w:t>
            </w:r>
          </w:p>
        </w:tc>
        <w:tc>
          <w:tcPr>
            <w:tcW w:w="1472"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198</w:t>
            </w:r>
            <w:r w:rsidR="00B0727A">
              <w:rPr>
                <w:b/>
                <w:bCs/>
                <w:color w:val="000000"/>
                <w:sz w:val="22"/>
                <w:szCs w:val="22"/>
              </w:rPr>
              <w:t xml:space="preserve"> </w:t>
            </w:r>
            <w:r w:rsidRPr="009C6249">
              <w:rPr>
                <w:b/>
                <w:bCs/>
                <w:color w:val="000000"/>
                <w:sz w:val="22"/>
                <w:szCs w:val="22"/>
              </w:rPr>
              <w:t>556</w:t>
            </w:r>
          </w:p>
        </w:tc>
        <w:tc>
          <w:tcPr>
            <w:tcW w:w="1492" w:type="dxa"/>
            <w:tcBorders>
              <w:top w:val="single" w:sz="4" w:space="0" w:color="auto"/>
              <w:left w:val="nil"/>
              <w:bottom w:val="nil"/>
              <w:right w:val="nil"/>
            </w:tcBorders>
            <w:shd w:val="clear" w:color="auto" w:fill="auto"/>
            <w:noWrap/>
            <w:vAlign w:val="bottom"/>
            <w:hideMark/>
          </w:tcPr>
          <w:p w:rsidR="009C6249" w:rsidRPr="009C6249" w:rsidRDefault="00B23DDB">
            <w:pPr>
              <w:ind w:firstLineChars="100" w:firstLine="221"/>
              <w:jc w:val="right"/>
              <w:rPr>
                <w:b/>
                <w:bCs/>
                <w:color w:val="000000"/>
                <w:sz w:val="22"/>
                <w:szCs w:val="22"/>
              </w:rPr>
            </w:pPr>
            <w:r>
              <w:rPr>
                <w:b/>
                <w:bCs/>
                <w:color w:val="000000"/>
                <w:sz w:val="22"/>
                <w:szCs w:val="22"/>
              </w:rPr>
              <w:t>199 727</w:t>
            </w:r>
          </w:p>
        </w:tc>
      </w:tr>
      <w:tr w:rsidR="009C6249" w:rsidRPr="009C6249" w:rsidTr="009C6249">
        <w:trPr>
          <w:trHeight w:val="300"/>
        </w:trPr>
        <w:tc>
          <w:tcPr>
            <w:tcW w:w="4144" w:type="dxa"/>
            <w:tcBorders>
              <w:top w:val="nil"/>
              <w:left w:val="nil"/>
              <w:bottom w:val="nil"/>
              <w:right w:val="nil"/>
            </w:tcBorders>
            <w:shd w:val="clear" w:color="auto" w:fill="auto"/>
            <w:noWrap/>
            <w:vAlign w:val="bottom"/>
            <w:hideMark/>
          </w:tcPr>
          <w:p w:rsidR="009C6249" w:rsidRPr="009C6249" w:rsidRDefault="009C6249">
            <w:pPr>
              <w:rPr>
                <w:b/>
                <w:bCs/>
                <w:color w:val="000000"/>
                <w:sz w:val="22"/>
                <w:szCs w:val="22"/>
              </w:rPr>
            </w:pPr>
            <w:r w:rsidRPr="009C6249">
              <w:rPr>
                <w:b/>
                <w:bCs/>
                <w:color w:val="000000"/>
                <w:sz w:val="22"/>
                <w:szCs w:val="22"/>
              </w:rPr>
              <w:t>Vlastní kapitál a cizí zdroje celkem</w:t>
            </w:r>
          </w:p>
        </w:tc>
        <w:tc>
          <w:tcPr>
            <w:tcW w:w="1492" w:type="dxa"/>
            <w:tcBorders>
              <w:top w:val="double" w:sz="6"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350</w:t>
            </w:r>
            <w:r w:rsidR="00B0727A">
              <w:rPr>
                <w:b/>
                <w:bCs/>
                <w:color w:val="000000"/>
                <w:sz w:val="22"/>
                <w:szCs w:val="22"/>
              </w:rPr>
              <w:t xml:space="preserve"> </w:t>
            </w:r>
            <w:r w:rsidRPr="009C6249">
              <w:rPr>
                <w:b/>
                <w:bCs/>
                <w:color w:val="000000"/>
                <w:sz w:val="22"/>
                <w:szCs w:val="22"/>
              </w:rPr>
              <w:t>020</w:t>
            </w:r>
          </w:p>
        </w:tc>
        <w:tc>
          <w:tcPr>
            <w:tcW w:w="1472" w:type="dxa"/>
            <w:tcBorders>
              <w:top w:val="double" w:sz="6"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356</w:t>
            </w:r>
            <w:r w:rsidR="00B0727A">
              <w:rPr>
                <w:b/>
                <w:bCs/>
                <w:color w:val="000000"/>
                <w:sz w:val="22"/>
                <w:szCs w:val="22"/>
              </w:rPr>
              <w:t xml:space="preserve"> </w:t>
            </w:r>
            <w:r w:rsidRPr="009C6249">
              <w:rPr>
                <w:b/>
                <w:bCs/>
                <w:color w:val="000000"/>
                <w:sz w:val="22"/>
                <w:szCs w:val="22"/>
              </w:rPr>
              <w:t>197</w:t>
            </w:r>
          </w:p>
        </w:tc>
        <w:tc>
          <w:tcPr>
            <w:tcW w:w="1492" w:type="dxa"/>
            <w:tcBorders>
              <w:top w:val="double" w:sz="6" w:space="0" w:color="auto"/>
              <w:left w:val="nil"/>
              <w:bottom w:val="nil"/>
              <w:right w:val="nil"/>
            </w:tcBorders>
            <w:shd w:val="clear" w:color="auto" w:fill="auto"/>
            <w:noWrap/>
            <w:vAlign w:val="bottom"/>
            <w:hideMark/>
          </w:tcPr>
          <w:p w:rsidR="009C6249" w:rsidRPr="009C6249" w:rsidRDefault="009C6249">
            <w:pPr>
              <w:ind w:firstLineChars="100" w:firstLine="221"/>
              <w:jc w:val="right"/>
              <w:rPr>
                <w:b/>
                <w:bCs/>
                <w:color w:val="000000"/>
                <w:sz w:val="22"/>
                <w:szCs w:val="22"/>
              </w:rPr>
            </w:pPr>
            <w:r w:rsidRPr="009C6249">
              <w:rPr>
                <w:b/>
                <w:bCs/>
                <w:color w:val="000000"/>
                <w:sz w:val="22"/>
                <w:szCs w:val="22"/>
              </w:rPr>
              <w:t>359</w:t>
            </w:r>
            <w:r w:rsidR="00B0727A">
              <w:rPr>
                <w:b/>
                <w:bCs/>
                <w:color w:val="000000"/>
                <w:sz w:val="22"/>
                <w:szCs w:val="22"/>
              </w:rPr>
              <w:t xml:space="preserve"> </w:t>
            </w:r>
            <w:r w:rsidRPr="009C6249">
              <w:rPr>
                <w:b/>
                <w:bCs/>
                <w:color w:val="000000"/>
                <w:sz w:val="22"/>
                <w:szCs w:val="22"/>
              </w:rPr>
              <w:t>2</w:t>
            </w:r>
            <w:r w:rsidR="008C0748">
              <w:rPr>
                <w:b/>
                <w:bCs/>
                <w:color w:val="000000"/>
                <w:sz w:val="22"/>
                <w:szCs w:val="22"/>
              </w:rPr>
              <w:t>03</w:t>
            </w:r>
          </w:p>
        </w:tc>
      </w:tr>
    </w:tbl>
    <w:p w:rsidR="00CC1601" w:rsidRPr="009C6249" w:rsidRDefault="00CC1601" w:rsidP="00CC1601">
      <w:pPr>
        <w:pStyle w:val="Heading2"/>
        <w:rPr>
          <w:rFonts w:ascii="Times New Roman" w:hAnsi="Times New Roman" w:cs="Times New Roman"/>
        </w:rPr>
      </w:pPr>
      <w:bookmarkStart w:id="98" w:name="_Toc269111145"/>
      <w:bookmarkStart w:id="99" w:name="_Toc269118418"/>
      <w:bookmarkStart w:id="100" w:name="_Toc269139336"/>
      <w:bookmarkStart w:id="101" w:name="_Toc165188457"/>
      <w:bookmarkStart w:id="102" w:name="_Toc175226107"/>
      <w:bookmarkStart w:id="103" w:name="_Toc269295562"/>
      <w:bookmarkStart w:id="104" w:name="_Toc269907501"/>
      <w:bookmarkStart w:id="105" w:name="_Toc427918123"/>
      <w:bookmarkEnd w:id="98"/>
      <w:bookmarkEnd w:id="99"/>
      <w:bookmarkEnd w:id="100"/>
      <w:r w:rsidRPr="009C6249">
        <w:rPr>
          <w:rFonts w:ascii="Times New Roman" w:hAnsi="Times New Roman" w:cs="Times New Roman"/>
        </w:rPr>
        <w:lastRenderedPageBreak/>
        <w:t>Konsolidovaný přehled o peněžních tocích za období šesti měsíců do </w:t>
      </w:r>
      <w:r w:rsidRPr="009C6249">
        <w:rPr>
          <w:rFonts w:ascii="Times New Roman" w:hAnsi="Times New Roman" w:cs="Times New Roman"/>
        </w:rPr>
        <w:br/>
        <w:t>30. června 201</w:t>
      </w:r>
      <w:r w:rsidR="0043406F" w:rsidRPr="009C6249">
        <w:rPr>
          <w:rFonts w:ascii="Times New Roman" w:hAnsi="Times New Roman" w:cs="Times New Roman"/>
        </w:rPr>
        <w:t>5</w:t>
      </w:r>
      <w:r w:rsidRPr="009C6249">
        <w:rPr>
          <w:rFonts w:ascii="Times New Roman" w:hAnsi="Times New Roman" w:cs="Times New Roman"/>
        </w:rPr>
        <w:t xml:space="preserve"> a do 30. června </w:t>
      </w:r>
      <w:bookmarkEnd w:id="101"/>
      <w:bookmarkEnd w:id="102"/>
      <w:r w:rsidRPr="009C6249">
        <w:rPr>
          <w:rFonts w:ascii="Times New Roman" w:hAnsi="Times New Roman" w:cs="Times New Roman"/>
        </w:rPr>
        <w:t>201</w:t>
      </w:r>
      <w:r w:rsidR="0043406F" w:rsidRPr="009C6249">
        <w:rPr>
          <w:rFonts w:ascii="Times New Roman" w:hAnsi="Times New Roman" w:cs="Times New Roman"/>
        </w:rPr>
        <w:t>4</w:t>
      </w:r>
      <w:r w:rsidRPr="009C6249">
        <w:rPr>
          <w:rFonts w:ascii="Times New Roman" w:hAnsi="Times New Roman" w:cs="Times New Roman"/>
        </w:rPr>
        <w:t xml:space="preserve"> ve zkrácené podobě</w:t>
      </w:r>
      <w:bookmarkEnd w:id="103"/>
      <w:bookmarkEnd w:id="104"/>
      <w:bookmarkEnd w:id="105"/>
    </w:p>
    <w:p w:rsidR="00CC1601" w:rsidRPr="007A542A" w:rsidRDefault="00CC1601" w:rsidP="00CC1601">
      <w:pPr>
        <w:autoSpaceDE w:val="0"/>
        <w:autoSpaceDN w:val="0"/>
        <w:adjustRightInd w:val="0"/>
        <w:spacing w:line="240" w:lineRule="atLeast"/>
        <w:jc w:val="both"/>
        <w:rPr>
          <w:color w:val="000000"/>
        </w:rPr>
      </w:pPr>
      <w:r w:rsidRPr="007A542A">
        <w:t xml:space="preserve">Neauditované výkazy připravené v souladu s </w:t>
      </w:r>
      <w:r w:rsidRPr="007A542A">
        <w:rPr>
          <w:color w:val="000000"/>
        </w:rPr>
        <w:t>Mezinárodními standardy účetního výkaznictví (IFRS) a Mezinárodními účetními standardy IAS 34 ve znění přijatém Evropskou unií</w:t>
      </w:r>
    </w:p>
    <w:p w:rsidR="00CC1601" w:rsidRPr="007A542A" w:rsidRDefault="00CC1601" w:rsidP="00CC1601">
      <w:pPr>
        <w:widowControl w:val="0"/>
      </w:pPr>
      <w:r w:rsidRPr="007A542A">
        <w:t>(v tisících EUR)</w:t>
      </w:r>
    </w:p>
    <w:p w:rsidR="00CC1601" w:rsidRPr="007A542A" w:rsidRDefault="00CC1601" w:rsidP="00CC1601">
      <w:pPr>
        <w:widowControl w:val="0"/>
      </w:pPr>
    </w:p>
    <w:tbl>
      <w:tblPr>
        <w:tblW w:w="8608" w:type="dxa"/>
        <w:tblInd w:w="70" w:type="dxa"/>
        <w:tblCellMar>
          <w:left w:w="70" w:type="dxa"/>
          <w:right w:w="70" w:type="dxa"/>
        </w:tblCellMar>
        <w:tblLook w:val="04A0" w:firstRow="1" w:lastRow="0" w:firstColumn="1" w:lastColumn="0" w:noHBand="0" w:noVBand="1"/>
      </w:tblPr>
      <w:tblGrid>
        <w:gridCol w:w="4536"/>
        <w:gridCol w:w="2036"/>
        <w:gridCol w:w="2036"/>
      </w:tblGrid>
      <w:tr w:rsidR="009C6249" w:rsidRPr="009C6249" w:rsidTr="009C6249">
        <w:trPr>
          <w:trHeight w:val="288"/>
        </w:trPr>
        <w:tc>
          <w:tcPr>
            <w:tcW w:w="4536"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p>
        </w:tc>
        <w:tc>
          <w:tcPr>
            <w:tcW w:w="2036" w:type="dxa"/>
            <w:tcBorders>
              <w:top w:val="single" w:sz="12" w:space="0" w:color="auto"/>
              <w:left w:val="nil"/>
              <w:bottom w:val="nil"/>
              <w:right w:val="nil"/>
            </w:tcBorders>
            <w:shd w:val="clear" w:color="auto" w:fill="auto"/>
            <w:noWrap/>
            <w:vAlign w:val="bottom"/>
            <w:hideMark/>
          </w:tcPr>
          <w:p w:rsidR="009C6249" w:rsidRPr="009C6249" w:rsidRDefault="009C6249">
            <w:pPr>
              <w:jc w:val="center"/>
              <w:rPr>
                <w:b/>
                <w:bCs/>
                <w:color w:val="000000"/>
                <w:sz w:val="22"/>
                <w:szCs w:val="22"/>
              </w:rPr>
            </w:pPr>
            <w:r w:rsidRPr="009C6249">
              <w:rPr>
                <w:b/>
                <w:bCs/>
                <w:color w:val="000000"/>
                <w:sz w:val="22"/>
                <w:szCs w:val="22"/>
              </w:rPr>
              <w:t>2014</w:t>
            </w:r>
          </w:p>
        </w:tc>
        <w:tc>
          <w:tcPr>
            <w:tcW w:w="2036" w:type="dxa"/>
            <w:tcBorders>
              <w:top w:val="single" w:sz="12" w:space="0" w:color="auto"/>
              <w:left w:val="nil"/>
              <w:bottom w:val="nil"/>
              <w:right w:val="nil"/>
            </w:tcBorders>
            <w:shd w:val="clear" w:color="auto" w:fill="auto"/>
            <w:noWrap/>
            <w:vAlign w:val="bottom"/>
            <w:hideMark/>
          </w:tcPr>
          <w:p w:rsidR="009C6249" w:rsidRPr="009C6249" w:rsidRDefault="009C6249">
            <w:pPr>
              <w:jc w:val="center"/>
              <w:rPr>
                <w:b/>
                <w:bCs/>
                <w:color w:val="000000"/>
                <w:sz w:val="22"/>
                <w:szCs w:val="22"/>
              </w:rPr>
            </w:pPr>
            <w:r w:rsidRPr="009C6249">
              <w:rPr>
                <w:b/>
                <w:bCs/>
                <w:color w:val="000000"/>
                <w:sz w:val="22"/>
                <w:szCs w:val="22"/>
              </w:rPr>
              <w:t>2015</w:t>
            </w:r>
          </w:p>
        </w:tc>
      </w:tr>
      <w:tr w:rsidR="009C6249" w:rsidRPr="009C6249" w:rsidTr="009C6249">
        <w:trPr>
          <w:trHeight w:val="288"/>
        </w:trPr>
        <w:tc>
          <w:tcPr>
            <w:tcW w:w="4536"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p>
        </w:tc>
        <w:tc>
          <w:tcPr>
            <w:tcW w:w="2036" w:type="dxa"/>
            <w:tcBorders>
              <w:top w:val="nil"/>
              <w:left w:val="nil"/>
              <w:bottom w:val="single" w:sz="12" w:space="0" w:color="auto"/>
              <w:right w:val="nil"/>
            </w:tcBorders>
            <w:shd w:val="clear" w:color="auto" w:fill="auto"/>
            <w:noWrap/>
            <w:vAlign w:val="bottom"/>
            <w:hideMark/>
          </w:tcPr>
          <w:p w:rsidR="009C6249" w:rsidRPr="009C6249" w:rsidRDefault="009C6249">
            <w:pPr>
              <w:jc w:val="center"/>
              <w:rPr>
                <w:color w:val="000000"/>
                <w:sz w:val="22"/>
                <w:szCs w:val="22"/>
              </w:rPr>
            </w:pPr>
            <w:r w:rsidRPr="009C6249">
              <w:rPr>
                <w:color w:val="000000"/>
                <w:sz w:val="22"/>
                <w:szCs w:val="22"/>
              </w:rPr>
              <w:t>(neauditované)</w:t>
            </w:r>
          </w:p>
        </w:tc>
        <w:tc>
          <w:tcPr>
            <w:tcW w:w="2036" w:type="dxa"/>
            <w:tcBorders>
              <w:top w:val="nil"/>
              <w:left w:val="nil"/>
              <w:bottom w:val="single" w:sz="12" w:space="0" w:color="auto"/>
              <w:right w:val="nil"/>
            </w:tcBorders>
            <w:shd w:val="clear" w:color="auto" w:fill="auto"/>
            <w:noWrap/>
            <w:vAlign w:val="bottom"/>
            <w:hideMark/>
          </w:tcPr>
          <w:p w:rsidR="009C6249" w:rsidRPr="009C6249" w:rsidRDefault="009C6249">
            <w:pPr>
              <w:jc w:val="center"/>
              <w:rPr>
                <w:color w:val="000000"/>
                <w:sz w:val="22"/>
                <w:szCs w:val="22"/>
              </w:rPr>
            </w:pPr>
            <w:r w:rsidRPr="009C6249">
              <w:rPr>
                <w:color w:val="000000"/>
                <w:sz w:val="22"/>
                <w:szCs w:val="22"/>
              </w:rPr>
              <w:t>(neauditované)</w:t>
            </w:r>
          </w:p>
        </w:tc>
      </w:tr>
      <w:tr w:rsidR="009C6249" w:rsidRPr="009C6249" w:rsidTr="009C6249">
        <w:trPr>
          <w:trHeight w:val="135"/>
        </w:trPr>
        <w:tc>
          <w:tcPr>
            <w:tcW w:w="4536" w:type="dxa"/>
            <w:tcBorders>
              <w:top w:val="nil"/>
              <w:left w:val="nil"/>
              <w:bottom w:val="nil"/>
              <w:right w:val="nil"/>
            </w:tcBorders>
            <w:shd w:val="clear" w:color="auto" w:fill="auto"/>
            <w:noWrap/>
            <w:vAlign w:val="bottom"/>
            <w:hideMark/>
          </w:tcPr>
          <w:p w:rsidR="009C6249" w:rsidRPr="009C6249" w:rsidRDefault="009C6249">
            <w:pPr>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b/>
                <w:bCs/>
                <w:color w:val="000000"/>
                <w:sz w:val="22"/>
                <w:szCs w:val="22"/>
              </w:rPr>
            </w:pPr>
            <w:r w:rsidRPr="009C6249">
              <w:rPr>
                <w:b/>
                <w:bCs/>
                <w:color w:val="000000"/>
                <w:sz w:val="22"/>
                <w:szCs w:val="22"/>
              </w:rPr>
              <w:t>Zisk před zdaněním</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11</w:t>
            </w:r>
            <w:r w:rsidR="00B0727A">
              <w:rPr>
                <w:b/>
                <w:bCs/>
                <w:color w:val="000000"/>
                <w:sz w:val="22"/>
                <w:szCs w:val="22"/>
              </w:rPr>
              <w:t xml:space="preserve"> </w:t>
            </w:r>
            <w:r w:rsidRPr="009C6249">
              <w:rPr>
                <w:b/>
                <w:bCs/>
                <w:color w:val="000000"/>
                <w:sz w:val="22"/>
                <w:szCs w:val="22"/>
              </w:rPr>
              <w:t>680</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18</w:t>
            </w:r>
            <w:r w:rsidR="00B0727A">
              <w:rPr>
                <w:b/>
                <w:bCs/>
                <w:color w:val="000000"/>
                <w:sz w:val="22"/>
                <w:szCs w:val="22"/>
              </w:rPr>
              <w:t xml:space="preserve"> </w:t>
            </w:r>
            <w:r w:rsidRPr="009C6249">
              <w:rPr>
                <w:b/>
                <w:bCs/>
                <w:color w:val="000000"/>
                <w:sz w:val="22"/>
                <w:szCs w:val="22"/>
              </w:rPr>
              <w:t>289</w:t>
            </w:r>
          </w:p>
        </w:tc>
      </w:tr>
      <w:tr w:rsidR="009C6249" w:rsidRPr="009C6249" w:rsidTr="009C6249">
        <w:trPr>
          <w:trHeight w:val="135"/>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88"/>
        </w:trPr>
        <w:tc>
          <w:tcPr>
            <w:tcW w:w="4536" w:type="dxa"/>
            <w:tcBorders>
              <w:top w:val="nil"/>
              <w:left w:val="nil"/>
              <w:bottom w:val="nil"/>
              <w:right w:val="nil"/>
            </w:tcBorders>
            <w:shd w:val="clear" w:color="auto" w:fill="auto"/>
            <w:vAlign w:val="bottom"/>
            <w:hideMark/>
          </w:tcPr>
          <w:p w:rsidR="009C6249" w:rsidRPr="009C6249" w:rsidRDefault="009C6249">
            <w:pPr>
              <w:rPr>
                <w:i/>
                <w:iCs/>
                <w:color w:val="000000"/>
                <w:sz w:val="22"/>
                <w:szCs w:val="22"/>
              </w:rPr>
            </w:pPr>
            <w:r w:rsidRPr="009C6249">
              <w:rPr>
                <w:i/>
                <w:iCs/>
                <w:color w:val="000000"/>
                <w:sz w:val="22"/>
                <w:szCs w:val="22"/>
              </w:rPr>
              <w:t>Úpravy o:</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Odpisy</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7</w:t>
            </w:r>
            <w:r w:rsidR="00B0727A">
              <w:rPr>
                <w:color w:val="000000"/>
                <w:sz w:val="22"/>
                <w:szCs w:val="22"/>
              </w:rPr>
              <w:t xml:space="preserve"> </w:t>
            </w:r>
            <w:r w:rsidRPr="009C6249">
              <w:rPr>
                <w:color w:val="000000"/>
                <w:sz w:val="22"/>
                <w:szCs w:val="22"/>
              </w:rPr>
              <w:t>365</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7</w:t>
            </w:r>
            <w:r w:rsidR="00B0727A">
              <w:rPr>
                <w:color w:val="000000"/>
                <w:sz w:val="22"/>
                <w:szCs w:val="22"/>
              </w:rPr>
              <w:t xml:space="preserve"> </w:t>
            </w:r>
            <w:r w:rsidRPr="009C6249">
              <w:rPr>
                <w:color w:val="000000"/>
                <w:sz w:val="22"/>
                <w:szCs w:val="22"/>
              </w:rPr>
              <w:t>936</w:t>
            </w: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Kursové změny</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-4</w:t>
            </w:r>
            <w:r w:rsidR="00B0727A">
              <w:rPr>
                <w:color w:val="000000"/>
                <w:sz w:val="22"/>
                <w:szCs w:val="22"/>
              </w:rPr>
              <w:t xml:space="preserve"> </w:t>
            </w:r>
            <w:r w:rsidRPr="009C6249">
              <w:rPr>
                <w:color w:val="000000"/>
                <w:sz w:val="22"/>
                <w:szCs w:val="22"/>
              </w:rPr>
              <w:t>600</w:t>
            </w:r>
          </w:p>
        </w:tc>
        <w:tc>
          <w:tcPr>
            <w:tcW w:w="2036" w:type="dxa"/>
            <w:tcBorders>
              <w:top w:val="nil"/>
              <w:left w:val="nil"/>
              <w:bottom w:val="nil"/>
              <w:right w:val="nil"/>
            </w:tcBorders>
            <w:shd w:val="clear" w:color="auto" w:fill="auto"/>
            <w:noWrap/>
            <w:vAlign w:val="bottom"/>
            <w:hideMark/>
          </w:tcPr>
          <w:p w:rsidR="009C6249" w:rsidRPr="009C6249" w:rsidRDefault="00B23DDB" w:rsidP="009C6249">
            <w:pPr>
              <w:ind w:firstLineChars="100" w:firstLine="220"/>
              <w:jc w:val="right"/>
              <w:rPr>
                <w:color w:val="000000"/>
                <w:sz w:val="22"/>
                <w:szCs w:val="22"/>
              </w:rPr>
            </w:pPr>
            <w:r>
              <w:rPr>
                <w:color w:val="000000"/>
                <w:sz w:val="22"/>
                <w:szCs w:val="22"/>
              </w:rPr>
              <w:t>-5 777</w:t>
            </w: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Úrokové náklady</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4</w:t>
            </w:r>
            <w:r w:rsidR="00B0727A">
              <w:rPr>
                <w:color w:val="000000"/>
                <w:sz w:val="22"/>
                <w:szCs w:val="22"/>
              </w:rPr>
              <w:t xml:space="preserve"> </w:t>
            </w:r>
            <w:r w:rsidRPr="009C6249">
              <w:rPr>
                <w:color w:val="000000"/>
                <w:sz w:val="22"/>
                <w:szCs w:val="22"/>
              </w:rPr>
              <w:t>218</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3</w:t>
            </w:r>
            <w:r w:rsidR="00B0727A">
              <w:rPr>
                <w:color w:val="000000"/>
                <w:sz w:val="22"/>
                <w:szCs w:val="22"/>
              </w:rPr>
              <w:t xml:space="preserve"> </w:t>
            </w:r>
            <w:r w:rsidRPr="009C6249">
              <w:rPr>
                <w:color w:val="000000"/>
                <w:sz w:val="22"/>
                <w:szCs w:val="22"/>
              </w:rPr>
              <w:t>532</w:t>
            </w: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Ostatní změny ve vlastním kapitálu</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99</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722</w:t>
            </w: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Ostatní finanční výnosy/(náklady)</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-131</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274</w:t>
            </w:r>
          </w:p>
        </w:tc>
      </w:tr>
      <w:tr w:rsidR="009C6249" w:rsidRPr="009C6249" w:rsidTr="009C6249">
        <w:trPr>
          <w:trHeight w:val="135"/>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b/>
                <w:bCs/>
                <w:i/>
                <w:iCs/>
                <w:color w:val="000000"/>
                <w:sz w:val="22"/>
                <w:szCs w:val="22"/>
              </w:rPr>
            </w:pPr>
            <w:r w:rsidRPr="009C6249">
              <w:rPr>
                <w:b/>
                <w:bCs/>
                <w:i/>
                <w:iCs/>
                <w:color w:val="000000"/>
                <w:sz w:val="22"/>
                <w:szCs w:val="22"/>
              </w:rPr>
              <w:t>Peněžní toky z provozní činnosti</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Pokles/(růst) stavu zásob</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2</w:t>
            </w:r>
            <w:r w:rsidR="00B0727A">
              <w:rPr>
                <w:color w:val="000000"/>
                <w:sz w:val="22"/>
                <w:szCs w:val="22"/>
              </w:rPr>
              <w:t xml:space="preserve"> </w:t>
            </w:r>
            <w:r w:rsidRPr="009C6249">
              <w:rPr>
                <w:color w:val="000000"/>
                <w:sz w:val="22"/>
                <w:szCs w:val="22"/>
              </w:rPr>
              <w:t>518</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4</w:t>
            </w:r>
            <w:r w:rsidR="00B0727A">
              <w:rPr>
                <w:color w:val="000000"/>
                <w:sz w:val="22"/>
                <w:szCs w:val="22"/>
              </w:rPr>
              <w:t xml:space="preserve"> </w:t>
            </w:r>
            <w:r w:rsidRPr="009C6249">
              <w:rPr>
                <w:color w:val="000000"/>
                <w:sz w:val="22"/>
                <w:szCs w:val="22"/>
              </w:rPr>
              <w:t>858</w:t>
            </w: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Pokles/(růst) pohledávek</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-3</w:t>
            </w:r>
            <w:r w:rsidR="00B0727A">
              <w:rPr>
                <w:color w:val="000000"/>
                <w:sz w:val="22"/>
                <w:szCs w:val="22"/>
              </w:rPr>
              <w:t xml:space="preserve"> </w:t>
            </w:r>
            <w:r w:rsidRPr="009C6249">
              <w:rPr>
                <w:color w:val="000000"/>
                <w:sz w:val="22"/>
                <w:szCs w:val="22"/>
              </w:rPr>
              <w:t>714</w:t>
            </w:r>
          </w:p>
        </w:tc>
        <w:tc>
          <w:tcPr>
            <w:tcW w:w="2036" w:type="dxa"/>
            <w:tcBorders>
              <w:top w:val="nil"/>
              <w:left w:val="nil"/>
              <w:bottom w:val="nil"/>
              <w:right w:val="nil"/>
            </w:tcBorders>
            <w:shd w:val="clear" w:color="auto" w:fill="auto"/>
            <w:noWrap/>
            <w:vAlign w:val="bottom"/>
            <w:hideMark/>
          </w:tcPr>
          <w:p w:rsidR="009C6249" w:rsidRPr="009C6249" w:rsidRDefault="009C6249">
            <w:pPr>
              <w:ind w:firstLineChars="100" w:firstLine="220"/>
              <w:jc w:val="right"/>
              <w:rPr>
                <w:color w:val="000000"/>
                <w:sz w:val="22"/>
                <w:szCs w:val="22"/>
              </w:rPr>
            </w:pPr>
            <w:r w:rsidRPr="009C6249">
              <w:rPr>
                <w:color w:val="000000"/>
                <w:sz w:val="22"/>
                <w:szCs w:val="22"/>
              </w:rPr>
              <w:t>-1</w:t>
            </w:r>
            <w:r w:rsidR="00B0727A">
              <w:rPr>
                <w:color w:val="000000"/>
                <w:sz w:val="22"/>
                <w:szCs w:val="22"/>
              </w:rPr>
              <w:t xml:space="preserve"> </w:t>
            </w:r>
            <w:r w:rsidR="00B23DDB">
              <w:rPr>
                <w:color w:val="000000"/>
                <w:sz w:val="22"/>
                <w:szCs w:val="22"/>
              </w:rPr>
              <w:t>277</w:t>
            </w: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Růst/(pokles) závazků</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-6</w:t>
            </w:r>
            <w:r w:rsidR="00B0727A">
              <w:rPr>
                <w:color w:val="000000"/>
                <w:sz w:val="22"/>
                <w:szCs w:val="22"/>
              </w:rPr>
              <w:t xml:space="preserve"> </w:t>
            </w:r>
            <w:r w:rsidRPr="009C6249">
              <w:rPr>
                <w:color w:val="000000"/>
                <w:sz w:val="22"/>
                <w:szCs w:val="22"/>
              </w:rPr>
              <w:t>103</w:t>
            </w:r>
          </w:p>
        </w:tc>
        <w:tc>
          <w:tcPr>
            <w:tcW w:w="2036" w:type="dxa"/>
            <w:tcBorders>
              <w:top w:val="nil"/>
              <w:left w:val="nil"/>
              <w:bottom w:val="nil"/>
              <w:right w:val="nil"/>
            </w:tcBorders>
            <w:shd w:val="clear" w:color="auto" w:fill="auto"/>
            <w:noWrap/>
            <w:vAlign w:val="bottom"/>
            <w:hideMark/>
          </w:tcPr>
          <w:p w:rsidR="009C6249" w:rsidRPr="009C6249" w:rsidRDefault="00B23DDB" w:rsidP="00087378">
            <w:pPr>
              <w:ind w:firstLineChars="100" w:firstLine="220"/>
              <w:jc w:val="right"/>
              <w:rPr>
                <w:color w:val="000000"/>
                <w:sz w:val="22"/>
                <w:szCs w:val="22"/>
              </w:rPr>
            </w:pPr>
            <w:r>
              <w:rPr>
                <w:color w:val="000000"/>
                <w:sz w:val="22"/>
                <w:szCs w:val="22"/>
              </w:rPr>
              <w:t>-</w:t>
            </w:r>
            <w:r w:rsidR="00087378">
              <w:rPr>
                <w:color w:val="000000"/>
                <w:sz w:val="22"/>
                <w:szCs w:val="22"/>
              </w:rPr>
              <w:t>2</w:t>
            </w:r>
            <w:r>
              <w:rPr>
                <w:color w:val="000000"/>
                <w:sz w:val="22"/>
                <w:szCs w:val="22"/>
              </w:rPr>
              <w:t xml:space="preserve">1 </w:t>
            </w:r>
            <w:r w:rsidR="00087378">
              <w:rPr>
                <w:color w:val="000000"/>
                <w:sz w:val="22"/>
                <w:szCs w:val="22"/>
              </w:rPr>
              <w:t>973</w:t>
            </w: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Zaplacená daň z příjmů</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w:t>
            </w:r>
            <w:r w:rsidR="00B0727A">
              <w:rPr>
                <w:color w:val="000000"/>
                <w:sz w:val="22"/>
                <w:szCs w:val="22"/>
              </w:rPr>
              <w:t xml:space="preserve"> </w:t>
            </w:r>
            <w:r w:rsidRPr="009C6249">
              <w:rPr>
                <w:color w:val="000000"/>
                <w:sz w:val="22"/>
                <w:szCs w:val="22"/>
              </w:rPr>
              <w:t>710</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-319</w:t>
            </w:r>
          </w:p>
        </w:tc>
      </w:tr>
      <w:tr w:rsidR="009C6249" w:rsidRPr="009C6249" w:rsidTr="009C6249">
        <w:trPr>
          <w:trHeight w:val="315"/>
        </w:trPr>
        <w:tc>
          <w:tcPr>
            <w:tcW w:w="4536" w:type="dxa"/>
            <w:tcBorders>
              <w:top w:val="nil"/>
              <w:left w:val="nil"/>
              <w:bottom w:val="nil"/>
              <w:right w:val="nil"/>
            </w:tcBorders>
            <w:shd w:val="clear" w:color="auto" w:fill="auto"/>
            <w:vAlign w:val="bottom"/>
            <w:hideMark/>
          </w:tcPr>
          <w:p w:rsidR="009C6249" w:rsidRPr="009C6249" w:rsidRDefault="009C6249">
            <w:pPr>
              <w:rPr>
                <w:b/>
                <w:bCs/>
                <w:color w:val="000000"/>
                <w:sz w:val="22"/>
                <w:szCs w:val="22"/>
              </w:rPr>
            </w:pPr>
            <w:r w:rsidRPr="009C6249">
              <w:rPr>
                <w:b/>
                <w:bCs/>
                <w:color w:val="000000"/>
                <w:sz w:val="22"/>
                <w:szCs w:val="22"/>
              </w:rPr>
              <w:t>Peněžní toky z provozní činnosti (netto)</w:t>
            </w:r>
          </w:p>
        </w:tc>
        <w:tc>
          <w:tcPr>
            <w:tcW w:w="2036"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9</w:t>
            </w:r>
            <w:r w:rsidR="00B0727A">
              <w:rPr>
                <w:b/>
                <w:bCs/>
                <w:color w:val="000000"/>
                <w:sz w:val="22"/>
                <w:szCs w:val="22"/>
              </w:rPr>
              <w:t xml:space="preserve"> </w:t>
            </w:r>
            <w:r w:rsidRPr="009C6249">
              <w:rPr>
                <w:b/>
                <w:bCs/>
                <w:color w:val="000000"/>
                <w:sz w:val="22"/>
                <w:szCs w:val="22"/>
              </w:rPr>
              <w:t>622</w:t>
            </w:r>
          </w:p>
        </w:tc>
        <w:tc>
          <w:tcPr>
            <w:tcW w:w="2036" w:type="dxa"/>
            <w:tcBorders>
              <w:top w:val="single" w:sz="4" w:space="0" w:color="auto"/>
              <w:left w:val="nil"/>
              <w:bottom w:val="nil"/>
              <w:right w:val="nil"/>
            </w:tcBorders>
            <w:shd w:val="clear" w:color="auto" w:fill="auto"/>
            <w:noWrap/>
            <w:vAlign w:val="bottom"/>
            <w:hideMark/>
          </w:tcPr>
          <w:p w:rsidR="009C6249" w:rsidRPr="009C6249" w:rsidRDefault="00087378" w:rsidP="009C6249">
            <w:pPr>
              <w:ind w:firstLineChars="100" w:firstLine="221"/>
              <w:jc w:val="right"/>
              <w:rPr>
                <w:b/>
                <w:bCs/>
                <w:color w:val="000000"/>
                <w:sz w:val="22"/>
                <w:szCs w:val="22"/>
              </w:rPr>
            </w:pPr>
            <w:r>
              <w:rPr>
                <w:b/>
                <w:bCs/>
                <w:color w:val="000000"/>
                <w:sz w:val="22"/>
                <w:szCs w:val="22"/>
              </w:rPr>
              <w:t>6 265</w:t>
            </w:r>
          </w:p>
        </w:tc>
      </w:tr>
      <w:tr w:rsidR="009C6249" w:rsidRPr="009C6249" w:rsidTr="009C6249">
        <w:trPr>
          <w:trHeight w:val="135"/>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b/>
                <w:bCs/>
                <w:i/>
                <w:iCs/>
                <w:color w:val="000000"/>
                <w:sz w:val="22"/>
                <w:szCs w:val="22"/>
              </w:rPr>
            </w:pPr>
            <w:r w:rsidRPr="009C6249">
              <w:rPr>
                <w:b/>
                <w:bCs/>
                <w:i/>
                <w:iCs/>
                <w:color w:val="000000"/>
                <w:sz w:val="22"/>
                <w:szCs w:val="22"/>
              </w:rPr>
              <w:t>Peněžní toky z investiční činnosti</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552"/>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Pořízení dlouhodobého hmotného a nehmotného majetku</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w:t>
            </w:r>
            <w:r w:rsidR="00B0727A">
              <w:rPr>
                <w:color w:val="000000"/>
                <w:sz w:val="22"/>
                <w:szCs w:val="22"/>
              </w:rPr>
              <w:t xml:space="preserve"> </w:t>
            </w:r>
            <w:r w:rsidRPr="009C6249">
              <w:rPr>
                <w:color w:val="000000"/>
                <w:sz w:val="22"/>
                <w:szCs w:val="22"/>
              </w:rPr>
              <w:t>539</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w:t>
            </w:r>
            <w:r w:rsidR="00B0727A">
              <w:rPr>
                <w:color w:val="000000"/>
                <w:sz w:val="22"/>
                <w:szCs w:val="22"/>
              </w:rPr>
              <w:t xml:space="preserve"> </w:t>
            </w:r>
            <w:r w:rsidRPr="009C6249">
              <w:rPr>
                <w:color w:val="000000"/>
                <w:sz w:val="22"/>
                <w:szCs w:val="22"/>
              </w:rPr>
              <w:t>540</w:t>
            </w:r>
          </w:p>
        </w:tc>
      </w:tr>
      <w:tr w:rsidR="009C6249" w:rsidRPr="009C6249" w:rsidTr="009C6249">
        <w:trPr>
          <w:trHeight w:val="300"/>
        </w:trPr>
        <w:tc>
          <w:tcPr>
            <w:tcW w:w="4536" w:type="dxa"/>
            <w:tcBorders>
              <w:top w:val="nil"/>
              <w:left w:val="nil"/>
              <w:bottom w:val="nil"/>
              <w:right w:val="nil"/>
            </w:tcBorders>
            <w:shd w:val="clear" w:color="auto" w:fill="auto"/>
            <w:vAlign w:val="bottom"/>
            <w:hideMark/>
          </w:tcPr>
          <w:p w:rsidR="009C6249" w:rsidRPr="009C6249" w:rsidRDefault="009C6249">
            <w:pPr>
              <w:rPr>
                <w:b/>
                <w:bCs/>
                <w:color w:val="000000"/>
                <w:sz w:val="22"/>
                <w:szCs w:val="22"/>
              </w:rPr>
            </w:pPr>
            <w:r w:rsidRPr="009C6249">
              <w:rPr>
                <w:b/>
                <w:bCs/>
                <w:color w:val="000000"/>
                <w:sz w:val="22"/>
                <w:szCs w:val="22"/>
              </w:rPr>
              <w:t>Peněžní toky z investiční činnosti (netto)</w:t>
            </w:r>
          </w:p>
        </w:tc>
        <w:tc>
          <w:tcPr>
            <w:tcW w:w="2036"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-1</w:t>
            </w:r>
            <w:r w:rsidR="00B0727A">
              <w:rPr>
                <w:b/>
                <w:bCs/>
                <w:color w:val="000000"/>
                <w:sz w:val="22"/>
                <w:szCs w:val="22"/>
              </w:rPr>
              <w:t xml:space="preserve"> </w:t>
            </w:r>
            <w:r w:rsidRPr="009C6249">
              <w:rPr>
                <w:b/>
                <w:bCs/>
                <w:color w:val="000000"/>
                <w:sz w:val="22"/>
                <w:szCs w:val="22"/>
              </w:rPr>
              <w:t>539</w:t>
            </w:r>
          </w:p>
        </w:tc>
        <w:tc>
          <w:tcPr>
            <w:tcW w:w="2036"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-1</w:t>
            </w:r>
            <w:r w:rsidR="00B0727A">
              <w:rPr>
                <w:b/>
                <w:bCs/>
                <w:color w:val="000000"/>
                <w:sz w:val="22"/>
                <w:szCs w:val="22"/>
              </w:rPr>
              <w:t xml:space="preserve"> </w:t>
            </w:r>
            <w:r w:rsidRPr="009C6249">
              <w:rPr>
                <w:b/>
                <w:bCs/>
                <w:color w:val="000000"/>
                <w:sz w:val="22"/>
                <w:szCs w:val="22"/>
              </w:rPr>
              <w:t>540</w:t>
            </w:r>
          </w:p>
        </w:tc>
      </w:tr>
      <w:tr w:rsidR="009C6249" w:rsidRPr="009C6249" w:rsidTr="009C6249">
        <w:trPr>
          <w:trHeight w:val="135"/>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b/>
                <w:bCs/>
                <w:i/>
                <w:iCs/>
                <w:color w:val="000000"/>
                <w:sz w:val="22"/>
                <w:szCs w:val="22"/>
              </w:rPr>
            </w:pPr>
            <w:r w:rsidRPr="009C6249">
              <w:rPr>
                <w:b/>
                <w:bCs/>
                <w:i/>
                <w:iCs/>
                <w:color w:val="000000"/>
                <w:sz w:val="22"/>
                <w:szCs w:val="22"/>
              </w:rPr>
              <w:t>Peněžní toky z finanční činnosti</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Růst/(pokles) bankovních úvěrů</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-7</w:t>
            </w:r>
            <w:r w:rsidR="00B0727A">
              <w:rPr>
                <w:color w:val="000000"/>
                <w:sz w:val="22"/>
                <w:szCs w:val="22"/>
              </w:rPr>
              <w:t xml:space="preserve"> </w:t>
            </w:r>
            <w:r w:rsidRPr="009C6249">
              <w:rPr>
                <w:color w:val="000000"/>
                <w:sz w:val="22"/>
                <w:szCs w:val="22"/>
              </w:rPr>
              <w:t>541</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-2</w:t>
            </w:r>
            <w:r w:rsidR="00B0727A">
              <w:rPr>
                <w:color w:val="000000"/>
                <w:sz w:val="22"/>
                <w:szCs w:val="22"/>
              </w:rPr>
              <w:t xml:space="preserve"> </w:t>
            </w:r>
            <w:r w:rsidRPr="009C6249">
              <w:rPr>
                <w:color w:val="000000"/>
                <w:sz w:val="22"/>
                <w:szCs w:val="22"/>
              </w:rPr>
              <w:t>445</w:t>
            </w: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Růst/(pokles) dlouhodobých závazků</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0</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w:t>
            </w:r>
            <w:r w:rsidR="00B0727A">
              <w:rPr>
                <w:color w:val="000000"/>
                <w:sz w:val="22"/>
                <w:szCs w:val="22"/>
              </w:rPr>
              <w:t xml:space="preserve"> </w:t>
            </w:r>
            <w:r w:rsidRPr="009C6249">
              <w:rPr>
                <w:color w:val="000000"/>
                <w:sz w:val="22"/>
                <w:szCs w:val="22"/>
              </w:rPr>
              <w:t>647</w:t>
            </w: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Ostatní změny v kapitálu</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0</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0</w:t>
            </w: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Distribuce dividendy</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0</w:t>
            </w:r>
          </w:p>
        </w:tc>
        <w:tc>
          <w:tcPr>
            <w:tcW w:w="2036" w:type="dxa"/>
            <w:tcBorders>
              <w:top w:val="nil"/>
              <w:left w:val="nil"/>
              <w:bottom w:val="nil"/>
              <w:right w:val="nil"/>
            </w:tcBorders>
            <w:shd w:val="clear" w:color="auto" w:fill="auto"/>
            <w:noWrap/>
            <w:vAlign w:val="bottom"/>
            <w:hideMark/>
          </w:tcPr>
          <w:p w:rsidR="009C6249" w:rsidRPr="009C6249" w:rsidRDefault="00087378" w:rsidP="009C6249">
            <w:pPr>
              <w:ind w:firstLineChars="100" w:firstLine="220"/>
              <w:jc w:val="right"/>
              <w:rPr>
                <w:color w:val="000000"/>
                <w:sz w:val="22"/>
                <w:szCs w:val="22"/>
              </w:rPr>
            </w:pPr>
            <w:r>
              <w:rPr>
                <w:color w:val="000000"/>
                <w:sz w:val="22"/>
                <w:szCs w:val="22"/>
              </w:rPr>
              <w:t>0</w:t>
            </w: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Zaplacené úroky</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-4</w:t>
            </w:r>
            <w:r w:rsidR="00B0727A">
              <w:rPr>
                <w:color w:val="000000"/>
                <w:sz w:val="22"/>
                <w:szCs w:val="22"/>
              </w:rPr>
              <w:t xml:space="preserve"> </w:t>
            </w:r>
            <w:r w:rsidRPr="009C6249">
              <w:rPr>
                <w:color w:val="000000"/>
                <w:sz w:val="22"/>
                <w:szCs w:val="22"/>
              </w:rPr>
              <w:t>073</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-3</w:t>
            </w:r>
            <w:r w:rsidR="00B0727A">
              <w:rPr>
                <w:color w:val="000000"/>
                <w:sz w:val="22"/>
                <w:szCs w:val="22"/>
              </w:rPr>
              <w:t xml:space="preserve"> </w:t>
            </w:r>
            <w:r w:rsidRPr="009C6249">
              <w:rPr>
                <w:color w:val="000000"/>
                <w:sz w:val="22"/>
                <w:szCs w:val="22"/>
              </w:rPr>
              <w:t>38</w:t>
            </w:r>
            <w:r w:rsidR="00087378">
              <w:rPr>
                <w:color w:val="000000"/>
                <w:sz w:val="22"/>
                <w:szCs w:val="22"/>
              </w:rPr>
              <w:t>8</w:t>
            </w:r>
          </w:p>
        </w:tc>
      </w:tr>
      <w:tr w:rsidR="009C6249" w:rsidRPr="009C6249" w:rsidTr="009C6249">
        <w:trPr>
          <w:trHeight w:val="276"/>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Ostatní finanční výnosy/(náklady)</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131</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-274</w:t>
            </w:r>
          </w:p>
        </w:tc>
      </w:tr>
      <w:tr w:rsidR="009C6249" w:rsidRPr="009C6249" w:rsidTr="009C6249">
        <w:trPr>
          <w:trHeight w:val="315"/>
        </w:trPr>
        <w:tc>
          <w:tcPr>
            <w:tcW w:w="4536" w:type="dxa"/>
            <w:tcBorders>
              <w:top w:val="nil"/>
              <w:left w:val="nil"/>
              <w:bottom w:val="nil"/>
              <w:right w:val="nil"/>
            </w:tcBorders>
            <w:shd w:val="clear" w:color="auto" w:fill="auto"/>
            <w:vAlign w:val="bottom"/>
            <w:hideMark/>
          </w:tcPr>
          <w:p w:rsidR="009C6249" w:rsidRPr="009C6249" w:rsidRDefault="009C6249">
            <w:pPr>
              <w:rPr>
                <w:b/>
                <w:bCs/>
                <w:color w:val="000000"/>
                <w:sz w:val="22"/>
                <w:szCs w:val="22"/>
              </w:rPr>
            </w:pPr>
            <w:r w:rsidRPr="009C6249">
              <w:rPr>
                <w:b/>
                <w:bCs/>
                <w:color w:val="000000"/>
                <w:sz w:val="22"/>
                <w:szCs w:val="22"/>
              </w:rPr>
              <w:t>Peněžní toky z finanční činnosti (netto)</w:t>
            </w:r>
          </w:p>
        </w:tc>
        <w:tc>
          <w:tcPr>
            <w:tcW w:w="2036" w:type="dxa"/>
            <w:tcBorders>
              <w:top w:val="single" w:sz="4"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-11</w:t>
            </w:r>
            <w:r w:rsidR="00B0727A">
              <w:rPr>
                <w:b/>
                <w:bCs/>
                <w:color w:val="000000"/>
                <w:sz w:val="22"/>
                <w:szCs w:val="22"/>
              </w:rPr>
              <w:t xml:space="preserve"> </w:t>
            </w:r>
            <w:r w:rsidRPr="009C6249">
              <w:rPr>
                <w:b/>
                <w:bCs/>
                <w:color w:val="000000"/>
                <w:sz w:val="22"/>
                <w:szCs w:val="22"/>
              </w:rPr>
              <w:t>483</w:t>
            </w:r>
          </w:p>
        </w:tc>
        <w:tc>
          <w:tcPr>
            <w:tcW w:w="2036" w:type="dxa"/>
            <w:tcBorders>
              <w:top w:val="single" w:sz="4" w:space="0" w:color="auto"/>
              <w:left w:val="nil"/>
              <w:bottom w:val="nil"/>
              <w:right w:val="nil"/>
            </w:tcBorders>
            <w:shd w:val="clear" w:color="auto" w:fill="auto"/>
            <w:noWrap/>
            <w:vAlign w:val="bottom"/>
            <w:hideMark/>
          </w:tcPr>
          <w:p w:rsidR="009C6249" w:rsidRPr="009C6249" w:rsidRDefault="00087378" w:rsidP="009C6249">
            <w:pPr>
              <w:ind w:firstLineChars="100" w:firstLine="221"/>
              <w:jc w:val="right"/>
              <w:rPr>
                <w:b/>
                <w:bCs/>
                <w:color w:val="000000"/>
                <w:sz w:val="22"/>
                <w:szCs w:val="22"/>
              </w:rPr>
            </w:pPr>
            <w:r>
              <w:rPr>
                <w:b/>
                <w:bCs/>
                <w:color w:val="000000"/>
                <w:sz w:val="22"/>
                <w:szCs w:val="22"/>
              </w:rPr>
              <w:t>-4 460</w:t>
            </w:r>
          </w:p>
        </w:tc>
      </w:tr>
      <w:tr w:rsidR="009C6249" w:rsidRPr="009C6249" w:rsidTr="009C6249">
        <w:trPr>
          <w:trHeight w:val="135"/>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552"/>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Peněžní prostředky a peněžní ekvivalenty na počátku účetního období</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13</w:t>
            </w:r>
            <w:r w:rsidR="00B0727A">
              <w:rPr>
                <w:color w:val="000000"/>
                <w:sz w:val="22"/>
                <w:szCs w:val="22"/>
              </w:rPr>
              <w:t xml:space="preserve"> </w:t>
            </w:r>
            <w:r w:rsidRPr="009C6249">
              <w:rPr>
                <w:color w:val="000000"/>
                <w:sz w:val="22"/>
                <w:szCs w:val="22"/>
              </w:rPr>
              <w:t>063</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8</w:t>
            </w:r>
            <w:r w:rsidR="00B0727A">
              <w:rPr>
                <w:color w:val="000000"/>
                <w:sz w:val="22"/>
                <w:szCs w:val="22"/>
              </w:rPr>
              <w:t xml:space="preserve"> </w:t>
            </w:r>
            <w:r w:rsidRPr="009C6249">
              <w:rPr>
                <w:color w:val="000000"/>
                <w:sz w:val="22"/>
                <w:szCs w:val="22"/>
              </w:rPr>
              <w:t>962</w:t>
            </w:r>
          </w:p>
        </w:tc>
      </w:tr>
      <w:tr w:rsidR="009C6249" w:rsidRPr="009C6249" w:rsidTr="009C6249">
        <w:trPr>
          <w:trHeight w:val="552"/>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r w:rsidRPr="009C6249">
              <w:rPr>
                <w:color w:val="000000"/>
                <w:sz w:val="22"/>
                <w:szCs w:val="22"/>
              </w:rPr>
              <w:t>Čistý přírůstek (úbytek) peněžních prostředků a peněžních ekvivalentů</w:t>
            </w: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r w:rsidRPr="009C6249">
              <w:rPr>
                <w:color w:val="000000"/>
                <w:sz w:val="22"/>
                <w:szCs w:val="22"/>
              </w:rPr>
              <w:t>-3</w:t>
            </w:r>
            <w:r w:rsidR="00B0727A">
              <w:rPr>
                <w:color w:val="000000"/>
                <w:sz w:val="22"/>
                <w:szCs w:val="22"/>
              </w:rPr>
              <w:t xml:space="preserve"> </w:t>
            </w:r>
            <w:r w:rsidRPr="009C6249">
              <w:rPr>
                <w:color w:val="000000"/>
                <w:sz w:val="22"/>
                <w:szCs w:val="22"/>
              </w:rPr>
              <w:t>400</w:t>
            </w:r>
          </w:p>
        </w:tc>
        <w:tc>
          <w:tcPr>
            <w:tcW w:w="2036" w:type="dxa"/>
            <w:tcBorders>
              <w:top w:val="nil"/>
              <w:left w:val="nil"/>
              <w:bottom w:val="nil"/>
              <w:right w:val="nil"/>
            </w:tcBorders>
            <w:shd w:val="clear" w:color="auto" w:fill="auto"/>
            <w:noWrap/>
            <w:vAlign w:val="bottom"/>
            <w:hideMark/>
          </w:tcPr>
          <w:p w:rsidR="009C6249" w:rsidRPr="009C6249" w:rsidRDefault="009C6249" w:rsidP="00087378">
            <w:pPr>
              <w:ind w:firstLineChars="100" w:firstLine="220"/>
              <w:jc w:val="right"/>
              <w:rPr>
                <w:color w:val="000000"/>
                <w:sz w:val="22"/>
                <w:szCs w:val="22"/>
              </w:rPr>
            </w:pPr>
            <w:r w:rsidRPr="009C6249">
              <w:rPr>
                <w:color w:val="000000"/>
                <w:sz w:val="22"/>
                <w:szCs w:val="22"/>
              </w:rPr>
              <w:t>26</w:t>
            </w:r>
            <w:r w:rsidR="00087378">
              <w:rPr>
                <w:color w:val="000000"/>
                <w:sz w:val="22"/>
                <w:szCs w:val="22"/>
              </w:rPr>
              <w:t>5</w:t>
            </w:r>
            <w:bookmarkStart w:id="106" w:name="_GoBack"/>
            <w:bookmarkEnd w:id="106"/>
          </w:p>
        </w:tc>
      </w:tr>
      <w:tr w:rsidR="009C6249" w:rsidRPr="009C6249" w:rsidTr="009C6249">
        <w:trPr>
          <w:trHeight w:val="135"/>
        </w:trPr>
        <w:tc>
          <w:tcPr>
            <w:tcW w:w="4536" w:type="dxa"/>
            <w:tcBorders>
              <w:top w:val="nil"/>
              <w:left w:val="nil"/>
              <w:bottom w:val="nil"/>
              <w:right w:val="nil"/>
            </w:tcBorders>
            <w:shd w:val="clear" w:color="auto" w:fill="auto"/>
            <w:vAlign w:val="bottom"/>
            <w:hideMark/>
          </w:tcPr>
          <w:p w:rsidR="009C6249" w:rsidRPr="009C6249" w:rsidRDefault="009C6249">
            <w:pPr>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c>
          <w:tcPr>
            <w:tcW w:w="2036" w:type="dxa"/>
            <w:tcBorders>
              <w:top w:val="nil"/>
              <w:left w:val="nil"/>
              <w:bottom w:val="nil"/>
              <w:right w:val="nil"/>
            </w:tcBorders>
            <w:shd w:val="clear" w:color="auto" w:fill="auto"/>
            <w:noWrap/>
            <w:vAlign w:val="bottom"/>
            <w:hideMark/>
          </w:tcPr>
          <w:p w:rsidR="009C6249" w:rsidRPr="009C6249" w:rsidRDefault="009C6249" w:rsidP="009C6249">
            <w:pPr>
              <w:ind w:firstLineChars="100" w:firstLine="220"/>
              <w:jc w:val="right"/>
              <w:rPr>
                <w:color w:val="000000"/>
                <w:sz w:val="22"/>
                <w:szCs w:val="22"/>
              </w:rPr>
            </w:pPr>
          </w:p>
        </w:tc>
      </w:tr>
      <w:tr w:rsidR="009C6249" w:rsidRPr="009C6249" w:rsidTr="009C6249">
        <w:trPr>
          <w:trHeight w:val="840"/>
        </w:trPr>
        <w:tc>
          <w:tcPr>
            <w:tcW w:w="4536" w:type="dxa"/>
            <w:tcBorders>
              <w:top w:val="nil"/>
              <w:left w:val="nil"/>
              <w:bottom w:val="nil"/>
              <w:right w:val="nil"/>
            </w:tcBorders>
            <w:shd w:val="clear" w:color="auto" w:fill="auto"/>
            <w:vAlign w:val="bottom"/>
            <w:hideMark/>
          </w:tcPr>
          <w:p w:rsidR="009C6249" w:rsidRPr="009C6249" w:rsidRDefault="009C6249" w:rsidP="004570CE">
            <w:pPr>
              <w:rPr>
                <w:b/>
                <w:bCs/>
                <w:color w:val="000000"/>
                <w:sz w:val="22"/>
                <w:szCs w:val="22"/>
              </w:rPr>
            </w:pPr>
            <w:r w:rsidRPr="009C6249">
              <w:rPr>
                <w:b/>
                <w:bCs/>
                <w:color w:val="000000"/>
                <w:sz w:val="22"/>
                <w:szCs w:val="22"/>
              </w:rPr>
              <w:t>Peněžní prostředky a peněžní ekvivalenty</w:t>
            </w:r>
            <w:r w:rsidRPr="009C6249">
              <w:rPr>
                <w:b/>
                <w:bCs/>
                <w:color w:val="000000"/>
                <w:sz w:val="22"/>
                <w:szCs w:val="22"/>
              </w:rPr>
              <w:br/>
            </w:r>
            <w:r w:rsidR="004570CE">
              <w:rPr>
                <w:b/>
                <w:bCs/>
                <w:color w:val="000000"/>
                <w:sz w:val="22"/>
                <w:szCs w:val="22"/>
              </w:rPr>
              <w:t>na konci účetního období</w:t>
            </w:r>
          </w:p>
        </w:tc>
        <w:tc>
          <w:tcPr>
            <w:tcW w:w="2036" w:type="dxa"/>
            <w:tcBorders>
              <w:top w:val="double" w:sz="6"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9</w:t>
            </w:r>
            <w:r w:rsidR="00B0727A">
              <w:rPr>
                <w:b/>
                <w:bCs/>
                <w:color w:val="000000"/>
                <w:sz w:val="22"/>
                <w:szCs w:val="22"/>
              </w:rPr>
              <w:t xml:space="preserve"> </w:t>
            </w:r>
            <w:r w:rsidRPr="009C6249">
              <w:rPr>
                <w:b/>
                <w:bCs/>
                <w:color w:val="000000"/>
                <w:sz w:val="22"/>
                <w:szCs w:val="22"/>
              </w:rPr>
              <w:t>663</w:t>
            </w:r>
          </w:p>
        </w:tc>
        <w:tc>
          <w:tcPr>
            <w:tcW w:w="2036" w:type="dxa"/>
            <w:tcBorders>
              <w:top w:val="double" w:sz="6" w:space="0" w:color="auto"/>
              <w:left w:val="nil"/>
              <w:bottom w:val="nil"/>
              <w:right w:val="nil"/>
            </w:tcBorders>
            <w:shd w:val="clear" w:color="auto" w:fill="auto"/>
            <w:noWrap/>
            <w:vAlign w:val="bottom"/>
            <w:hideMark/>
          </w:tcPr>
          <w:p w:rsidR="009C6249" w:rsidRPr="009C6249" w:rsidRDefault="009C6249" w:rsidP="009C6249">
            <w:pPr>
              <w:ind w:firstLineChars="100" w:firstLine="221"/>
              <w:jc w:val="right"/>
              <w:rPr>
                <w:b/>
                <w:bCs/>
                <w:color w:val="000000"/>
                <w:sz w:val="22"/>
                <w:szCs w:val="22"/>
              </w:rPr>
            </w:pPr>
            <w:r w:rsidRPr="009C6249">
              <w:rPr>
                <w:b/>
                <w:bCs/>
                <w:color w:val="000000"/>
                <w:sz w:val="22"/>
                <w:szCs w:val="22"/>
              </w:rPr>
              <w:t>9</w:t>
            </w:r>
            <w:r w:rsidR="00B0727A">
              <w:rPr>
                <w:b/>
                <w:bCs/>
                <w:color w:val="000000"/>
                <w:sz w:val="22"/>
                <w:szCs w:val="22"/>
              </w:rPr>
              <w:t xml:space="preserve"> </w:t>
            </w:r>
            <w:r w:rsidRPr="009C6249">
              <w:rPr>
                <w:b/>
                <w:bCs/>
                <w:color w:val="000000"/>
                <w:sz w:val="22"/>
                <w:szCs w:val="22"/>
              </w:rPr>
              <w:t>227</w:t>
            </w:r>
          </w:p>
        </w:tc>
      </w:tr>
    </w:tbl>
    <w:p w:rsidR="00CC1601" w:rsidRPr="007A542A" w:rsidRDefault="00CC1601" w:rsidP="00CC1601">
      <w:pPr>
        <w:widowControl w:val="0"/>
      </w:pPr>
    </w:p>
    <w:p w:rsidR="00CC1601" w:rsidRPr="007A542A" w:rsidRDefault="00CC1601" w:rsidP="00CC1601">
      <w:pPr>
        <w:widowControl w:val="0"/>
      </w:pPr>
    </w:p>
    <w:p w:rsidR="00CC1601" w:rsidRPr="007A542A" w:rsidRDefault="00CC1601" w:rsidP="00CC1601">
      <w:pPr>
        <w:widowControl w:val="0"/>
      </w:pPr>
    </w:p>
    <w:p w:rsidR="00CC1601" w:rsidRPr="004C0BC1" w:rsidRDefault="00CC1601" w:rsidP="00CC1601">
      <w:pPr>
        <w:pStyle w:val="Heading2"/>
        <w:rPr>
          <w:rFonts w:ascii="Times New Roman" w:hAnsi="Times New Roman" w:cs="Times New Roman"/>
        </w:rPr>
      </w:pPr>
      <w:bookmarkStart w:id="107" w:name="_Toc269295563"/>
      <w:bookmarkStart w:id="108" w:name="_Toc269907502"/>
      <w:bookmarkStart w:id="109" w:name="_Toc427918124"/>
      <w:r w:rsidRPr="004C0BC1">
        <w:rPr>
          <w:rFonts w:ascii="Times New Roman" w:hAnsi="Times New Roman" w:cs="Times New Roman"/>
        </w:rPr>
        <w:lastRenderedPageBreak/>
        <w:t>Konsolidovaný přehled o změnách vlastního kapitálu v prvních šesti měsících k 30. červnu 201</w:t>
      </w:r>
      <w:r w:rsidR="0043406F" w:rsidRPr="004C0BC1">
        <w:rPr>
          <w:rFonts w:ascii="Times New Roman" w:hAnsi="Times New Roman" w:cs="Times New Roman"/>
        </w:rPr>
        <w:t>5</w:t>
      </w:r>
      <w:r w:rsidRPr="004C0BC1">
        <w:rPr>
          <w:rFonts w:ascii="Times New Roman" w:hAnsi="Times New Roman" w:cs="Times New Roman"/>
        </w:rPr>
        <w:t xml:space="preserve"> a k  30. červnu 201</w:t>
      </w:r>
      <w:r w:rsidR="0043406F" w:rsidRPr="004C0BC1">
        <w:rPr>
          <w:rFonts w:ascii="Times New Roman" w:hAnsi="Times New Roman" w:cs="Times New Roman"/>
        </w:rPr>
        <w:t>4</w:t>
      </w:r>
      <w:r w:rsidRPr="004C0BC1">
        <w:rPr>
          <w:rFonts w:ascii="Times New Roman" w:hAnsi="Times New Roman" w:cs="Times New Roman"/>
        </w:rPr>
        <w:t xml:space="preserve"> ve zkrácené podobě</w:t>
      </w:r>
      <w:bookmarkEnd w:id="107"/>
      <w:bookmarkEnd w:id="108"/>
      <w:bookmarkEnd w:id="109"/>
    </w:p>
    <w:p w:rsidR="00CC1601" w:rsidRPr="007A542A" w:rsidRDefault="00CC1601" w:rsidP="00CC1601">
      <w:pPr>
        <w:autoSpaceDE w:val="0"/>
        <w:autoSpaceDN w:val="0"/>
        <w:adjustRightInd w:val="0"/>
        <w:spacing w:line="240" w:lineRule="atLeast"/>
        <w:jc w:val="both"/>
        <w:rPr>
          <w:color w:val="000000"/>
        </w:rPr>
      </w:pPr>
      <w:r w:rsidRPr="007A542A">
        <w:t xml:space="preserve">Neauditované výkazy připravené v souladu s </w:t>
      </w:r>
      <w:r w:rsidRPr="007A542A">
        <w:rPr>
          <w:color w:val="000000"/>
        </w:rPr>
        <w:t>Mezinárodními standardy účetního výkaznictví (IFRS) a Mezinárodními účetními standardy IAS 34 ve znění přijatém Evropskou unií</w:t>
      </w:r>
    </w:p>
    <w:p w:rsidR="00CC1601" w:rsidRPr="007A542A" w:rsidRDefault="00CC1601" w:rsidP="00CC1601">
      <w:pPr>
        <w:widowControl w:val="0"/>
      </w:pPr>
      <w:r w:rsidRPr="007A542A">
        <w:t>(v tisících EUR)</w:t>
      </w:r>
    </w:p>
    <w:p w:rsidR="00CC1601" w:rsidRPr="007A542A" w:rsidRDefault="00CC1601" w:rsidP="00CC1601">
      <w:pPr>
        <w:widowControl w:val="0"/>
      </w:pPr>
    </w:p>
    <w:tbl>
      <w:tblPr>
        <w:tblW w:w="5000" w:type="pct"/>
        <w:tblBorders>
          <w:bottom w:val="double" w:sz="4" w:space="0" w:color="auto"/>
        </w:tblBorders>
        <w:tblLayout w:type="fixed"/>
        <w:tblCellMar>
          <w:left w:w="0" w:type="dxa"/>
          <w:right w:w="0" w:type="dxa"/>
        </w:tblCellMar>
        <w:tblLook w:val="0000" w:firstRow="0" w:lastRow="0" w:firstColumn="0" w:lastColumn="0" w:noHBand="0" w:noVBand="0"/>
      </w:tblPr>
      <w:tblGrid>
        <w:gridCol w:w="1546"/>
        <w:gridCol w:w="985"/>
        <w:gridCol w:w="1123"/>
        <w:gridCol w:w="1381"/>
        <w:gridCol w:w="1123"/>
        <w:gridCol w:w="1134"/>
        <w:gridCol w:w="1780"/>
      </w:tblGrid>
      <w:tr w:rsidR="00C74E9F" w:rsidRPr="007A542A" w:rsidTr="0062786B">
        <w:trPr>
          <w:trHeight w:val="255"/>
        </w:trPr>
        <w:tc>
          <w:tcPr>
            <w:tcW w:w="852" w:type="pct"/>
            <w:tcBorders>
              <w:bottom w:val="nil"/>
            </w:tcBorders>
            <w:shd w:val="clear" w:color="auto" w:fill="auto"/>
            <w:noWrap/>
            <w:vAlign w:val="center"/>
          </w:tcPr>
          <w:p w:rsidR="00C74E9F" w:rsidRPr="007A542A" w:rsidRDefault="00C74E9F" w:rsidP="00E2084F">
            <w:pPr>
              <w:rPr>
                <w:sz w:val="18"/>
                <w:szCs w:val="18"/>
              </w:rPr>
            </w:pPr>
          </w:p>
        </w:tc>
        <w:tc>
          <w:tcPr>
            <w:tcW w:w="543" w:type="pct"/>
            <w:tcBorders>
              <w:bottom w:val="nil"/>
            </w:tcBorders>
            <w:shd w:val="clear" w:color="auto" w:fill="auto"/>
            <w:noWrap/>
            <w:vAlign w:val="center"/>
          </w:tcPr>
          <w:p w:rsidR="00C74E9F" w:rsidRPr="007A542A" w:rsidRDefault="00C74E9F" w:rsidP="006D3AE4">
            <w:pPr>
              <w:jc w:val="right"/>
              <w:rPr>
                <w:sz w:val="18"/>
                <w:szCs w:val="18"/>
              </w:rPr>
            </w:pPr>
            <w:r w:rsidRPr="007A542A">
              <w:rPr>
                <w:sz w:val="18"/>
                <w:szCs w:val="18"/>
              </w:rPr>
              <w:t>Základní kapitál</w:t>
            </w:r>
          </w:p>
        </w:tc>
        <w:tc>
          <w:tcPr>
            <w:tcW w:w="619" w:type="pct"/>
            <w:tcBorders>
              <w:bottom w:val="nil"/>
            </w:tcBorders>
            <w:vAlign w:val="center"/>
          </w:tcPr>
          <w:p w:rsidR="00C74E9F" w:rsidRPr="007A542A" w:rsidRDefault="00C74E9F" w:rsidP="006D3AE4">
            <w:pPr>
              <w:jc w:val="right"/>
              <w:rPr>
                <w:sz w:val="18"/>
                <w:szCs w:val="18"/>
              </w:rPr>
            </w:pPr>
            <w:r w:rsidRPr="007A542A">
              <w:rPr>
                <w:sz w:val="18"/>
                <w:szCs w:val="18"/>
              </w:rPr>
              <w:t>Zákonný rezervní fond</w:t>
            </w:r>
          </w:p>
        </w:tc>
        <w:tc>
          <w:tcPr>
            <w:tcW w:w="761" w:type="pct"/>
            <w:tcBorders>
              <w:bottom w:val="nil"/>
            </w:tcBorders>
            <w:vAlign w:val="center"/>
          </w:tcPr>
          <w:p w:rsidR="00C74E9F" w:rsidRPr="007A542A" w:rsidRDefault="00C74E9F" w:rsidP="006D3AE4">
            <w:pPr>
              <w:jc w:val="right"/>
              <w:rPr>
                <w:sz w:val="18"/>
                <w:szCs w:val="18"/>
              </w:rPr>
            </w:pPr>
            <w:r w:rsidRPr="007A542A">
              <w:rPr>
                <w:color w:val="000000"/>
                <w:sz w:val="18"/>
                <w:szCs w:val="18"/>
              </w:rPr>
              <w:t>Ostatní změny ve vlastním kap.</w:t>
            </w:r>
          </w:p>
        </w:tc>
        <w:tc>
          <w:tcPr>
            <w:tcW w:w="619" w:type="pct"/>
            <w:tcBorders>
              <w:bottom w:val="nil"/>
            </w:tcBorders>
            <w:shd w:val="clear" w:color="auto" w:fill="auto"/>
            <w:noWrap/>
            <w:vAlign w:val="center"/>
          </w:tcPr>
          <w:p w:rsidR="00C74E9F" w:rsidRPr="007A542A" w:rsidRDefault="00C74E9F" w:rsidP="006D3AE4">
            <w:pPr>
              <w:jc w:val="right"/>
              <w:rPr>
                <w:sz w:val="18"/>
                <w:szCs w:val="18"/>
              </w:rPr>
            </w:pPr>
            <w:r w:rsidRPr="007A542A">
              <w:rPr>
                <w:sz w:val="18"/>
                <w:szCs w:val="18"/>
              </w:rPr>
              <w:t>Rozdíly z přepočtu</w:t>
            </w:r>
          </w:p>
        </w:tc>
        <w:tc>
          <w:tcPr>
            <w:tcW w:w="625" w:type="pct"/>
            <w:tcBorders>
              <w:bottom w:val="nil"/>
            </w:tcBorders>
            <w:shd w:val="clear" w:color="auto" w:fill="auto"/>
            <w:noWrap/>
            <w:vAlign w:val="center"/>
          </w:tcPr>
          <w:p w:rsidR="00C74E9F" w:rsidRPr="007A542A" w:rsidRDefault="00C74E9F" w:rsidP="006D3AE4">
            <w:pPr>
              <w:jc w:val="right"/>
              <w:rPr>
                <w:sz w:val="18"/>
                <w:szCs w:val="18"/>
              </w:rPr>
            </w:pPr>
            <w:r w:rsidRPr="007A542A">
              <w:rPr>
                <w:sz w:val="18"/>
                <w:szCs w:val="18"/>
              </w:rPr>
              <w:t>Nerozdělený zisk</w:t>
            </w:r>
          </w:p>
        </w:tc>
        <w:tc>
          <w:tcPr>
            <w:tcW w:w="981" w:type="pct"/>
            <w:tcBorders>
              <w:bottom w:val="nil"/>
            </w:tcBorders>
            <w:vAlign w:val="center"/>
          </w:tcPr>
          <w:p w:rsidR="00C74E9F" w:rsidRPr="007A542A" w:rsidRDefault="00C74E9F" w:rsidP="006D3AE4">
            <w:pPr>
              <w:jc w:val="right"/>
              <w:rPr>
                <w:b/>
                <w:sz w:val="18"/>
                <w:szCs w:val="18"/>
              </w:rPr>
            </w:pPr>
            <w:r w:rsidRPr="007A542A">
              <w:rPr>
                <w:b/>
                <w:sz w:val="18"/>
                <w:szCs w:val="18"/>
              </w:rPr>
              <w:t>Celkový vlastní kapitál přiřaditelný akcionářům Společnosti</w:t>
            </w:r>
          </w:p>
        </w:tc>
      </w:tr>
      <w:tr w:rsidR="00C74E9F" w:rsidRPr="007A542A" w:rsidTr="0062786B">
        <w:trPr>
          <w:trHeight w:hRule="exact" w:val="119"/>
        </w:trPr>
        <w:tc>
          <w:tcPr>
            <w:tcW w:w="852" w:type="pct"/>
            <w:tcBorders>
              <w:bottom w:val="single" w:sz="4" w:space="0" w:color="auto"/>
            </w:tcBorders>
            <w:shd w:val="clear" w:color="auto" w:fill="auto"/>
            <w:noWrap/>
            <w:vAlign w:val="center"/>
          </w:tcPr>
          <w:p w:rsidR="00C74E9F" w:rsidRPr="007A542A" w:rsidRDefault="00C74E9F" w:rsidP="00E2084F">
            <w:pPr>
              <w:rPr>
                <w:b/>
                <w:bCs/>
                <w:sz w:val="18"/>
                <w:szCs w:val="18"/>
              </w:rPr>
            </w:pPr>
          </w:p>
        </w:tc>
        <w:tc>
          <w:tcPr>
            <w:tcW w:w="543" w:type="pct"/>
            <w:tcBorders>
              <w:bottom w:val="single" w:sz="4" w:space="0" w:color="auto"/>
            </w:tcBorders>
            <w:shd w:val="clear" w:color="auto" w:fill="auto"/>
            <w:noWrap/>
            <w:vAlign w:val="center"/>
          </w:tcPr>
          <w:p w:rsidR="00C74E9F" w:rsidRPr="007A542A" w:rsidRDefault="00C74E9F" w:rsidP="006D3AE4">
            <w:pPr>
              <w:ind w:right="96"/>
              <w:jc w:val="right"/>
              <w:rPr>
                <w:b/>
                <w:bCs/>
                <w:sz w:val="18"/>
                <w:szCs w:val="18"/>
              </w:rPr>
            </w:pPr>
          </w:p>
        </w:tc>
        <w:tc>
          <w:tcPr>
            <w:tcW w:w="619" w:type="pct"/>
            <w:tcBorders>
              <w:bottom w:val="single" w:sz="4" w:space="0" w:color="auto"/>
            </w:tcBorders>
            <w:vAlign w:val="center"/>
          </w:tcPr>
          <w:p w:rsidR="00C74E9F" w:rsidRPr="007A542A" w:rsidRDefault="00C74E9F" w:rsidP="006D3AE4">
            <w:pPr>
              <w:ind w:right="96"/>
              <w:jc w:val="right"/>
              <w:rPr>
                <w:b/>
                <w:bCs/>
                <w:sz w:val="18"/>
                <w:szCs w:val="18"/>
              </w:rPr>
            </w:pPr>
          </w:p>
        </w:tc>
        <w:tc>
          <w:tcPr>
            <w:tcW w:w="761" w:type="pct"/>
            <w:tcBorders>
              <w:bottom w:val="single" w:sz="4" w:space="0" w:color="auto"/>
            </w:tcBorders>
            <w:vAlign w:val="center"/>
          </w:tcPr>
          <w:p w:rsidR="00C74E9F" w:rsidRPr="007A542A" w:rsidRDefault="00C74E9F" w:rsidP="006D3AE4">
            <w:pPr>
              <w:ind w:right="96"/>
              <w:jc w:val="right"/>
              <w:rPr>
                <w:b/>
                <w:bCs/>
                <w:sz w:val="18"/>
                <w:szCs w:val="18"/>
              </w:rPr>
            </w:pPr>
          </w:p>
        </w:tc>
        <w:tc>
          <w:tcPr>
            <w:tcW w:w="619" w:type="pct"/>
            <w:tcBorders>
              <w:bottom w:val="single" w:sz="4" w:space="0" w:color="auto"/>
            </w:tcBorders>
            <w:shd w:val="clear" w:color="auto" w:fill="auto"/>
            <w:noWrap/>
            <w:vAlign w:val="center"/>
          </w:tcPr>
          <w:p w:rsidR="00C74E9F" w:rsidRPr="007A542A" w:rsidRDefault="00C74E9F" w:rsidP="006D3AE4">
            <w:pPr>
              <w:ind w:right="96"/>
              <w:jc w:val="right"/>
              <w:rPr>
                <w:b/>
                <w:bCs/>
                <w:sz w:val="18"/>
                <w:szCs w:val="18"/>
              </w:rPr>
            </w:pPr>
          </w:p>
        </w:tc>
        <w:tc>
          <w:tcPr>
            <w:tcW w:w="625" w:type="pct"/>
            <w:tcBorders>
              <w:bottom w:val="single" w:sz="4" w:space="0" w:color="auto"/>
            </w:tcBorders>
            <w:shd w:val="clear" w:color="auto" w:fill="auto"/>
            <w:noWrap/>
            <w:vAlign w:val="center"/>
          </w:tcPr>
          <w:p w:rsidR="00C74E9F" w:rsidRPr="007A542A" w:rsidRDefault="00C74E9F" w:rsidP="006D3AE4">
            <w:pPr>
              <w:ind w:right="96"/>
              <w:jc w:val="right"/>
              <w:rPr>
                <w:b/>
                <w:bCs/>
                <w:sz w:val="18"/>
                <w:szCs w:val="18"/>
              </w:rPr>
            </w:pPr>
          </w:p>
        </w:tc>
        <w:tc>
          <w:tcPr>
            <w:tcW w:w="981" w:type="pct"/>
            <w:tcBorders>
              <w:bottom w:val="single" w:sz="4" w:space="0" w:color="auto"/>
            </w:tcBorders>
            <w:vAlign w:val="center"/>
          </w:tcPr>
          <w:p w:rsidR="00C74E9F" w:rsidRPr="007A542A" w:rsidRDefault="00C74E9F" w:rsidP="006D3AE4">
            <w:pPr>
              <w:ind w:right="94"/>
              <w:jc w:val="right"/>
              <w:rPr>
                <w:b/>
                <w:bCs/>
                <w:sz w:val="18"/>
                <w:szCs w:val="18"/>
              </w:rPr>
            </w:pPr>
          </w:p>
        </w:tc>
      </w:tr>
      <w:tr w:rsidR="00C74E9F" w:rsidRPr="007A542A" w:rsidTr="0062786B">
        <w:trPr>
          <w:trHeight w:val="118"/>
        </w:trPr>
        <w:tc>
          <w:tcPr>
            <w:tcW w:w="852" w:type="pct"/>
            <w:tcBorders>
              <w:top w:val="single" w:sz="4" w:space="0" w:color="auto"/>
              <w:bottom w:val="nil"/>
            </w:tcBorders>
            <w:shd w:val="clear" w:color="auto" w:fill="auto"/>
            <w:noWrap/>
            <w:vAlign w:val="center"/>
          </w:tcPr>
          <w:p w:rsidR="00C74E9F" w:rsidRPr="007A542A" w:rsidRDefault="00C74E9F" w:rsidP="00E2084F">
            <w:pPr>
              <w:rPr>
                <w:b/>
                <w:bCs/>
                <w:sz w:val="18"/>
                <w:szCs w:val="18"/>
              </w:rPr>
            </w:pPr>
          </w:p>
        </w:tc>
        <w:tc>
          <w:tcPr>
            <w:tcW w:w="543" w:type="pct"/>
            <w:tcBorders>
              <w:top w:val="single" w:sz="4" w:space="0" w:color="auto"/>
              <w:bottom w:val="nil"/>
            </w:tcBorders>
            <w:shd w:val="clear" w:color="auto" w:fill="auto"/>
            <w:noWrap/>
            <w:vAlign w:val="center"/>
          </w:tcPr>
          <w:p w:rsidR="00C74E9F" w:rsidRPr="007A542A" w:rsidRDefault="00C74E9F" w:rsidP="006D3AE4">
            <w:pPr>
              <w:ind w:right="96"/>
              <w:jc w:val="right"/>
              <w:rPr>
                <w:b/>
                <w:bCs/>
                <w:sz w:val="18"/>
                <w:szCs w:val="18"/>
              </w:rPr>
            </w:pPr>
          </w:p>
        </w:tc>
        <w:tc>
          <w:tcPr>
            <w:tcW w:w="619" w:type="pct"/>
            <w:tcBorders>
              <w:top w:val="single" w:sz="4" w:space="0" w:color="auto"/>
              <w:bottom w:val="nil"/>
            </w:tcBorders>
            <w:vAlign w:val="center"/>
          </w:tcPr>
          <w:p w:rsidR="00C74E9F" w:rsidRPr="007A542A" w:rsidRDefault="00C74E9F" w:rsidP="006D3AE4">
            <w:pPr>
              <w:ind w:right="96"/>
              <w:jc w:val="right"/>
              <w:rPr>
                <w:b/>
                <w:bCs/>
                <w:sz w:val="18"/>
                <w:szCs w:val="18"/>
              </w:rPr>
            </w:pPr>
          </w:p>
        </w:tc>
        <w:tc>
          <w:tcPr>
            <w:tcW w:w="761" w:type="pct"/>
            <w:tcBorders>
              <w:top w:val="single" w:sz="4" w:space="0" w:color="auto"/>
              <w:bottom w:val="nil"/>
            </w:tcBorders>
            <w:vAlign w:val="center"/>
          </w:tcPr>
          <w:p w:rsidR="00C74E9F" w:rsidRPr="007A542A" w:rsidRDefault="00C74E9F" w:rsidP="006D3AE4">
            <w:pPr>
              <w:ind w:right="96"/>
              <w:jc w:val="right"/>
              <w:rPr>
                <w:b/>
                <w:bCs/>
                <w:sz w:val="18"/>
                <w:szCs w:val="18"/>
              </w:rPr>
            </w:pPr>
          </w:p>
        </w:tc>
        <w:tc>
          <w:tcPr>
            <w:tcW w:w="619" w:type="pct"/>
            <w:tcBorders>
              <w:top w:val="single" w:sz="4" w:space="0" w:color="auto"/>
              <w:bottom w:val="nil"/>
            </w:tcBorders>
            <w:shd w:val="clear" w:color="auto" w:fill="auto"/>
            <w:noWrap/>
            <w:vAlign w:val="center"/>
          </w:tcPr>
          <w:p w:rsidR="00C74E9F" w:rsidRPr="007A542A" w:rsidRDefault="00C74E9F" w:rsidP="006D3AE4">
            <w:pPr>
              <w:ind w:right="96"/>
              <w:jc w:val="right"/>
              <w:rPr>
                <w:b/>
                <w:bCs/>
                <w:sz w:val="18"/>
                <w:szCs w:val="18"/>
              </w:rPr>
            </w:pPr>
          </w:p>
        </w:tc>
        <w:tc>
          <w:tcPr>
            <w:tcW w:w="625" w:type="pct"/>
            <w:tcBorders>
              <w:top w:val="single" w:sz="4" w:space="0" w:color="auto"/>
              <w:bottom w:val="nil"/>
            </w:tcBorders>
            <w:shd w:val="clear" w:color="auto" w:fill="auto"/>
            <w:noWrap/>
            <w:vAlign w:val="center"/>
          </w:tcPr>
          <w:p w:rsidR="00C74E9F" w:rsidRPr="007A542A" w:rsidRDefault="00C74E9F" w:rsidP="006D3AE4">
            <w:pPr>
              <w:ind w:right="96"/>
              <w:jc w:val="right"/>
              <w:rPr>
                <w:b/>
                <w:bCs/>
                <w:sz w:val="18"/>
                <w:szCs w:val="18"/>
              </w:rPr>
            </w:pPr>
          </w:p>
        </w:tc>
        <w:tc>
          <w:tcPr>
            <w:tcW w:w="981" w:type="pct"/>
            <w:tcBorders>
              <w:top w:val="single" w:sz="4" w:space="0" w:color="auto"/>
              <w:bottom w:val="nil"/>
            </w:tcBorders>
            <w:vAlign w:val="center"/>
          </w:tcPr>
          <w:p w:rsidR="00C74E9F" w:rsidRPr="007A542A" w:rsidRDefault="00C74E9F" w:rsidP="006D3AE4">
            <w:pPr>
              <w:ind w:right="94"/>
              <w:jc w:val="right"/>
              <w:rPr>
                <w:b/>
                <w:bCs/>
                <w:sz w:val="18"/>
                <w:szCs w:val="18"/>
              </w:rPr>
            </w:pPr>
          </w:p>
        </w:tc>
      </w:tr>
      <w:tr w:rsidR="005C2DAB" w:rsidRPr="007A542A" w:rsidTr="0062786B">
        <w:trPr>
          <w:trHeight w:val="118"/>
        </w:trPr>
        <w:tc>
          <w:tcPr>
            <w:tcW w:w="852" w:type="pct"/>
            <w:tcBorders>
              <w:top w:val="nil"/>
              <w:bottom w:val="nil"/>
            </w:tcBorders>
            <w:shd w:val="clear" w:color="auto" w:fill="auto"/>
            <w:noWrap/>
            <w:vAlign w:val="center"/>
          </w:tcPr>
          <w:p w:rsidR="005C2DAB" w:rsidRPr="007A542A" w:rsidRDefault="005C2DAB" w:rsidP="00E2084F">
            <w:pPr>
              <w:rPr>
                <w:sz w:val="18"/>
                <w:szCs w:val="18"/>
              </w:rPr>
            </w:pPr>
            <w:r w:rsidRPr="007A542A">
              <w:rPr>
                <w:b/>
                <w:bCs/>
                <w:sz w:val="18"/>
                <w:szCs w:val="18"/>
              </w:rPr>
              <w:t>k 1. lednu 2014</w:t>
            </w:r>
          </w:p>
        </w:tc>
        <w:tc>
          <w:tcPr>
            <w:tcW w:w="543" w:type="pct"/>
            <w:tcBorders>
              <w:top w:val="nil"/>
              <w:bottom w:val="nil"/>
            </w:tcBorders>
            <w:shd w:val="clear" w:color="auto" w:fill="auto"/>
            <w:noWrap/>
            <w:vAlign w:val="center"/>
          </w:tcPr>
          <w:p w:rsidR="005C2DAB" w:rsidRPr="007A542A" w:rsidRDefault="005C2DAB" w:rsidP="00EE2FD0">
            <w:pPr>
              <w:ind w:right="96"/>
              <w:jc w:val="right"/>
              <w:rPr>
                <w:iCs/>
                <w:sz w:val="18"/>
                <w:szCs w:val="18"/>
              </w:rPr>
            </w:pPr>
            <w:r w:rsidRPr="007A542A">
              <w:rPr>
                <w:b/>
                <w:bCs/>
                <w:sz w:val="18"/>
                <w:szCs w:val="18"/>
              </w:rPr>
              <w:t>11 444</w:t>
            </w:r>
          </w:p>
        </w:tc>
        <w:tc>
          <w:tcPr>
            <w:tcW w:w="619" w:type="pct"/>
            <w:tcBorders>
              <w:top w:val="nil"/>
              <w:bottom w:val="nil"/>
            </w:tcBorders>
            <w:vAlign w:val="center"/>
          </w:tcPr>
          <w:p w:rsidR="005C2DAB" w:rsidRPr="007A542A" w:rsidRDefault="005C2DAB" w:rsidP="00EE2FD0">
            <w:pPr>
              <w:ind w:right="96"/>
              <w:jc w:val="right"/>
              <w:rPr>
                <w:b/>
                <w:iCs/>
                <w:sz w:val="18"/>
                <w:szCs w:val="18"/>
              </w:rPr>
            </w:pPr>
            <w:r w:rsidRPr="007A542A">
              <w:rPr>
                <w:b/>
                <w:iCs/>
                <w:sz w:val="18"/>
                <w:szCs w:val="18"/>
              </w:rPr>
              <w:t>8 733</w:t>
            </w:r>
          </w:p>
        </w:tc>
        <w:tc>
          <w:tcPr>
            <w:tcW w:w="761" w:type="pct"/>
            <w:tcBorders>
              <w:top w:val="nil"/>
              <w:bottom w:val="nil"/>
            </w:tcBorders>
            <w:vAlign w:val="center"/>
          </w:tcPr>
          <w:p w:rsidR="005C2DAB" w:rsidRPr="007A542A" w:rsidRDefault="005C2DAB" w:rsidP="00EE2FD0">
            <w:pPr>
              <w:ind w:right="96"/>
              <w:jc w:val="right"/>
              <w:rPr>
                <w:b/>
                <w:iCs/>
                <w:sz w:val="18"/>
                <w:szCs w:val="18"/>
              </w:rPr>
            </w:pPr>
            <w:r w:rsidRPr="007A542A">
              <w:rPr>
                <w:b/>
                <w:iCs/>
                <w:sz w:val="18"/>
                <w:szCs w:val="18"/>
              </w:rPr>
              <w:t>-2 911</w:t>
            </w:r>
          </w:p>
        </w:tc>
        <w:tc>
          <w:tcPr>
            <w:tcW w:w="619" w:type="pct"/>
            <w:tcBorders>
              <w:top w:val="nil"/>
              <w:bottom w:val="nil"/>
            </w:tcBorders>
            <w:shd w:val="clear" w:color="auto" w:fill="auto"/>
            <w:noWrap/>
            <w:vAlign w:val="center"/>
          </w:tcPr>
          <w:p w:rsidR="005C2DAB" w:rsidRPr="007A542A" w:rsidRDefault="005C2DAB" w:rsidP="00EE2FD0">
            <w:pPr>
              <w:ind w:right="96"/>
              <w:jc w:val="right"/>
              <w:rPr>
                <w:b/>
                <w:iCs/>
                <w:sz w:val="18"/>
                <w:szCs w:val="18"/>
              </w:rPr>
            </w:pPr>
            <w:r w:rsidRPr="007A542A">
              <w:rPr>
                <w:b/>
                <w:iCs/>
                <w:sz w:val="18"/>
                <w:szCs w:val="18"/>
              </w:rPr>
              <w:t>-2 306</w:t>
            </w:r>
          </w:p>
        </w:tc>
        <w:tc>
          <w:tcPr>
            <w:tcW w:w="625" w:type="pct"/>
            <w:tcBorders>
              <w:top w:val="nil"/>
              <w:bottom w:val="nil"/>
            </w:tcBorders>
            <w:shd w:val="clear" w:color="auto" w:fill="auto"/>
            <w:noWrap/>
            <w:vAlign w:val="center"/>
          </w:tcPr>
          <w:p w:rsidR="005C2DAB" w:rsidRPr="007A542A" w:rsidRDefault="005C2DAB" w:rsidP="00EE2FD0">
            <w:pPr>
              <w:ind w:right="96"/>
              <w:jc w:val="right"/>
              <w:rPr>
                <w:rFonts w:eastAsia="SimSun"/>
                <w:b/>
                <w:iCs/>
                <w:sz w:val="18"/>
                <w:szCs w:val="18"/>
                <w:lang w:val="fr-FR" w:eastAsia="en-US"/>
              </w:rPr>
            </w:pPr>
            <w:r w:rsidRPr="007A542A">
              <w:rPr>
                <w:b/>
                <w:iCs/>
                <w:sz w:val="18"/>
                <w:szCs w:val="18"/>
              </w:rPr>
              <w:t>110 603</w:t>
            </w:r>
          </w:p>
        </w:tc>
        <w:tc>
          <w:tcPr>
            <w:tcW w:w="981" w:type="pct"/>
            <w:tcBorders>
              <w:top w:val="nil"/>
              <w:bottom w:val="nil"/>
            </w:tcBorders>
            <w:vAlign w:val="center"/>
          </w:tcPr>
          <w:p w:rsidR="005C2DAB" w:rsidRPr="007A542A" w:rsidRDefault="005C2DAB" w:rsidP="00EE2FD0">
            <w:pPr>
              <w:ind w:right="94"/>
              <w:jc w:val="right"/>
              <w:rPr>
                <w:rFonts w:eastAsia="SimSun"/>
                <w:b/>
                <w:bCs/>
                <w:sz w:val="18"/>
                <w:szCs w:val="18"/>
                <w:lang w:val="fr-FR" w:eastAsia="en-US"/>
              </w:rPr>
            </w:pPr>
            <w:r w:rsidRPr="007A542A">
              <w:rPr>
                <w:b/>
                <w:bCs/>
                <w:sz w:val="18"/>
                <w:szCs w:val="18"/>
              </w:rPr>
              <w:t>125 563</w:t>
            </w:r>
          </w:p>
        </w:tc>
      </w:tr>
      <w:tr w:rsidR="005C2DAB" w:rsidRPr="007A542A" w:rsidTr="0062786B">
        <w:trPr>
          <w:trHeight w:val="118"/>
        </w:trPr>
        <w:tc>
          <w:tcPr>
            <w:tcW w:w="852" w:type="pct"/>
            <w:tcBorders>
              <w:top w:val="nil"/>
              <w:bottom w:val="nil"/>
            </w:tcBorders>
            <w:shd w:val="clear" w:color="auto" w:fill="auto"/>
            <w:noWrap/>
            <w:vAlign w:val="center"/>
          </w:tcPr>
          <w:p w:rsidR="005C2DAB" w:rsidRPr="007A542A" w:rsidRDefault="005C2DAB" w:rsidP="00E2084F">
            <w:pPr>
              <w:rPr>
                <w:bCs/>
                <w:sz w:val="18"/>
                <w:szCs w:val="18"/>
              </w:rPr>
            </w:pPr>
            <w:r w:rsidRPr="007A542A">
              <w:rPr>
                <w:sz w:val="18"/>
                <w:szCs w:val="18"/>
              </w:rPr>
              <w:t>Distribuce</w:t>
            </w:r>
          </w:p>
        </w:tc>
        <w:tc>
          <w:tcPr>
            <w:tcW w:w="543" w:type="pct"/>
            <w:tcBorders>
              <w:top w:val="nil"/>
              <w:bottom w:val="nil"/>
            </w:tcBorders>
            <w:shd w:val="clear" w:color="auto" w:fill="auto"/>
            <w:noWrap/>
            <w:vAlign w:val="center"/>
          </w:tcPr>
          <w:p w:rsidR="005C2DAB" w:rsidRPr="007A542A" w:rsidRDefault="005C2DAB" w:rsidP="00EE2FD0">
            <w:pPr>
              <w:ind w:right="96"/>
              <w:jc w:val="right"/>
              <w:rPr>
                <w:bCs/>
                <w:sz w:val="18"/>
                <w:szCs w:val="18"/>
              </w:rPr>
            </w:pPr>
            <w:r w:rsidRPr="007A542A">
              <w:rPr>
                <w:iCs/>
                <w:sz w:val="18"/>
                <w:szCs w:val="18"/>
              </w:rPr>
              <w:t>--</w:t>
            </w:r>
          </w:p>
        </w:tc>
        <w:tc>
          <w:tcPr>
            <w:tcW w:w="619" w:type="pct"/>
            <w:tcBorders>
              <w:top w:val="nil"/>
              <w:bottom w:val="nil"/>
            </w:tcBorders>
            <w:vAlign w:val="center"/>
          </w:tcPr>
          <w:p w:rsidR="005C2DAB" w:rsidRPr="007A542A" w:rsidRDefault="005C2DAB" w:rsidP="00EE2FD0">
            <w:pPr>
              <w:ind w:right="96"/>
              <w:jc w:val="right"/>
              <w:rPr>
                <w:iCs/>
                <w:sz w:val="18"/>
                <w:szCs w:val="18"/>
              </w:rPr>
            </w:pPr>
            <w:r w:rsidRPr="007A542A">
              <w:rPr>
                <w:bCs/>
                <w:sz w:val="18"/>
                <w:szCs w:val="18"/>
              </w:rPr>
              <w:t>--</w:t>
            </w:r>
          </w:p>
        </w:tc>
        <w:tc>
          <w:tcPr>
            <w:tcW w:w="761" w:type="pct"/>
            <w:tcBorders>
              <w:top w:val="nil"/>
              <w:bottom w:val="nil"/>
            </w:tcBorders>
            <w:vAlign w:val="center"/>
          </w:tcPr>
          <w:p w:rsidR="005C2DAB" w:rsidRPr="007A542A" w:rsidRDefault="005C2DAB" w:rsidP="00EE2FD0">
            <w:pPr>
              <w:ind w:right="96"/>
              <w:jc w:val="right"/>
              <w:rPr>
                <w:b/>
                <w:iCs/>
                <w:sz w:val="18"/>
                <w:szCs w:val="18"/>
              </w:rPr>
            </w:pPr>
            <w:r w:rsidRPr="007A542A">
              <w:rPr>
                <w:b/>
                <w:iCs/>
                <w:sz w:val="18"/>
                <w:szCs w:val="18"/>
              </w:rPr>
              <w:t>--</w:t>
            </w:r>
          </w:p>
        </w:tc>
        <w:tc>
          <w:tcPr>
            <w:tcW w:w="619" w:type="pct"/>
            <w:tcBorders>
              <w:top w:val="nil"/>
              <w:bottom w:val="nil"/>
            </w:tcBorders>
            <w:shd w:val="clear" w:color="auto" w:fill="auto"/>
            <w:noWrap/>
            <w:vAlign w:val="center"/>
          </w:tcPr>
          <w:p w:rsidR="005C2DAB" w:rsidRPr="007A542A" w:rsidRDefault="005C2DAB" w:rsidP="00EE2FD0">
            <w:pPr>
              <w:ind w:right="96"/>
              <w:jc w:val="right"/>
              <w:rPr>
                <w:bCs/>
                <w:sz w:val="18"/>
                <w:szCs w:val="18"/>
              </w:rPr>
            </w:pPr>
            <w:r w:rsidRPr="007A542A">
              <w:rPr>
                <w:b/>
                <w:iCs/>
                <w:sz w:val="18"/>
                <w:szCs w:val="18"/>
              </w:rPr>
              <w:t>--</w:t>
            </w:r>
          </w:p>
        </w:tc>
        <w:tc>
          <w:tcPr>
            <w:tcW w:w="625" w:type="pct"/>
            <w:tcBorders>
              <w:top w:val="nil"/>
              <w:bottom w:val="nil"/>
            </w:tcBorders>
            <w:shd w:val="clear" w:color="auto" w:fill="auto"/>
            <w:noWrap/>
            <w:vAlign w:val="center"/>
          </w:tcPr>
          <w:p w:rsidR="005C2DAB" w:rsidRPr="007A542A" w:rsidRDefault="005C2DAB" w:rsidP="00EE2FD0">
            <w:pPr>
              <w:ind w:right="96"/>
              <w:jc w:val="right"/>
              <w:rPr>
                <w:bCs/>
                <w:sz w:val="18"/>
                <w:szCs w:val="18"/>
              </w:rPr>
            </w:pPr>
            <w:r w:rsidRPr="007A542A">
              <w:rPr>
                <w:iCs/>
                <w:sz w:val="18"/>
                <w:szCs w:val="18"/>
              </w:rPr>
              <w:t>-10 152</w:t>
            </w:r>
          </w:p>
        </w:tc>
        <w:tc>
          <w:tcPr>
            <w:tcW w:w="981" w:type="pct"/>
            <w:tcBorders>
              <w:top w:val="nil"/>
              <w:bottom w:val="nil"/>
            </w:tcBorders>
            <w:vAlign w:val="center"/>
          </w:tcPr>
          <w:p w:rsidR="005C2DAB" w:rsidRPr="007A542A" w:rsidRDefault="005C2DAB" w:rsidP="00EE2FD0">
            <w:pPr>
              <w:ind w:right="94"/>
              <w:jc w:val="right"/>
              <w:rPr>
                <w:b/>
                <w:bCs/>
                <w:sz w:val="18"/>
                <w:szCs w:val="18"/>
              </w:rPr>
            </w:pPr>
            <w:r w:rsidRPr="007A542A">
              <w:rPr>
                <w:b/>
                <w:iCs/>
                <w:sz w:val="18"/>
                <w:szCs w:val="18"/>
              </w:rPr>
              <w:t>-10 152</w:t>
            </w:r>
          </w:p>
        </w:tc>
      </w:tr>
      <w:tr w:rsidR="005C2DAB" w:rsidRPr="007A542A" w:rsidTr="0062786B">
        <w:trPr>
          <w:trHeight w:val="118"/>
        </w:trPr>
        <w:tc>
          <w:tcPr>
            <w:tcW w:w="852" w:type="pct"/>
            <w:tcBorders>
              <w:top w:val="nil"/>
              <w:bottom w:val="nil"/>
            </w:tcBorders>
            <w:shd w:val="clear" w:color="auto" w:fill="auto"/>
            <w:noWrap/>
            <w:vAlign w:val="center"/>
          </w:tcPr>
          <w:p w:rsidR="005C2DAB" w:rsidRPr="007A542A" w:rsidRDefault="005C2DAB" w:rsidP="00E2084F">
            <w:pPr>
              <w:rPr>
                <w:bCs/>
                <w:sz w:val="18"/>
                <w:szCs w:val="18"/>
              </w:rPr>
            </w:pPr>
            <w:r w:rsidRPr="007A542A">
              <w:rPr>
                <w:sz w:val="18"/>
                <w:szCs w:val="18"/>
              </w:rPr>
              <w:t>Ostatní úplný výsledek za období</w:t>
            </w:r>
          </w:p>
        </w:tc>
        <w:tc>
          <w:tcPr>
            <w:tcW w:w="543" w:type="pct"/>
            <w:tcBorders>
              <w:top w:val="nil"/>
              <w:bottom w:val="nil"/>
            </w:tcBorders>
            <w:shd w:val="clear" w:color="auto" w:fill="auto"/>
            <w:noWrap/>
            <w:vAlign w:val="center"/>
          </w:tcPr>
          <w:p w:rsidR="005C2DAB" w:rsidRPr="007A542A" w:rsidRDefault="005C2DAB" w:rsidP="00EE2FD0">
            <w:pPr>
              <w:ind w:right="96"/>
              <w:jc w:val="right"/>
              <w:rPr>
                <w:iCs/>
                <w:sz w:val="18"/>
                <w:szCs w:val="18"/>
              </w:rPr>
            </w:pPr>
            <w:r w:rsidRPr="007A542A">
              <w:rPr>
                <w:iCs/>
                <w:sz w:val="18"/>
                <w:szCs w:val="18"/>
              </w:rPr>
              <w:t>--</w:t>
            </w:r>
          </w:p>
        </w:tc>
        <w:tc>
          <w:tcPr>
            <w:tcW w:w="619" w:type="pct"/>
            <w:tcBorders>
              <w:top w:val="nil"/>
              <w:bottom w:val="nil"/>
            </w:tcBorders>
            <w:vAlign w:val="center"/>
          </w:tcPr>
          <w:p w:rsidR="005C2DAB" w:rsidRPr="007A542A" w:rsidRDefault="005C2DAB" w:rsidP="00EE2FD0">
            <w:pPr>
              <w:ind w:right="96"/>
              <w:jc w:val="right"/>
              <w:rPr>
                <w:b/>
                <w:iCs/>
                <w:sz w:val="18"/>
                <w:szCs w:val="18"/>
              </w:rPr>
            </w:pPr>
            <w:r w:rsidRPr="007A542A">
              <w:rPr>
                <w:b/>
                <w:iCs/>
                <w:sz w:val="18"/>
                <w:szCs w:val="18"/>
              </w:rPr>
              <w:t>--</w:t>
            </w:r>
          </w:p>
        </w:tc>
        <w:tc>
          <w:tcPr>
            <w:tcW w:w="761" w:type="pct"/>
            <w:tcBorders>
              <w:top w:val="nil"/>
              <w:bottom w:val="nil"/>
            </w:tcBorders>
            <w:vAlign w:val="center"/>
          </w:tcPr>
          <w:p w:rsidR="005C2DAB" w:rsidRPr="007A542A" w:rsidRDefault="005C2DAB" w:rsidP="00EE2FD0">
            <w:pPr>
              <w:ind w:right="96"/>
              <w:jc w:val="right"/>
              <w:rPr>
                <w:iCs/>
                <w:sz w:val="18"/>
                <w:szCs w:val="18"/>
              </w:rPr>
            </w:pPr>
            <w:r w:rsidRPr="007A542A">
              <w:rPr>
                <w:iCs/>
                <w:sz w:val="18"/>
                <w:szCs w:val="18"/>
              </w:rPr>
              <w:t>99</w:t>
            </w:r>
          </w:p>
        </w:tc>
        <w:tc>
          <w:tcPr>
            <w:tcW w:w="619" w:type="pct"/>
            <w:tcBorders>
              <w:top w:val="nil"/>
              <w:bottom w:val="nil"/>
            </w:tcBorders>
            <w:shd w:val="clear" w:color="auto" w:fill="auto"/>
            <w:noWrap/>
            <w:vAlign w:val="center"/>
          </w:tcPr>
          <w:p w:rsidR="005C2DAB" w:rsidRPr="007A542A" w:rsidRDefault="005C2DAB" w:rsidP="00EE2FD0">
            <w:pPr>
              <w:ind w:right="96"/>
              <w:jc w:val="right"/>
              <w:rPr>
                <w:iCs/>
                <w:sz w:val="18"/>
                <w:szCs w:val="18"/>
              </w:rPr>
            </w:pPr>
            <w:r w:rsidRPr="007A542A">
              <w:rPr>
                <w:iCs/>
                <w:sz w:val="18"/>
                <w:szCs w:val="18"/>
              </w:rPr>
              <w:t>-843</w:t>
            </w:r>
          </w:p>
        </w:tc>
        <w:tc>
          <w:tcPr>
            <w:tcW w:w="625" w:type="pct"/>
            <w:tcBorders>
              <w:top w:val="nil"/>
              <w:bottom w:val="nil"/>
            </w:tcBorders>
            <w:shd w:val="clear" w:color="auto" w:fill="auto"/>
            <w:noWrap/>
            <w:vAlign w:val="center"/>
          </w:tcPr>
          <w:p w:rsidR="005C2DAB" w:rsidRPr="007A542A" w:rsidDel="002D1E65" w:rsidRDefault="005C2DAB" w:rsidP="00EE2FD0">
            <w:pPr>
              <w:ind w:right="96"/>
              <w:jc w:val="right"/>
              <w:rPr>
                <w:bCs/>
                <w:sz w:val="18"/>
                <w:szCs w:val="18"/>
              </w:rPr>
            </w:pPr>
            <w:r w:rsidRPr="007A542A">
              <w:rPr>
                <w:b/>
                <w:iCs/>
                <w:sz w:val="18"/>
                <w:szCs w:val="18"/>
              </w:rPr>
              <w:t>--</w:t>
            </w:r>
          </w:p>
        </w:tc>
        <w:tc>
          <w:tcPr>
            <w:tcW w:w="981" w:type="pct"/>
            <w:tcBorders>
              <w:top w:val="nil"/>
              <w:bottom w:val="nil"/>
            </w:tcBorders>
            <w:vAlign w:val="center"/>
          </w:tcPr>
          <w:p w:rsidR="005C2DAB" w:rsidRPr="007A542A" w:rsidRDefault="005C2DAB" w:rsidP="00EE2FD0">
            <w:pPr>
              <w:ind w:right="94"/>
              <w:jc w:val="right"/>
              <w:rPr>
                <w:rFonts w:eastAsia="SimSun"/>
                <w:b/>
                <w:bCs/>
                <w:sz w:val="18"/>
                <w:szCs w:val="18"/>
                <w:lang w:val="fr-FR" w:eastAsia="en-US"/>
              </w:rPr>
            </w:pPr>
            <w:r w:rsidRPr="007A542A">
              <w:rPr>
                <w:b/>
                <w:bCs/>
                <w:sz w:val="18"/>
                <w:szCs w:val="18"/>
              </w:rPr>
              <w:t>-744</w:t>
            </w:r>
          </w:p>
        </w:tc>
      </w:tr>
      <w:tr w:rsidR="005C2DAB" w:rsidRPr="007A542A" w:rsidTr="0062786B">
        <w:trPr>
          <w:trHeight w:val="118"/>
        </w:trPr>
        <w:tc>
          <w:tcPr>
            <w:tcW w:w="852" w:type="pct"/>
            <w:tcBorders>
              <w:top w:val="nil"/>
              <w:bottom w:val="nil"/>
            </w:tcBorders>
            <w:shd w:val="clear" w:color="auto" w:fill="auto"/>
            <w:noWrap/>
            <w:vAlign w:val="center"/>
          </w:tcPr>
          <w:p w:rsidR="005C2DAB" w:rsidRPr="007A542A" w:rsidRDefault="005C2DAB" w:rsidP="00E2084F">
            <w:pPr>
              <w:rPr>
                <w:bCs/>
                <w:sz w:val="18"/>
                <w:szCs w:val="18"/>
              </w:rPr>
            </w:pPr>
            <w:r w:rsidRPr="007A542A">
              <w:rPr>
                <w:sz w:val="18"/>
                <w:szCs w:val="18"/>
              </w:rPr>
              <w:t>Čistý zisk za dané období</w:t>
            </w:r>
          </w:p>
        </w:tc>
        <w:tc>
          <w:tcPr>
            <w:tcW w:w="543" w:type="pct"/>
            <w:tcBorders>
              <w:top w:val="nil"/>
              <w:bottom w:val="nil"/>
            </w:tcBorders>
            <w:shd w:val="clear" w:color="auto" w:fill="auto"/>
            <w:noWrap/>
            <w:vAlign w:val="center"/>
          </w:tcPr>
          <w:p w:rsidR="005C2DAB" w:rsidRPr="007A542A" w:rsidRDefault="005C2DAB" w:rsidP="00EE2FD0">
            <w:pPr>
              <w:ind w:right="96"/>
              <w:jc w:val="right"/>
              <w:rPr>
                <w:bCs/>
                <w:sz w:val="18"/>
                <w:szCs w:val="18"/>
              </w:rPr>
            </w:pPr>
            <w:r w:rsidRPr="007A542A">
              <w:rPr>
                <w:iCs/>
                <w:sz w:val="18"/>
                <w:szCs w:val="18"/>
              </w:rPr>
              <w:t>--</w:t>
            </w:r>
          </w:p>
        </w:tc>
        <w:tc>
          <w:tcPr>
            <w:tcW w:w="619" w:type="pct"/>
            <w:tcBorders>
              <w:top w:val="nil"/>
              <w:bottom w:val="nil"/>
            </w:tcBorders>
            <w:vAlign w:val="center"/>
          </w:tcPr>
          <w:p w:rsidR="005C2DAB" w:rsidRPr="007A542A" w:rsidRDefault="005C2DAB" w:rsidP="00EE2FD0">
            <w:pPr>
              <w:ind w:right="96"/>
              <w:jc w:val="right"/>
              <w:rPr>
                <w:iCs/>
                <w:sz w:val="18"/>
                <w:szCs w:val="18"/>
              </w:rPr>
            </w:pPr>
            <w:r w:rsidRPr="007A542A">
              <w:rPr>
                <w:b/>
                <w:iCs/>
                <w:sz w:val="18"/>
                <w:szCs w:val="18"/>
              </w:rPr>
              <w:t>--</w:t>
            </w:r>
          </w:p>
        </w:tc>
        <w:tc>
          <w:tcPr>
            <w:tcW w:w="761" w:type="pct"/>
            <w:tcBorders>
              <w:top w:val="nil"/>
              <w:bottom w:val="nil"/>
            </w:tcBorders>
            <w:vAlign w:val="center"/>
          </w:tcPr>
          <w:p w:rsidR="005C2DAB" w:rsidRPr="007A542A" w:rsidRDefault="005C2DAB" w:rsidP="00EE2FD0">
            <w:pPr>
              <w:ind w:right="96"/>
              <w:jc w:val="right"/>
              <w:rPr>
                <w:b/>
                <w:iCs/>
                <w:sz w:val="18"/>
                <w:szCs w:val="18"/>
              </w:rPr>
            </w:pPr>
            <w:r w:rsidRPr="007A542A">
              <w:rPr>
                <w:b/>
                <w:iCs/>
                <w:sz w:val="18"/>
                <w:szCs w:val="18"/>
              </w:rPr>
              <w:t>--</w:t>
            </w:r>
          </w:p>
        </w:tc>
        <w:tc>
          <w:tcPr>
            <w:tcW w:w="619" w:type="pct"/>
            <w:tcBorders>
              <w:top w:val="nil"/>
              <w:bottom w:val="nil"/>
            </w:tcBorders>
            <w:shd w:val="clear" w:color="auto" w:fill="auto"/>
            <w:noWrap/>
            <w:vAlign w:val="center"/>
          </w:tcPr>
          <w:p w:rsidR="005C2DAB" w:rsidRPr="007A542A" w:rsidRDefault="005C2DAB" w:rsidP="00EE2FD0">
            <w:pPr>
              <w:ind w:right="96"/>
              <w:jc w:val="right"/>
              <w:rPr>
                <w:bCs/>
                <w:sz w:val="18"/>
                <w:szCs w:val="18"/>
              </w:rPr>
            </w:pPr>
            <w:r w:rsidRPr="007A542A">
              <w:rPr>
                <w:b/>
                <w:iCs/>
                <w:sz w:val="18"/>
                <w:szCs w:val="18"/>
              </w:rPr>
              <w:t>--</w:t>
            </w:r>
          </w:p>
        </w:tc>
        <w:tc>
          <w:tcPr>
            <w:tcW w:w="625" w:type="pct"/>
            <w:tcBorders>
              <w:top w:val="nil"/>
              <w:bottom w:val="nil"/>
            </w:tcBorders>
            <w:shd w:val="clear" w:color="auto" w:fill="auto"/>
            <w:noWrap/>
            <w:vAlign w:val="center"/>
          </w:tcPr>
          <w:p w:rsidR="005C2DAB" w:rsidRPr="007A542A" w:rsidRDefault="005C2DAB" w:rsidP="00EE2FD0">
            <w:pPr>
              <w:ind w:right="96"/>
              <w:jc w:val="right"/>
              <w:rPr>
                <w:bCs/>
                <w:sz w:val="18"/>
                <w:szCs w:val="18"/>
              </w:rPr>
            </w:pPr>
            <w:r w:rsidRPr="007A542A">
              <w:rPr>
                <w:bCs/>
                <w:sz w:val="18"/>
                <w:szCs w:val="18"/>
              </w:rPr>
              <w:t>10 533</w:t>
            </w:r>
          </w:p>
        </w:tc>
        <w:tc>
          <w:tcPr>
            <w:tcW w:w="981" w:type="pct"/>
            <w:tcBorders>
              <w:top w:val="nil"/>
              <w:bottom w:val="nil"/>
            </w:tcBorders>
            <w:vAlign w:val="center"/>
          </w:tcPr>
          <w:p w:rsidR="005C2DAB" w:rsidRPr="007A542A" w:rsidRDefault="005C2DAB" w:rsidP="00EE2FD0">
            <w:pPr>
              <w:ind w:right="94"/>
              <w:jc w:val="right"/>
              <w:rPr>
                <w:rFonts w:eastAsia="SimSun"/>
                <w:b/>
                <w:bCs/>
                <w:sz w:val="18"/>
                <w:szCs w:val="18"/>
                <w:lang w:val="fr-FR" w:eastAsia="en-US"/>
              </w:rPr>
            </w:pPr>
            <w:r w:rsidRPr="007A542A">
              <w:rPr>
                <w:b/>
                <w:bCs/>
                <w:sz w:val="18"/>
                <w:szCs w:val="18"/>
              </w:rPr>
              <w:t>10 533</w:t>
            </w:r>
          </w:p>
        </w:tc>
      </w:tr>
      <w:tr w:rsidR="005C2DAB" w:rsidRPr="007A542A" w:rsidTr="0062786B">
        <w:trPr>
          <w:trHeight w:val="118"/>
        </w:trPr>
        <w:tc>
          <w:tcPr>
            <w:tcW w:w="852" w:type="pct"/>
            <w:tcBorders>
              <w:top w:val="nil"/>
              <w:bottom w:val="nil"/>
            </w:tcBorders>
            <w:shd w:val="clear" w:color="auto" w:fill="auto"/>
            <w:noWrap/>
            <w:vAlign w:val="center"/>
          </w:tcPr>
          <w:p w:rsidR="005C2DAB" w:rsidRPr="007A542A" w:rsidRDefault="005C2DAB" w:rsidP="00E2084F">
            <w:pPr>
              <w:rPr>
                <w:sz w:val="18"/>
                <w:szCs w:val="18"/>
              </w:rPr>
            </w:pPr>
            <w:r w:rsidRPr="007A542A">
              <w:rPr>
                <w:sz w:val="18"/>
                <w:szCs w:val="18"/>
              </w:rPr>
              <w:t>Zákonný rezervní fond tvořený z nerozděleného zisku</w:t>
            </w:r>
          </w:p>
        </w:tc>
        <w:tc>
          <w:tcPr>
            <w:tcW w:w="543" w:type="pct"/>
            <w:tcBorders>
              <w:top w:val="nil"/>
              <w:bottom w:val="nil"/>
            </w:tcBorders>
            <w:shd w:val="clear" w:color="auto" w:fill="auto"/>
            <w:noWrap/>
            <w:vAlign w:val="center"/>
          </w:tcPr>
          <w:p w:rsidR="005C2DAB" w:rsidRPr="007A542A" w:rsidRDefault="005C2DAB" w:rsidP="00EE2FD0">
            <w:pPr>
              <w:ind w:right="96"/>
              <w:jc w:val="right"/>
              <w:rPr>
                <w:bCs/>
                <w:sz w:val="18"/>
                <w:szCs w:val="18"/>
              </w:rPr>
            </w:pPr>
            <w:r w:rsidRPr="007A542A">
              <w:rPr>
                <w:iCs/>
                <w:sz w:val="18"/>
                <w:szCs w:val="18"/>
              </w:rPr>
              <w:t>--</w:t>
            </w:r>
          </w:p>
        </w:tc>
        <w:tc>
          <w:tcPr>
            <w:tcW w:w="619" w:type="pct"/>
            <w:tcBorders>
              <w:top w:val="nil"/>
              <w:bottom w:val="nil"/>
            </w:tcBorders>
            <w:vAlign w:val="center"/>
          </w:tcPr>
          <w:p w:rsidR="005C2DAB" w:rsidRPr="007A542A" w:rsidRDefault="005C2DAB" w:rsidP="00EE2FD0">
            <w:pPr>
              <w:ind w:right="96"/>
              <w:jc w:val="right"/>
              <w:rPr>
                <w:iCs/>
                <w:sz w:val="18"/>
                <w:szCs w:val="18"/>
              </w:rPr>
            </w:pPr>
            <w:r w:rsidRPr="007A542A">
              <w:rPr>
                <w:iCs/>
                <w:sz w:val="18"/>
                <w:szCs w:val="18"/>
              </w:rPr>
              <w:t>419</w:t>
            </w:r>
          </w:p>
        </w:tc>
        <w:tc>
          <w:tcPr>
            <w:tcW w:w="761" w:type="pct"/>
            <w:tcBorders>
              <w:top w:val="nil"/>
              <w:bottom w:val="nil"/>
            </w:tcBorders>
            <w:vAlign w:val="center"/>
          </w:tcPr>
          <w:p w:rsidR="005C2DAB" w:rsidRPr="007A542A" w:rsidRDefault="005C2DAB" w:rsidP="00EE2FD0">
            <w:pPr>
              <w:ind w:right="96"/>
              <w:jc w:val="right"/>
              <w:rPr>
                <w:b/>
                <w:iCs/>
                <w:sz w:val="18"/>
                <w:szCs w:val="18"/>
              </w:rPr>
            </w:pPr>
            <w:r w:rsidRPr="007A542A">
              <w:rPr>
                <w:b/>
                <w:iCs/>
                <w:sz w:val="18"/>
                <w:szCs w:val="18"/>
              </w:rPr>
              <w:t>--</w:t>
            </w:r>
          </w:p>
        </w:tc>
        <w:tc>
          <w:tcPr>
            <w:tcW w:w="619" w:type="pct"/>
            <w:tcBorders>
              <w:top w:val="nil"/>
              <w:bottom w:val="nil"/>
            </w:tcBorders>
            <w:shd w:val="clear" w:color="auto" w:fill="auto"/>
            <w:noWrap/>
            <w:vAlign w:val="center"/>
          </w:tcPr>
          <w:p w:rsidR="005C2DAB" w:rsidRPr="007A542A" w:rsidRDefault="005C2DAB" w:rsidP="00EE2FD0">
            <w:pPr>
              <w:ind w:right="96"/>
              <w:jc w:val="right"/>
              <w:rPr>
                <w:bCs/>
                <w:sz w:val="18"/>
                <w:szCs w:val="18"/>
              </w:rPr>
            </w:pPr>
            <w:r w:rsidRPr="007A542A">
              <w:rPr>
                <w:b/>
                <w:iCs/>
                <w:sz w:val="18"/>
                <w:szCs w:val="18"/>
              </w:rPr>
              <w:t>--</w:t>
            </w:r>
          </w:p>
        </w:tc>
        <w:tc>
          <w:tcPr>
            <w:tcW w:w="625" w:type="pct"/>
            <w:tcBorders>
              <w:top w:val="nil"/>
              <w:bottom w:val="nil"/>
            </w:tcBorders>
            <w:shd w:val="clear" w:color="auto" w:fill="auto"/>
            <w:noWrap/>
            <w:vAlign w:val="center"/>
          </w:tcPr>
          <w:p w:rsidR="005C2DAB" w:rsidRPr="007A542A" w:rsidRDefault="005C2DAB" w:rsidP="00EE2FD0">
            <w:pPr>
              <w:ind w:right="96"/>
              <w:jc w:val="right"/>
              <w:rPr>
                <w:bCs/>
                <w:sz w:val="18"/>
                <w:szCs w:val="18"/>
              </w:rPr>
            </w:pPr>
            <w:r w:rsidRPr="007A542A">
              <w:rPr>
                <w:iCs/>
                <w:sz w:val="18"/>
                <w:szCs w:val="18"/>
              </w:rPr>
              <w:t>-419</w:t>
            </w:r>
          </w:p>
        </w:tc>
        <w:tc>
          <w:tcPr>
            <w:tcW w:w="981" w:type="pct"/>
            <w:tcBorders>
              <w:top w:val="nil"/>
              <w:bottom w:val="nil"/>
            </w:tcBorders>
            <w:vAlign w:val="center"/>
          </w:tcPr>
          <w:p w:rsidR="005C2DAB" w:rsidRPr="007A542A" w:rsidRDefault="005C2DAB" w:rsidP="00EE2FD0">
            <w:pPr>
              <w:ind w:right="94"/>
              <w:jc w:val="right"/>
              <w:rPr>
                <w:b/>
                <w:bCs/>
                <w:sz w:val="18"/>
                <w:szCs w:val="18"/>
              </w:rPr>
            </w:pPr>
            <w:r w:rsidRPr="007A542A">
              <w:rPr>
                <w:b/>
                <w:bCs/>
                <w:sz w:val="18"/>
                <w:szCs w:val="18"/>
              </w:rPr>
              <w:t>--</w:t>
            </w:r>
          </w:p>
        </w:tc>
      </w:tr>
      <w:tr w:rsidR="005C2DAB" w:rsidRPr="007A542A" w:rsidTr="0062786B">
        <w:trPr>
          <w:trHeight w:hRule="exact" w:val="119"/>
        </w:trPr>
        <w:tc>
          <w:tcPr>
            <w:tcW w:w="852" w:type="pct"/>
            <w:tcBorders>
              <w:top w:val="nil"/>
              <w:bottom w:val="single" w:sz="4" w:space="0" w:color="auto"/>
            </w:tcBorders>
            <w:shd w:val="clear" w:color="auto" w:fill="auto"/>
            <w:noWrap/>
            <w:vAlign w:val="center"/>
          </w:tcPr>
          <w:p w:rsidR="005C2DAB" w:rsidRPr="007A542A" w:rsidRDefault="005C2DAB" w:rsidP="00E2084F">
            <w:pPr>
              <w:rPr>
                <w:b/>
                <w:bCs/>
                <w:sz w:val="18"/>
                <w:szCs w:val="18"/>
              </w:rPr>
            </w:pPr>
          </w:p>
        </w:tc>
        <w:tc>
          <w:tcPr>
            <w:tcW w:w="543" w:type="pct"/>
            <w:tcBorders>
              <w:top w:val="nil"/>
              <w:bottom w:val="single" w:sz="4" w:space="0" w:color="auto"/>
            </w:tcBorders>
            <w:shd w:val="clear" w:color="auto" w:fill="auto"/>
            <w:noWrap/>
            <w:vAlign w:val="center"/>
          </w:tcPr>
          <w:p w:rsidR="005C2DAB" w:rsidRPr="007A542A" w:rsidRDefault="005C2DAB" w:rsidP="00EE2FD0">
            <w:pPr>
              <w:ind w:right="96"/>
              <w:jc w:val="right"/>
              <w:rPr>
                <w:b/>
                <w:bCs/>
                <w:sz w:val="18"/>
                <w:szCs w:val="18"/>
              </w:rPr>
            </w:pPr>
          </w:p>
        </w:tc>
        <w:tc>
          <w:tcPr>
            <w:tcW w:w="619" w:type="pct"/>
            <w:tcBorders>
              <w:top w:val="nil"/>
              <w:bottom w:val="single" w:sz="4" w:space="0" w:color="auto"/>
            </w:tcBorders>
            <w:vAlign w:val="center"/>
          </w:tcPr>
          <w:p w:rsidR="005C2DAB" w:rsidRPr="007A542A" w:rsidRDefault="005C2DAB" w:rsidP="00EE2FD0">
            <w:pPr>
              <w:ind w:right="96"/>
              <w:jc w:val="right"/>
              <w:rPr>
                <w:b/>
                <w:bCs/>
                <w:sz w:val="18"/>
                <w:szCs w:val="18"/>
              </w:rPr>
            </w:pPr>
          </w:p>
        </w:tc>
        <w:tc>
          <w:tcPr>
            <w:tcW w:w="761" w:type="pct"/>
            <w:tcBorders>
              <w:top w:val="nil"/>
              <w:bottom w:val="single" w:sz="4" w:space="0" w:color="auto"/>
            </w:tcBorders>
            <w:vAlign w:val="center"/>
          </w:tcPr>
          <w:p w:rsidR="005C2DAB" w:rsidRPr="007A542A" w:rsidRDefault="005C2DAB" w:rsidP="00EE2FD0">
            <w:pPr>
              <w:ind w:right="96"/>
              <w:jc w:val="right"/>
              <w:rPr>
                <w:b/>
                <w:bCs/>
                <w:sz w:val="18"/>
                <w:szCs w:val="18"/>
              </w:rPr>
            </w:pPr>
          </w:p>
        </w:tc>
        <w:tc>
          <w:tcPr>
            <w:tcW w:w="619" w:type="pct"/>
            <w:tcBorders>
              <w:top w:val="nil"/>
              <w:bottom w:val="single" w:sz="4" w:space="0" w:color="auto"/>
            </w:tcBorders>
            <w:shd w:val="clear" w:color="auto" w:fill="auto"/>
            <w:noWrap/>
            <w:vAlign w:val="center"/>
          </w:tcPr>
          <w:p w:rsidR="005C2DAB" w:rsidRPr="007A542A" w:rsidRDefault="005C2DAB" w:rsidP="00EE2FD0">
            <w:pPr>
              <w:ind w:right="96"/>
              <w:jc w:val="right"/>
              <w:rPr>
                <w:b/>
                <w:bCs/>
                <w:sz w:val="18"/>
                <w:szCs w:val="18"/>
              </w:rPr>
            </w:pPr>
          </w:p>
        </w:tc>
        <w:tc>
          <w:tcPr>
            <w:tcW w:w="625" w:type="pct"/>
            <w:tcBorders>
              <w:top w:val="nil"/>
              <w:bottom w:val="single" w:sz="4" w:space="0" w:color="auto"/>
            </w:tcBorders>
            <w:shd w:val="clear" w:color="auto" w:fill="auto"/>
            <w:noWrap/>
            <w:vAlign w:val="center"/>
          </w:tcPr>
          <w:p w:rsidR="005C2DAB" w:rsidRPr="007A542A" w:rsidRDefault="005C2DAB" w:rsidP="00EE2FD0">
            <w:pPr>
              <w:ind w:right="96"/>
              <w:jc w:val="right"/>
              <w:rPr>
                <w:b/>
                <w:bCs/>
                <w:sz w:val="18"/>
                <w:szCs w:val="18"/>
              </w:rPr>
            </w:pPr>
          </w:p>
        </w:tc>
        <w:tc>
          <w:tcPr>
            <w:tcW w:w="981" w:type="pct"/>
            <w:tcBorders>
              <w:top w:val="nil"/>
              <w:bottom w:val="single" w:sz="4" w:space="0" w:color="auto"/>
            </w:tcBorders>
            <w:vAlign w:val="center"/>
          </w:tcPr>
          <w:p w:rsidR="005C2DAB" w:rsidRPr="007A542A" w:rsidRDefault="005C2DAB" w:rsidP="00EE2FD0">
            <w:pPr>
              <w:ind w:right="94"/>
              <w:jc w:val="right"/>
              <w:rPr>
                <w:b/>
                <w:bCs/>
                <w:sz w:val="18"/>
                <w:szCs w:val="18"/>
              </w:rPr>
            </w:pPr>
          </w:p>
        </w:tc>
      </w:tr>
      <w:tr w:rsidR="005C2DAB" w:rsidRPr="007A542A" w:rsidTr="0062786B">
        <w:trPr>
          <w:trHeight w:val="118"/>
        </w:trPr>
        <w:tc>
          <w:tcPr>
            <w:tcW w:w="852" w:type="pct"/>
            <w:tcBorders>
              <w:top w:val="single" w:sz="4" w:space="0" w:color="auto"/>
              <w:bottom w:val="nil"/>
            </w:tcBorders>
            <w:shd w:val="clear" w:color="auto" w:fill="auto"/>
            <w:noWrap/>
            <w:vAlign w:val="center"/>
          </w:tcPr>
          <w:p w:rsidR="005C2DAB" w:rsidRPr="007A542A" w:rsidRDefault="005C2DAB" w:rsidP="00E2084F">
            <w:pPr>
              <w:rPr>
                <w:b/>
                <w:bCs/>
                <w:sz w:val="18"/>
                <w:szCs w:val="18"/>
              </w:rPr>
            </w:pPr>
          </w:p>
        </w:tc>
        <w:tc>
          <w:tcPr>
            <w:tcW w:w="543" w:type="pct"/>
            <w:tcBorders>
              <w:top w:val="single" w:sz="4" w:space="0" w:color="auto"/>
              <w:bottom w:val="nil"/>
            </w:tcBorders>
            <w:shd w:val="clear" w:color="auto" w:fill="auto"/>
            <w:noWrap/>
            <w:vAlign w:val="center"/>
          </w:tcPr>
          <w:p w:rsidR="005C2DAB" w:rsidRPr="007A542A" w:rsidRDefault="005C2DAB" w:rsidP="00EE2FD0">
            <w:pPr>
              <w:ind w:right="96"/>
              <w:jc w:val="right"/>
              <w:rPr>
                <w:b/>
                <w:bCs/>
                <w:sz w:val="18"/>
                <w:szCs w:val="18"/>
              </w:rPr>
            </w:pPr>
          </w:p>
        </w:tc>
        <w:tc>
          <w:tcPr>
            <w:tcW w:w="619" w:type="pct"/>
            <w:tcBorders>
              <w:top w:val="single" w:sz="4" w:space="0" w:color="auto"/>
              <w:bottom w:val="nil"/>
            </w:tcBorders>
            <w:vAlign w:val="center"/>
          </w:tcPr>
          <w:p w:rsidR="005C2DAB" w:rsidRPr="007A542A" w:rsidRDefault="005C2DAB" w:rsidP="00EE2FD0">
            <w:pPr>
              <w:ind w:right="96"/>
              <w:jc w:val="right"/>
              <w:rPr>
                <w:b/>
                <w:bCs/>
                <w:sz w:val="18"/>
                <w:szCs w:val="18"/>
              </w:rPr>
            </w:pPr>
          </w:p>
        </w:tc>
        <w:tc>
          <w:tcPr>
            <w:tcW w:w="761" w:type="pct"/>
            <w:tcBorders>
              <w:top w:val="single" w:sz="4" w:space="0" w:color="auto"/>
              <w:bottom w:val="nil"/>
            </w:tcBorders>
            <w:vAlign w:val="center"/>
          </w:tcPr>
          <w:p w:rsidR="005C2DAB" w:rsidRPr="007A542A" w:rsidRDefault="005C2DAB" w:rsidP="00EE2FD0">
            <w:pPr>
              <w:ind w:right="96"/>
              <w:jc w:val="right"/>
              <w:rPr>
                <w:b/>
                <w:bCs/>
                <w:sz w:val="18"/>
                <w:szCs w:val="18"/>
              </w:rPr>
            </w:pPr>
          </w:p>
        </w:tc>
        <w:tc>
          <w:tcPr>
            <w:tcW w:w="619" w:type="pct"/>
            <w:tcBorders>
              <w:top w:val="single" w:sz="4" w:space="0" w:color="auto"/>
              <w:bottom w:val="nil"/>
            </w:tcBorders>
            <w:shd w:val="clear" w:color="auto" w:fill="auto"/>
            <w:noWrap/>
            <w:vAlign w:val="center"/>
          </w:tcPr>
          <w:p w:rsidR="005C2DAB" w:rsidRPr="007A542A" w:rsidRDefault="005C2DAB" w:rsidP="00EE2FD0">
            <w:pPr>
              <w:ind w:right="96"/>
              <w:jc w:val="right"/>
              <w:rPr>
                <w:b/>
                <w:bCs/>
                <w:sz w:val="18"/>
                <w:szCs w:val="18"/>
              </w:rPr>
            </w:pPr>
          </w:p>
        </w:tc>
        <w:tc>
          <w:tcPr>
            <w:tcW w:w="625" w:type="pct"/>
            <w:tcBorders>
              <w:top w:val="single" w:sz="4" w:space="0" w:color="auto"/>
              <w:bottom w:val="nil"/>
            </w:tcBorders>
            <w:shd w:val="clear" w:color="auto" w:fill="auto"/>
            <w:noWrap/>
            <w:vAlign w:val="center"/>
          </w:tcPr>
          <w:p w:rsidR="005C2DAB" w:rsidRPr="007A542A" w:rsidRDefault="005C2DAB" w:rsidP="00EE2FD0">
            <w:pPr>
              <w:ind w:right="96"/>
              <w:jc w:val="right"/>
              <w:rPr>
                <w:b/>
                <w:bCs/>
                <w:sz w:val="18"/>
                <w:szCs w:val="18"/>
              </w:rPr>
            </w:pPr>
          </w:p>
        </w:tc>
        <w:tc>
          <w:tcPr>
            <w:tcW w:w="981" w:type="pct"/>
            <w:tcBorders>
              <w:top w:val="single" w:sz="4" w:space="0" w:color="auto"/>
              <w:bottom w:val="nil"/>
            </w:tcBorders>
            <w:vAlign w:val="center"/>
          </w:tcPr>
          <w:p w:rsidR="005C2DAB" w:rsidRPr="007A542A" w:rsidRDefault="005C2DAB" w:rsidP="00EE2FD0">
            <w:pPr>
              <w:ind w:right="94"/>
              <w:jc w:val="right"/>
              <w:rPr>
                <w:b/>
                <w:bCs/>
                <w:sz w:val="18"/>
                <w:szCs w:val="18"/>
              </w:rPr>
            </w:pPr>
          </w:p>
        </w:tc>
      </w:tr>
      <w:tr w:rsidR="005C2DAB" w:rsidRPr="007A542A" w:rsidTr="0062786B">
        <w:trPr>
          <w:trHeight w:val="118"/>
        </w:trPr>
        <w:tc>
          <w:tcPr>
            <w:tcW w:w="852" w:type="pct"/>
            <w:tcBorders>
              <w:top w:val="nil"/>
              <w:bottom w:val="nil"/>
            </w:tcBorders>
            <w:shd w:val="clear" w:color="auto" w:fill="auto"/>
            <w:noWrap/>
            <w:vAlign w:val="center"/>
          </w:tcPr>
          <w:p w:rsidR="005C2DAB" w:rsidRPr="007A542A" w:rsidRDefault="005C2DAB" w:rsidP="00E2084F">
            <w:pPr>
              <w:rPr>
                <w:b/>
                <w:bCs/>
                <w:sz w:val="18"/>
                <w:szCs w:val="18"/>
              </w:rPr>
            </w:pPr>
            <w:r w:rsidRPr="007A542A">
              <w:rPr>
                <w:b/>
                <w:bCs/>
                <w:sz w:val="18"/>
                <w:szCs w:val="18"/>
              </w:rPr>
              <w:t>k 30. červnu 2014</w:t>
            </w:r>
          </w:p>
        </w:tc>
        <w:tc>
          <w:tcPr>
            <w:tcW w:w="543" w:type="pct"/>
            <w:tcBorders>
              <w:top w:val="nil"/>
              <w:bottom w:val="nil"/>
            </w:tcBorders>
            <w:shd w:val="clear" w:color="auto" w:fill="auto"/>
            <w:noWrap/>
            <w:vAlign w:val="center"/>
          </w:tcPr>
          <w:p w:rsidR="005C2DAB" w:rsidRPr="007A542A" w:rsidRDefault="005C2DAB" w:rsidP="00EE2FD0">
            <w:pPr>
              <w:ind w:right="96"/>
              <w:jc w:val="right"/>
              <w:rPr>
                <w:b/>
                <w:bCs/>
                <w:sz w:val="18"/>
                <w:szCs w:val="18"/>
              </w:rPr>
            </w:pPr>
            <w:r w:rsidRPr="007A542A">
              <w:rPr>
                <w:b/>
                <w:bCs/>
                <w:sz w:val="18"/>
                <w:szCs w:val="18"/>
              </w:rPr>
              <w:t xml:space="preserve">11 444 </w:t>
            </w:r>
          </w:p>
        </w:tc>
        <w:tc>
          <w:tcPr>
            <w:tcW w:w="619" w:type="pct"/>
            <w:tcBorders>
              <w:top w:val="nil"/>
              <w:bottom w:val="nil"/>
            </w:tcBorders>
            <w:vAlign w:val="center"/>
          </w:tcPr>
          <w:p w:rsidR="005C2DAB" w:rsidRPr="007A542A" w:rsidRDefault="005C2DAB" w:rsidP="00EE2FD0">
            <w:pPr>
              <w:ind w:right="96"/>
              <w:jc w:val="right"/>
              <w:rPr>
                <w:b/>
                <w:bCs/>
                <w:sz w:val="18"/>
                <w:szCs w:val="18"/>
              </w:rPr>
            </w:pPr>
            <w:r w:rsidRPr="007A542A">
              <w:rPr>
                <w:b/>
                <w:bCs/>
                <w:sz w:val="18"/>
                <w:szCs w:val="18"/>
              </w:rPr>
              <w:t>9 152</w:t>
            </w:r>
          </w:p>
        </w:tc>
        <w:tc>
          <w:tcPr>
            <w:tcW w:w="761" w:type="pct"/>
            <w:tcBorders>
              <w:top w:val="nil"/>
              <w:bottom w:val="nil"/>
            </w:tcBorders>
            <w:vAlign w:val="center"/>
          </w:tcPr>
          <w:p w:rsidR="005C2DAB" w:rsidRPr="007A542A" w:rsidDel="002D1E65" w:rsidRDefault="005C2DAB" w:rsidP="00EE2FD0">
            <w:pPr>
              <w:ind w:right="96"/>
              <w:jc w:val="right"/>
              <w:rPr>
                <w:b/>
                <w:bCs/>
                <w:sz w:val="18"/>
                <w:szCs w:val="18"/>
              </w:rPr>
            </w:pPr>
            <w:r w:rsidRPr="007A542A">
              <w:rPr>
                <w:b/>
                <w:bCs/>
                <w:sz w:val="18"/>
                <w:szCs w:val="18"/>
              </w:rPr>
              <w:t>-2 812</w:t>
            </w:r>
          </w:p>
        </w:tc>
        <w:tc>
          <w:tcPr>
            <w:tcW w:w="619" w:type="pct"/>
            <w:tcBorders>
              <w:top w:val="nil"/>
              <w:bottom w:val="nil"/>
            </w:tcBorders>
            <w:shd w:val="clear" w:color="auto" w:fill="auto"/>
            <w:noWrap/>
            <w:vAlign w:val="center"/>
          </w:tcPr>
          <w:p w:rsidR="005C2DAB" w:rsidRPr="007A542A" w:rsidRDefault="005C2DAB" w:rsidP="00EE2FD0">
            <w:pPr>
              <w:ind w:right="96"/>
              <w:jc w:val="right"/>
              <w:rPr>
                <w:b/>
                <w:bCs/>
                <w:sz w:val="18"/>
                <w:szCs w:val="18"/>
              </w:rPr>
            </w:pPr>
            <w:r w:rsidRPr="007A542A">
              <w:rPr>
                <w:b/>
                <w:bCs/>
                <w:sz w:val="18"/>
                <w:szCs w:val="18"/>
              </w:rPr>
              <w:t>-3 149</w:t>
            </w:r>
          </w:p>
        </w:tc>
        <w:tc>
          <w:tcPr>
            <w:tcW w:w="625" w:type="pct"/>
            <w:tcBorders>
              <w:top w:val="nil"/>
              <w:bottom w:val="nil"/>
            </w:tcBorders>
            <w:shd w:val="clear" w:color="auto" w:fill="auto"/>
            <w:noWrap/>
            <w:vAlign w:val="center"/>
          </w:tcPr>
          <w:p w:rsidR="005C2DAB" w:rsidRPr="007A542A" w:rsidRDefault="005C2DAB" w:rsidP="00EE2FD0">
            <w:pPr>
              <w:ind w:right="96"/>
              <w:jc w:val="right"/>
              <w:rPr>
                <w:rFonts w:eastAsia="SimSun"/>
                <w:b/>
                <w:bCs/>
                <w:sz w:val="18"/>
                <w:szCs w:val="18"/>
                <w:lang w:val="fr-FR" w:eastAsia="en-US"/>
              </w:rPr>
            </w:pPr>
            <w:r w:rsidRPr="007A542A">
              <w:rPr>
                <w:b/>
                <w:bCs/>
                <w:sz w:val="18"/>
                <w:szCs w:val="18"/>
              </w:rPr>
              <w:t>110 565</w:t>
            </w:r>
          </w:p>
        </w:tc>
        <w:tc>
          <w:tcPr>
            <w:tcW w:w="981" w:type="pct"/>
            <w:tcBorders>
              <w:top w:val="nil"/>
              <w:bottom w:val="nil"/>
            </w:tcBorders>
            <w:vAlign w:val="center"/>
          </w:tcPr>
          <w:p w:rsidR="005C2DAB" w:rsidRPr="007A542A" w:rsidRDefault="005C2DAB" w:rsidP="00EE2FD0">
            <w:pPr>
              <w:ind w:right="94"/>
              <w:jc w:val="right"/>
              <w:rPr>
                <w:rFonts w:eastAsia="SimSun"/>
                <w:b/>
                <w:bCs/>
                <w:sz w:val="18"/>
                <w:szCs w:val="18"/>
                <w:lang w:val="fr-FR" w:eastAsia="en-US"/>
              </w:rPr>
            </w:pPr>
            <w:r w:rsidRPr="007A542A">
              <w:rPr>
                <w:b/>
                <w:bCs/>
                <w:sz w:val="18"/>
                <w:szCs w:val="18"/>
              </w:rPr>
              <w:t>125 200</w:t>
            </w:r>
          </w:p>
        </w:tc>
      </w:tr>
      <w:tr w:rsidR="00C74E9F" w:rsidRPr="007A542A" w:rsidTr="0062786B">
        <w:trPr>
          <w:trHeight w:hRule="exact" w:val="119"/>
        </w:trPr>
        <w:tc>
          <w:tcPr>
            <w:tcW w:w="852" w:type="pct"/>
            <w:tcBorders>
              <w:top w:val="nil"/>
              <w:bottom w:val="single" w:sz="4" w:space="0" w:color="auto"/>
            </w:tcBorders>
            <w:shd w:val="clear" w:color="auto" w:fill="auto"/>
            <w:noWrap/>
            <w:vAlign w:val="center"/>
          </w:tcPr>
          <w:p w:rsidR="00C74E9F" w:rsidRPr="007A542A" w:rsidRDefault="00C74E9F" w:rsidP="00E2084F">
            <w:pPr>
              <w:rPr>
                <w:b/>
                <w:bCs/>
                <w:sz w:val="18"/>
                <w:szCs w:val="18"/>
              </w:rPr>
            </w:pPr>
          </w:p>
        </w:tc>
        <w:tc>
          <w:tcPr>
            <w:tcW w:w="543" w:type="pct"/>
            <w:tcBorders>
              <w:top w:val="nil"/>
              <w:bottom w:val="single" w:sz="4" w:space="0" w:color="auto"/>
            </w:tcBorders>
            <w:shd w:val="clear" w:color="auto" w:fill="auto"/>
            <w:noWrap/>
            <w:vAlign w:val="center"/>
          </w:tcPr>
          <w:p w:rsidR="00C74E9F" w:rsidRPr="007A542A" w:rsidRDefault="00C74E9F" w:rsidP="006D3AE4">
            <w:pPr>
              <w:ind w:right="96"/>
              <w:jc w:val="right"/>
              <w:rPr>
                <w:b/>
                <w:bCs/>
                <w:sz w:val="18"/>
                <w:szCs w:val="18"/>
              </w:rPr>
            </w:pPr>
          </w:p>
        </w:tc>
        <w:tc>
          <w:tcPr>
            <w:tcW w:w="619" w:type="pct"/>
            <w:tcBorders>
              <w:top w:val="nil"/>
              <w:bottom w:val="single" w:sz="4" w:space="0" w:color="auto"/>
            </w:tcBorders>
            <w:vAlign w:val="center"/>
          </w:tcPr>
          <w:p w:rsidR="00C74E9F" w:rsidRPr="007A542A" w:rsidRDefault="00C74E9F" w:rsidP="006D3AE4">
            <w:pPr>
              <w:ind w:right="96"/>
              <w:jc w:val="right"/>
              <w:rPr>
                <w:b/>
                <w:bCs/>
                <w:sz w:val="18"/>
                <w:szCs w:val="18"/>
              </w:rPr>
            </w:pPr>
          </w:p>
        </w:tc>
        <w:tc>
          <w:tcPr>
            <w:tcW w:w="761" w:type="pct"/>
            <w:tcBorders>
              <w:top w:val="nil"/>
              <w:bottom w:val="single" w:sz="4" w:space="0" w:color="auto"/>
            </w:tcBorders>
            <w:vAlign w:val="center"/>
          </w:tcPr>
          <w:p w:rsidR="00C74E9F" w:rsidRPr="007A542A" w:rsidRDefault="00C74E9F" w:rsidP="006D3AE4">
            <w:pPr>
              <w:ind w:right="96"/>
              <w:jc w:val="right"/>
              <w:rPr>
                <w:b/>
                <w:bCs/>
                <w:sz w:val="18"/>
                <w:szCs w:val="18"/>
              </w:rPr>
            </w:pPr>
          </w:p>
        </w:tc>
        <w:tc>
          <w:tcPr>
            <w:tcW w:w="619" w:type="pct"/>
            <w:tcBorders>
              <w:top w:val="nil"/>
              <w:bottom w:val="single" w:sz="4" w:space="0" w:color="auto"/>
            </w:tcBorders>
            <w:shd w:val="clear" w:color="auto" w:fill="auto"/>
            <w:noWrap/>
            <w:vAlign w:val="center"/>
          </w:tcPr>
          <w:p w:rsidR="00C74E9F" w:rsidRPr="007A542A" w:rsidRDefault="00C74E9F" w:rsidP="006D3AE4">
            <w:pPr>
              <w:ind w:right="96"/>
              <w:jc w:val="right"/>
              <w:rPr>
                <w:b/>
                <w:bCs/>
                <w:sz w:val="18"/>
                <w:szCs w:val="18"/>
              </w:rPr>
            </w:pPr>
          </w:p>
        </w:tc>
        <w:tc>
          <w:tcPr>
            <w:tcW w:w="625" w:type="pct"/>
            <w:tcBorders>
              <w:top w:val="nil"/>
              <w:bottom w:val="single" w:sz="4" w:space="0" w:color="auto"/>
            </w:tcBorders>
            <w:shd w:val="clear" w:color="auto" w:fill="auto"/>
            <w:noWrap/>
            <w:vAlign w:val="center"/>
          </w:tcPr>
          <w:p w:rsidR="00C74E9F" w:rsidRPr="007A542A" w:rsidRDefault="00C74E9F" w:rsidP="006D3AE4">
            <w:pPr>
              <w:ind w:right="96"/>
              <w:jc w:val="right"/>
              <w:rPr>
                <w:b/>
                <w:bCs/>
                <w:sz w:val="18"/>
                <w:szCs w:val="18"/>
              </w:rPr>
            </w:pPr>
          </w:p>
        </w:tc>
        <w:tc>
          <w:tcPr>
            <w:tcW w:w="981" w:type="pct"/>
            <w:tcBorders>
              <w:top w:val="nil"/>
              <w:bottom w:val="single" w:sz="4" w:space="0" w:color="auto"/>
            </w:tcBorders>
            <w:vAlign w:val="center"/>
          </w:tcPr>
          <w:p w:rsidR="00C74E9F" w:rsidRPr="007A542A" w:rsidRDefault="00C74E9F" w:rsidP="006D3AE4">
            <w:pPr>
              <w:ind w:right="94"/>
              <w:jc w:val="right"/>
              <w:rPr>
                <w:b/>
                <w:bCs/>
                <w:sz w:val="18"/>
                <w:szCs w:val="18"/>
              </w:rPr>
            </w:pPr>
          </w:p>
        </w:tc>
      </w:tr>
      <w:tr w:rsidR="00C74E9F" w:rsidRPr="007A542A" w:rsidTr="0062786B">
        <w:trPr>
          <w:trHeight w:val="118"/>
        </w:trPr>
        <w:tc>
          <w:tcPr>
            <w:tcW w:w="852" w:type="pct"/>
            <w:tcBorders>
              <w:top w:val="single" w:sz="4" w:space="0" w:color="auto"/>
              <w:bottom w:val="nil"/>
            </w:tcBorders>
            <w:shd w:val="clear" w:color="auto" w:fill="auto"/>
            <w:noWrap/>
            <w:vAlign w:val="center"/>
          </w:tcPr>
          <w:p w:rsidR="00C74E9F" w:rsidRPr="007A542A" w:rsidRDefault="00C74E9F" w:rsidP="00E2084F">
            <w:pPr>
              <w:rPr>
                <w:b/>
                <w:bCs/>
                <w:sz w:val="18"/>
                <w:szCs w:val="18"/>
              </w:rPr>
            </w:pPr>
          </w:p>
        </w:tc>
        <w:tc>
          <w:tcPr>
            <w:tcW w:w="543" w:type="pct"/>
            <w:tcBorders>
              <w:top w:val="single" w:sz="4" w:space="0" w:color="auto"/>
              <w:bottom w:val="nil"/>
            </w:tcBorders>
            <w:shd w:val="clear" w:color="auto" w:fill="auto"/>
            <w:noWrap/>
            <w:vAlign w:val="center"/>
          </w:tcPr>
          <w:p w:rsidR="00C74E9F" w:rsidRPr="007A542A" w:rsidRDefault="00C74E9F" w:rsidP="006D3AE4">
            <w:pPr>
              <w:ind w:right="96"/>
              <w:jc w:val="right"/>
              <w:rPr>
                <w:b/>
                <w:bCs/>
                <w:sz w:val="18"/>
                <w:szCs w:val="18"/>
              </w:rPr>
            </w:pPr>
          </w:p>
        </w:tc>
        <w:tc>
          <w:tcPr>
            <w:tcW w:w="619" w:type="pct"/>
            <w:tcBorders>
              <w:top w:val="single" w:sz="4" w:space="0" w:color="auto"/>
              <w:bottom w:val="nil"/>
            </w:tcBorders>
            <w:vAlign w:val="center"/>
          </w:tcPr>
          <w:p w:rsidR="00C74E9F" w:rsidRPr="007A542A" w:rsidRDefault="00C74E9F" w:rsidP="006D3AE4">
            <w:pPr>
              <w:ind w:right="96"/>
              <w:jc w:val="right"/>
              <w:rPr>
                <w:b/>
                <w:bCs/>
                <w:sz w:val="18"/>
                <w:szCs w:val="18"/>
              </w:rPr>
            </w:pPr>
          </w:p>
        </w:tc>
        <w:tc>
          <w:tcPr>
            <w:tcW w:w="761" w:type="pct"/>
            <w:tcBorders>
              <w:top w:val="single" w:sz="4" w:space="0" w:color="auto"/>
              <w:bottom w:val="nil"/>
            </w:tcBorders>
            <w:vAlign w:val="center"/>
          </w:tcPr>
          <w:p w:rsidR="00C74E9F" w:rsidRPr="007A542A" w:rsidRDefault="00C74E9F" w:rsidP="006D3AE4">
            <w:pPr>
              <w:ind w:right="96"/>
              <w:jc w:val="right"/>
              <w:rPr>
                <w:b/>
                <w:bCs/>
                <w:sz w:val="18"/>
                <w:szCs w:val="18"/>
              </w:rPr>
            </w:pPr>
          </w:p>
        </w:tc>
        <w:tc>
          <w:tcPr>
            <w:tcW w:w="619" w:type="pct"/>
            <w:tcBorders>
              <w:top w:val="single" w:sz="4" w:space="0" w:color="auto"/>
              <w:bottom w:val="nil"/>
            </w:tcBorders>
            <w:shd w:val="clear" w:color="auto" w:fill="auto"/>
            <w:noWrap/>
            <w:vAlign w:val="center"/>
          </w:tcPr>
          <w:p w:rsidR="00C74E9F" w:rsidRPr="007A542A" w:rsidRDefault="00C74E9F" w:rsidP="006D3AE4">
            <w:pPr>
              <w:ind w:right="96"/>
              <w:jc w:val="right"/>
              <w:rPr>
                <w:b/>
                <w:bCs/>
                <w:sz w:val="18"/>
                <w:szCs w:val="18"/>
              </w:rPr>
            </w:pPr>
          </w:p>
        </w:tc>
        <w:tc>
          <w:tcPr>
            <w:tcW w:w="625" w:type="pct"/>
            <w:tcBorders>
              <w:top w:val="single" w:sz="4" w:space="0" w:color="auto"/>
              <w:bottom w:val="nil"/>
            </w:tcBorders>
            <w:shd w:val="clear" w:color="auto" w:fill="auto"/>
            <w:noWrap/>
            <w:vAlign w:val="center"/>
          </w:tcPr>
          <w:p w:rsidR="00C74E9F" w:rsidRPr="007A542A" w:rsidRDefault="00C74E9F" w:rsidP="006D3AE4">
            <w:pPr>
              <w:ind w:right="96"/>
              <w:jc w:val="right"/>
              <w:rPr>
                <w:b/>
                <w:bCs/>
                <w:sz w:val="18"/>
                <w:szCs w:val="18"/>
              </w:rPr>
            </w:pPr>
          </w:p>
        </w:tc>
        <w:tc>
          <w:tcPr>
            <w:tcW w:w="981" w:type="pct"/>
            <w:tcBorders>
              <w:top w:val="single" w:sz="4" w:space="0" w:color="auto"/>
              <w:bottom w:val="nil"/>
            </w:tcBorders>
            <w:vAlign w:val="center"/>
          </w:tcPr>
          <w:p w:rsidR="00C74E9F" w:rsidRPr="007A542A" w:rsidRDefault="00C74E9F" w:rsidP="006D3AE4">
            <w:pPr>
              <w:ind w:right="94"/>
              <w:jc w:val="right"/>
              <w:rPr>
                <w:b/>
                <w:bCs/>
                <w:sz w:val="18"/>
                <w:szCs w:val="18"/>
              </w:rPr>
            </w:pPr>
          </w:p>
        </w:tc>
      </w:tr>
      <w:tr w:rsidR="00C74E9F" w:rsidRPr="007A542A" w:rsidTr="0062786B">
        <w:trPr>
          <w:trHeight w:val="118"/>
        </w:trPr>
        <w:tc>
          <w:tcPr>
            <w:tcW w:w="852" w:type="pct"/>
            <w:tcBorders>
              <w:top w:val="nil"/>
              <w:bottom w:val="nil"/>
            </w:tcBorders>
            <w:shd w:val="clear" w:color="auto" w:fill="auto"/>
            <w:noWrap/>
            <w:vAlign w:val="center"/>
          </w:tcPr>
          <w:p w:rsidR="00C74E9F" w:rsidRPr="007A542A" w:rsidRDefault="00C74E9F" w:rsidP="00E2084F">
            <w:pPr>
              <w:rPr>
                <w:sz w:val="18"/>
                <w:szCs w:val="18"/>
              </w:rPr>
            </w:pPr>
            <w:r w:rsidRPr="007A542A">
              <w:rPr>
                <w:b/>
                <w:bCs/>
                <w:sz w:val="18"/>
                <w:szCs w:val="18"/>
              </w:rPr>
              <w:t>k 1. lednu 201</w:t>
            </w:r>
            <w:r w:rsidR="00D73DC3">
              <w:rPr>
                <w:b/>
                <w:bCs/>
                <w:sz w:val="18"/>
                <w:szCs w:val="18"/>
              </w:rPr>
              <w:t>5</w:t>
            </w:r>
          </w:p>
        </w:tc>
        <w:tc>
          <w:tcPr>
            <w:tcW w:w="543" w:type="pct"/>
            <w:tcBorders>
              <w:top w:val="nil"/>
              <w:bottom w:val="nil"/>
            </w:tcBorders>
            <w:shd w:val="clear" w:color="auto" w:fill="auto"/>
            <w:noWrap/>
            <w:vAlign w:val="center"/>
          </w:tcPr>
          <w:p w:rsidR="00C74E9F" w:rsidRPr="007A542A" w:rsidRDefault="00C74E9F" w:rsidP="006D3AE4">
            <w:pPr>
              <w:ind w:right="96"/>
              <w:jc w:val="right"/>
              <w:rPr>
                <w:iCs/>
                <w:sz w:val="18"/>
                <w:szCs w:val="18"/>
              </w:rPr>
            </w:pPr>
            <w:r w:rsidRPr="007A542A">
              <w:rPr>
                <w:b/>
                <w:bCs/>
                <w:sz w:val="18"/>
                <w:szCs w:val="18"/>
              </w:rPr>
              <w:t>11 444</w:t>
            </w:r>
          </w:p>
        </w:tc>
        <w:tc>
          <w:tcPr>
            <w:tcW w:w="619" w:type="pct"/>
            <w:tcBorders>
              <w:top w:val="nil"/>
              <w:bottom w:val="nil"/>
            </w:tcBorders>
            <w:vAlign w:val="center"/>
          </w:tcPr>
          <w:p w:rsidR="00C74E9F" w:rsidRPr="007A542A" w:rsidRDefault="005C2DAB" w:rsidP="006D3AE4">
            <w:pPr>
              <w:ind w:right="96"/>
              <w:jc w:val="right"/>
              <w:rPr>
                <w:b/>
                <w:iCs/>
                <w:sz w:val="18"/>
                <w:szCs w:val="18"/>
              </w:rPr>
            </w:pPr>
            <w:r>
              <w:rPr>
                <w:b/>
                <w:iCs/>
                <w:sz w:val="18"/>
                <w:szCs w:val="18"/>
              </w:rPr>
              <w:t>9 187</w:t>
            </w:r>
          </w:p>
        </w:tc>
        <w:tc>
          <w:tcPr>
            <w:tcW w:w="761" w:type="pct"/>
            <w:tcBorders>
              <w:top w:val="nil"/>
              <w:bottom w:val="nil"/>
            </w:tcBorders>
            <w:vAlign w:val="center"/>
          </w:tcPr>
          <w:p w:rsidR="00C74E9F" w:rsidRPr="007A542A" w:rsidRDefault="005C2DAB" w:rsidP="006D3AE4">
            <w:pPr>
              <w:ind w:right="96"/>
              <w:jc w:val="right"/>
              <w:rPr>
                <w:b/>
                <w:iCs/>
                <w:sz w:val="18"/>
                <w:szCs w:val="18"/>
              </w:rPr>
            </w:pPr>
            <w:r>
              <w:rPr>
                <w:b/>
                <w:iCs/>
                <w:sz w:val="18"/>
                <w:szCs w:val="18"/>
              </w:rPr>
              <w:t>-1 986</w:t>
            </w:r>
          </w:p>
        </w:tc>
        <w:tc>
          <w:tcPr>
            <w:tcW w:w="619" w:type="pct"/>
            <w:tcBorders>
              <w:top w:val="nil"/>
              <w:bottom w:val="nil"/>
            </w:tcBorders>
            <w:shd w:val="clear" w:color="auto" w:fill="auto"/>
            <w:noWrap/>
            <w:vAlign w:val="center"/>
          </w:tcPr>
          <w:p w:rsidR="00C74E9F" w:rsidRPr="007A542A" w:rsidRDefault="005C2DAB" w:rsidP="006D3AE4">
            <w:pPr>
              <w:ind w:right="96"/>
              <w:jc w:val="right"/>
              <w:rPr>
                <w:b/>
                <w:iCs/>
                <w:sz w:val="18"/>
                <w:szCs w:val="18"/>
              </w:rPr>
            </w:pPr>
            <w:r>
              <w:rPr>
                <w:b/>
                <w:iCs/>
                <w:sz w:val="18"/>
                <w:szCs w:val="18"/>
              </w:rPr>
              <w:t>11 855</w:t>
            </w:r>
          </w:p>
        </w:tc>
        <w:tc>
          <w:tcPr>
            <w:tcW w:w="625" w:type="pct"/>
            <w:tcBorders>
              <w:top w:val="nil"/>
              <w:bottom w:val="nil"/>
            </w:tcBorders>
            <w:shd w:val="clear" w:color="auto" w:fill="auto"/>
            <w:noWrap/>
            <w:vAlign w:val="center"/>
          </w:tcPr>
          <w:p w:rsidR="00C74E9F" w:rsidRPr="007A542A" w:rsidRDefault="005C2DAB" w:rsidP="00E948B4">
            <w:pPr>
              <w:ind w:right="96"/>
              <w:jc w:val="right"/>
              <w:rPr>
                <w:rFonts w:eastAsia="SimSun"/>
                <w:b/>
                <w:iCs/>
                <w:sz w:val="18"/>
                <w:szCs w:val="18"/>
                <w:lang w:val="fr-FR" w:eastAsia="en-US"/>
              </w:rPr>
            </w:pPr>
            <w:r>
              <w:rPr>
                <w:b/>
                <w:iCs/>
                <w:sz w:val="18"/>
                <w:szCs w:val="18"/>
              </w:rPr>
              <w:t>127 141</w:t>
            </w:r>
          </w:p>
        </w:tc>
        <w:tc>
          <w:tcPr>
            <w:tcW w:w="981" w:type="pct"/>
            <w:tcBorders>
              <w:top w:val="nil"/>
              <w:bottom w:val="nil"/>
            </w:tcBorders>
            <w:vAlign w:val="center"/>
          </w:tcPr>
          <w:p w:rsidR="00C74E9F" w:rsidRPr="007A542A" w:rsidRDefault="004C0BC1" w:rsidP="00E948B4">
            <w:pPr>
              <w:ind w:right="94"/>
              <w:jc w:val="right"/>
              <w:rPr>
                <w:rFonts w:eastAsia="SimSun"/>
                <w:b/>
                <w:bCs/>
                <w:sz w:val="18"/>
                <w:szCs w:val="18"/>
                <w:lang w:val="fr-FR" w:eastAsia="en-US"/>
              </w:rPr>
            </w:pPr>
            <w:r>
              <w:rPr>
                <w:b/>
                <w:bCs/>
                <w:sz w:val="18"/>
                <w:szCs w:val="18"/>
              </w:rPr>
              <w:t>157 641</w:t>
            </w:r>
          </w:p>
        </w:tc>
      </w:tr>
      <w:tr w:rsidR="00C74E9F" w:rsidRPr="007A542A" w:rsidTr="0062786B">
        <w:trPr>
          <w:trHeight w:val="118"/>
        </w:trPr>
        <w:tc>
          <w:tcPr>
            <w:tcW w:w="852" w:type="pct"/>
            <w:tcBorders>
              <w:top w:val="nil"/>
              <w:bottom w:val="nil"/>
            </w:tcBorders>
            <w:shd w:val="clear" w:color="auto" w:fill="auto"/>
            <w:noWrap/>
            <w:vAlign w:val="center"/>
          </w:tcPr>
          <w:p w:rsidR="00C74E9F" w:rsidRPr="007A542A" w:rsidRDefault="00C74E9F" w:rsidP="00E2084F">
            <w:pPr>
              <w:rPr>
                <w:bCs/>
                <w:sz w:val="18"/>
                <w:szCs w:val="18"/>
              </w:rPr>
            </w:pPr>
            <w:r w:rsidRPr="007A542A">
              <w:rPr>
                <w:sz w:val="18"/>
                <w:szCs w:val="18"/>
              </w:rPr>
              <w:t>Distribuce</w:t>
            </w:r>
          </w:p>
        </w:tc>
        <w:tc>
          <w:tcPr>
            <w:tcW w:w="543" w:type="pct"/>
            <w:tcBorders>
              <w:top w:val="nil"/>
              <w:bottom w:val="nil"/>
            </w:tcBorders>
            <w:shd w:val="clear" w:color="auto" w:fill="auto"/>
            <w:noWrap/>
            <w:vAlign w:val="center"/>
          </w:tcPr>
          <w:p w:rsidR="00C74E9F" w:rsidRPr="007A542A" w:rsidRDefault="00C74E9F" w:rsidP="006D3AE4">
            <w:pPr>
              <w:ind w:right="96"/>
              <w:jc w:val="right"/>
              <w:rPr>
                <w:bCs/>
                <w:sz w:val="18"/>
                <w:szCs w:val="18"/>
              </w:rPr>
            </w:pPr>
            <w:r w:rsidRPr="007A542A">
              <w:rPr>
                <w:iCs/>
                <w:sz w:val="18"/>
                <w:szCs w:val="18"/>
              </w:rPr>
              <w:t>--</w:t>
            </w:r>
          </w:p>
        </w:tc>
        <w:tc>
          <w:tcPr>
            <w:tcW w:w="619" w:type="pct"/>
            <w:tcBorders>
              <w:top w:val="nil"/>
              <w:bottom w:val="nil"/>
            </w:tcBorders>
            <w:vAlign w:val="center"/>
          </w:tcPr>
          <w:p w:rsidR="00C74E9F" w:rsidRPr="007A542A" w:rsidRDefault="00C74E9F" w:rsidP="006D3AE4">
            <w:pPr>
              <w:ind w:right="96"/>
              <w:jc w:val="right"/>
              <w:rPr>
                <w:iCs/>
                <w:sz w:val="18"/>
                <w:szCs w:val="18"/>
              </w:rPr>
            </w:pPr>
            <w:r w:rsidRPr="007A542A">
              <w:rPr>
                <w:bCs/>
                <w:sz w:val="18"/>
                <w:szCs w:val="18"/>
              </w:rPr>
              <w:t>--</w:t>
            </w:r>
          </w:p>
        </w:tc>
        <w:tc>
          <w:tcPr>
            <w:tcW w:w="761" w:type="pct"/>
            <w:tcBorders>
              <w:top w:val="nil"/>
              <w:bottom w:val="nil"/>
            </w:tcBorders>
            <w:vAlign w:val="center"/>
          </w:tcPr>
          <w:p w:rsidR="00C74E9F" w:rsidRPr="007A542A" w:rsidRDefault="00C74E9F" w:rsidP="006D3AE4">
            <w:pPr>
              <w:ind w:right="96"/>
              <w:jc w:val="right"/>
              <w:rPr>
                <w:b/>
                <w:iCs/>
                <w:sz w:val="18"/>
                <w:szCs w:val="18"/>
              </w:rPr>
            </w:pPr>
            <w:r w:rsidRPr="007A542A">
              <w:rPr>
                <w:b/>
                <w:iCs/>
                <w:sz w:val="18"/>
                <w:szCs w:val="18"/>
              </w:rPr>
              <w:t>--</w:t>
            </w:r>
          </w:p>
        </w:tc>
        <w:tc>
          <w:tcPr>
            <w:tcW w:w="619" w:type="pct"/>
            <w:tcBorders>
              <w:top w:val="nil"/>
              <w:bottom w:val="nil"/>
            </w:tcBorders>
            <w:shd w:val="clear" w:color="auto" w:fill="auto"/>
            <w:noWrap/>
            <w:vAlign w:val="center"/>
          </w:tcPr>
          <w:p w:rsidR="00C74E9F" w:rsidRPr="007A542A" w:rsidRDefault="00C74E9F" w:rsidP="006D3AE4">
            <w:pPr>
              <w:ind w:right="96"/>
              <w:jc w:val="right"/>
              <w:rPr>
                <w:bCs/>
                <w:sz w:val="18"/>
                <w:szCs w:val="18"/>
              </w:rPr>
            </w:pPr>
            <w:r w:rsidRPr="007A542A">
              <w:rPr>
                <w:b/>
                <w:iCs/>
                <w:sz w:val="18"/>
                <w:szCs w:val="18"/>
              </w:rPr>
              <w:t>--</w:t>
            </w:r>
          </w:p>
        </w:tc>
        <w:tc>
          <w:tcPr>
            <w:tcW w:w="625" w:type="pct"/>
            <w:tcBorders>
              <w:top w:val="nil"/>
              <w:bottom w:val="nil"/>
            </w:tcBorders>
            <w:shd w:val="clear" w:color="auto" w:fill="auto"/>
            <w:noWrap/>
            <w:vAlign w:val="center"/>
          </w:tcPr>
          <w:p w:rsidR="00C74E9F" w:rsidRPr="007A542A" w:rsidRDefault="00C74E9F" w:rsidP="006D3AE4">
            <w:pPr>
              <w:ind w:right="96"/>
              <w:jc w:val="right"/>
              <w:rPr>
                <w:bCs/>
                <w:sz w:val="18"/>
                <w:szCs w:val="18"/>
              </w:rPr>
            </w:pPr>
            <w:r w:rsidRPr="007A542A">
              <w:rPr>
                <w:iCs/>
                <w:sz w:val="18"/>
                <w:szCs w:val="18"/>
              </w:rPr>
              <w:t xml:space="preserve">-10 </w:t>
            </w:r>
            <w:r w:rsidR="005C2DAB">
              <w:rPr>
                <w:iCs/>
                <w:sz w:val="18"/>
                <w:szCs w:val="18"/>
              </w:rPr>
              <w:t>614</w:t>
            </w:r>
          </w:p>
        </w:tc>
        <w:tc>
          <w:tcPr>
            <w:tcW w:w="981" w:type="pct"/>
            <w:tcBorders>
              <w:top w:val="nil"/>
              <w:bottom w:val="nil"/>
            </w:tcBorders>
            <w:vAlign w:val="center"/>
          </w:tcPr>
          <w:p w:rsidR="00C74E9F" w:rsidRPr="007A542A" w:rsidRDefault="004C0BC1" w:rsidP="006D3AE4">
            <w:pPr>
              <w:ind w:right="94"/>
              <w:jc w:val="right"/>
              <w:rPr>
                <w:b/>
                <w:bCs/>
                <w:sz w:val="18"/>
                <w:szCs w:val="18"/>
              </w:rPr>
            </w:pPr>
            <w:r>
              <w:rPr>
                <w:b/>
                <w:iCs/>
                <w:sz w:val="18"/>
                <w:szCs w:val="18"/>
              </w:rPr>
              <w:t>-10 614</w:t>
            </w:r>
          </w:p>
        </w:tc>
      </w:tr>
      <w:tr w:rsidR="00C74E9F" w:rsidRPr="007A542A" w:rsidTr="0062786B">
        <w:trPr>
          <w:trHeight w:val="118"/>
        </w:trPr>
        <w:tc>
          <w:tcPr>
            <w:tcW w:w="852" w:type="pct"/>
            <w:tcBorders>
              <w:top w:val="nil"/>
              <w:bottom w:val="nil"/>
            </w:tcBorders>
            <w:shd w:val="clear" w:color="auto" w:fill="auto"/>
            <w:noWrap/>
            <w:vAlign w:val="center"/>
          </w:tcPr>
          <w:p w:rsidR="00C74E9F" w:rsidRPr="007A542A" w:rsidRDefault="00C74E9F" w:rsidP="00E2084F">
            <w:pPr>
              <w:rPr>
                <w:bCs/>
                <w:sz w:val="18"/>
                <w:szCs w:val="18"/>
              </w:rPr>
            </w:pPr>
            <w:r w:rsidRPr="007A542A">
              <w:rPr>
                <w:sz w:val="18"/>
                <w:szCs w:val="18"/>
              </w:rPr>
              <w:t>Ostatní úplný výsledek za období</w:t>
            </w:r>
          </w:p>
        </w:tc>
        <w:tc>
          <w:tcPr>
            <w:tcW w:w="543" w:type="pct"/>
            <w:tcBorders>
              <w:top w:val="nil"/>
              <w:bottom w:val="nil"/>
            </w:tcBorders>
            <w:shd w:val="clear" w:color="auto" w:fill="auto"/>
            <w:noWrap/>
            <w:vAlign w:val="center"/>
          </w:tcPr>
          <w:p w:rsidR="00C74E9F" w:rsidRPr="007A542A" w:rsidRDefault="00C74E9F" w:rsidP="006D3AE4">
            <w:pPr>
              <w:ind w:right="96"/>
              <w:jc w:val="right"/>
              <w:rPr>
                <w:iCs/>
                <w:sz w:val="18"/>
                <w:szCs w:val="18"/>
              </w:rPr>
            </w:pPr>
            <w:r w:rsidRPr="007A542A">
              <w:rPr>
                <w:iCs/>
                <w:sz w:val="18"/>
                <w:szCs w:val="18"/>
              </w:rPr>
              <w:t>--</w:t>
            </w:r>
          </w:p>
        </w:tc>
        <w:tc>
          <w:tcPr>
            <w:tcW w:w="619" w:type="pct"/>
            <w:tcBorders>
              <w:top w:val="nil"/>
              <w:bottom w:val="nil"/>
            </w:tcBorders>
            <w:vAlign w:val="center"/>
          </w:tcPr>
          <w:p w:rsidR="00C74E9F" w:rsidRPr="007A542A" w:rsidRDefault="00C74E9F" w:rsidP="006D3AE4">
            <w:pPr>
              <w:ind w:right="96"/>
              <w:jc w:val="right"/>
              <w:rPr>
                <w:b/>
                <w:iCs/>
                <w:sz w:val="18"/>
                <w:szCs w:val="18"/>
              </w:rPr>
            </w:pPr>
            <w:r w:rsidRPr="007A542A">
              <w:rPr>
                <w:b/>
                <w:iCs/>
                <w:sz w:val="18"/>
                <w:szCs w:val="18"/>
              </w:rPr>
              <w:t>--</w:t>
            </w:r>
          </w:p>
        </w:tc>
        <w:tc>
          <w:tcPr>
            <w:tcW w:w="761" w:type="pct"/>
            <w:tcBorders>
              <w:top w:val="nil"/>
              <w:bottom w:val="nil"/>
            </w:tcBorders>
            <w:vAlign w:val="center"/>
          </w:tcPr>
          <w:p w:rsidR="00C74E9F" w:rsidRPr="007A542A" w:rsidRDefault="004C0BC1" w:rsidP="009D2269">
            <w:pPr>
              <w:ind w:right="96"/>
              <w:jc w:val="right"/>
              <w:rPr>
                <w:iCs/>
                <w:sz w:val="18"/>
                <w:szCs w:val="18"/>
              </w:rPr>
            </w:pPr>
            <w:r>
              <w:rPr>
                <w:iCs/>
                <w:sz w:val="18"/>
                <w:szCs w:val="18"/>
              </w:rPr>
              <w:t>722</w:t>
            </w:r>
          </w:p>
        </w:tc>
        <w:tc>
          <w:tcPr>
            <w:tcW w:w="619" w:type="pct"/>
            <w:tcBorders>
              <w:top w:val="nil"/>
              <w:bottom w:val="nil"/>
            </w:tcBorders>
            <w:shd w:val="clear" w:color="auto" w:fill="auto"/>
            <w:noWrap/>
            <w:vAlign w:val="center"/>
          </w:tcPr>
          <w:p w:rsidR="00C74E9F" w:rsidRPr="007A542A" w:rsidRDefault="00B23DDB" w:rsidP="005C2DAB">
            <w:pPr>
              <w:ind w:right="96"/>
              <w:jc w:val="right"/>
              <w:rPr>
                <w:iCs/>
                <w:sz w:val="18"/>
                <w:szCs w:val="18"/>
              </w:rPr>
            </w:pPr>
            <w:r>
              <w:rPr>
                <w:iCs/>
                <w:sz w:val="18"/>
                <w:szCs w:val="18"/>
              </w:rPr>
              <w:t>-4 600</w:t>
            </w:r>
          </w:p>
        </w:tc>
        <w:tc>
          <w:tcPr>
            <w:tcW w:w="625" w:type="pct"/>
            <w:tcBorders>
              <w:top w:val="nil"/>
              <w:bottom w:val="nil"/>
            </w:tcBorders>
            <w:shd w:val="clear" w:color="auto" w:fill="auto"/>
            <w:noWrap/>
            <w:vAlign w:val="center"/>
          </w:tcPr>
          <w:p w:rsidR="00C74E9F" w:rsidRPr="007A542A" w:rsidDel="002D1E65" w:rsidRDefault="00C74E9F" w:rsidP="006D3AE4">
            <w:pPr>
              <w:ind w:right="96"/>
              <w:jc w:val="right"/>
              <w:rPr>
                <w:bCs/>
                <w:sz w:val="18"/>
                <w:szCs w:val="18"/>
              </w:rPr>
            </w:pPr>
            <w:r w:rsidRPr="007A542A">
              <w:rPr>
                <w:b/>
                <w:iCs/>
                <w:sz w:val="18"/>
                <w:szCs w:val="18"/>
              </w:rPr>
              <w:t>--</w:t>
            </w:r>
          </w:p>
        </w:tc>
        <w:tc>
          <w:tcPr>
            <w:tcW w:w="981" w:type="pct"/>
            <w:tcBorders>
              <w:top w:val="nil"/>
              <w:bottom w:val="nil"/>
            </w:tcBorders>
            <w:vAlign w:val="center"/>
          </w:tcPr>
          <w:p w:rsidR="00C74E9F" w:rsidRPr="007A542A" w:rsidRDefault="00B23DDB" w:rsidP="00852036">
            <w:pPr>
              <w:ind w:right="94"/>
              <w:jc w:val="right"/>
              <w:rPr>
                <w:rFonts w:eastAsia="SimSun"/>
                <w:b/>
                <w:bCs/>
                <w:sz w:val="18"/>
                <w:szCs w:val="18"/>
                <w:lang w:val="fr-FR" w:eastAsia="en-US"/>
              </w:rPr>
            </w:pPr>
            <w:r>
              <w:rPr>
                <w:b/>
                <w:bCs/>
                <w:sz w:val="18"/>
                <w:szCs w:val="18"/>
              </w:rPr>
              <w:t>-3 878</w:t>
            </w:r>
          </w:p>
        </w:tc>
      </w:tr>
      <w:tr w:rsidR="00C74E9F" w:rsidRPr="007A542A" w:rsidTr="0062786B">
        <w:trPr>
          <w:trHeight w:val="118"/>
        </w:trPr>
        <w:tc>
          <w:tcPr>
            <w:tcW w:w="852" w:type="pct"/>
            <w:tcBorders>
              <w:top w:val="nil"/>
              <w:bottom w:val="nil"/>
            </w:tcBorders>
            <w:shd w:val="clear" w:color="auto" w:fill="auto"/>
            <w:noWrap/>
            <w:vAlign w:val="center"/>
          </w:tcPr>
          <w:p w:rsidR="00C74E9F" w:rsidRPr="007A542A" w:rsidRDefault="00C74E9F" w:rsidP="00E2084F">
            <w:pPr>
              <w:rPr>
                <w:bCs/>
                <w:sz w:val="18"/>
                <w:szCs w:val="18"/>
              </w:rPr>
            </w:pPr>
            <w:r w:rsidRPr="007A542A">
              <w:rPr>
                <w:sz w:val="18"/>
                <w:szCs w:val="18"/>
              </w:rPr>
              <w:t>Čistý zisk za dané období</w:t>
            </w:r>
          </w:p>
        </w:tc>
        <w:tc>
          <w:tcPr>
            <w:tcW w:w="543" w:type="pct"/>
            <w:tcBorders>
              <w:top w:val="nil"/>
              <w:bottom w:val="nil"/>
            </w:tcBorders>
            <w:shd w:val="clear" w:color="auto" w:fill="auto"/>
            <w:noWrap/>
            <w:vAlign w:val="center"/>
          </w:tcPr>
          <w:p w:rsidR="00C74E9F" w:rsidRPr="007A542A" w:rsidRDefault="00C74E9F" w:rsidP="006D3AE4">
            <w:pPr>
              <w:ind w:right="96"/>
              <w:jc w:val="right"/>
              <w:rPr>
                <w:bCs/>
                <w:sz w:val="18"/>
                <w:szCs w:val="18"/>
              </w:rPr>
            </w:pPr>
            <w:r w:rsidRPr="007A542A">
              <w:rPr>
                <w:iCs/>
                <w:sz w:val="18"/>
                <w:szCs w:val="18"/>
              </w:rPr>
              <w:t>--</w:t>
            </w:r>
          </w:p>
        </w:tc>
        <w:tc>
          <w:tcPr>
            <w:tcW w:w="619" w:type="pct"/>
            <w:tcBorders>
              <w:top w:val="nil"/>
              <w:bottom w:val="nil"/>
            </w:tcBorders>
            <w:vAlign w:val="center"/>
          </w:tcPr>
          <w:p w:rsidR="00C74E9F" w:rsidRPr="007A542A" w:rsidRDefault="00C74E9F" w:rsidP="006D3AE4">
            <w:pPr>
              <w:ind w:right="96"/>
              <w:jc w:val="right"/>
              <w:rPr>
                <w:iCs/>
                <w:sz w:val="18"/>
                <w:szCs w:val="18"/>
              </w:rPr>
            </w:pPr>
            <w:r w:rsidRPr="007A542A">
              <w:rPr>
                <w:b/>
                <w:iCs/>
                <w:sz w:val="18"/>
                <w:szCs w:val="18"/>
              </w:rPr>
              <w:t>--</w:t>
            </w:r>
          </w:p>
        </w:tc>
        <w:tc>
          <w:tcPr>
            <w:tcW w:w="761" w:type="pct"/>
            <w:tcBorders>
              <w:top w:val="nil"/>
              <w:bottom w:val="nil"/>
            </w:tcBorders>
            <w:vAlign w:val="center"/>
          </w:tcPr>
          <w:p w:rsidR="00C74E9F" w:rsidRPr="007A542A" w:rsidRDefault="00C74E9F" w:rsidP="006D3AE4">
            <w:pPr>
              <w:ind w:right="96"/>
              <w:jc w:val="right"/>
              <w:rPr>
                <w:b/>
                <w:iCs/>
                <w:sz w:val="18"/>
                <w:szCs w:val="18"/>
              </w:rPr>
            </w:pPr>
            <w:r w:rsidRPr="007A542A">
              <w:rPr>
                <w:b/>
                <w:iCs/>
                <w:sz w:val="18"/>
                <w:szCs w:val="18"/>
              </w:rPr>
              <w:t>--</w:t>
            </w:r>
          </w:p>
        </w:tc>
        <w:tc>
          <w:tcPr>
            <w:tcW w:w="619" w:type="pct"/>
            <w:tcBorders>
              <w:top w:val="nil"/>
              <w:bottom w:val="nil"/>
            </w:tcBorders>
            <w:shd w:val="clear" w:color="auto" w:fill="auto"/>
            <w:noWrap/>
            <w:vAlign w:val="center"/>
          </w:tcPr>
          <w:p w:rsidR="00C74E9F" w:rsidRPr="007A542A" w:rsidRDefault="00C74E9F" w:rsidP="006D3AE4">
            <w:pPr>
              <w:ind w:right="96"/>
              <w:jc w:val="right"/>
              <w:rPr>
                <w:bCs/>
                <w:sz w:val="18"/>
                <w:szCs w:val="18"/>
              </w:rPr>
            </w:pPr>
            <w:r w:rsidRPr="007A542A">
              <w:rPr>
                <w:b/>
                <w:iCs/>
                <w:sz w:val="18"/>
                <w:szCs w:val="18"/>
              </w:rPr>
              <w:t>--</w:t>
            </w:r>
          </w:p>
        </w:tc>
        <w:tc>
          <w:tcPr>
            <w:tcW w:w="625" w:type="pct"/>
            <w:tcBorders>
              <w:top w:val="nil"/>
              <w:bottom w:val="nil"/>
            </w:tcBorders>
            <w:shd w:val="clear" w:color="auto" w:fill="auto"/>
            <w:noWrap/>
            <w:vAlign w:val="center"/>
          </w:tcPr>
          <w:p w:rsidR="00C74E9F" w:rsidRPr="007A542A" w:rsidRDefault="005C2DAB" w:rsidP="00E229B1">
            <w:pPr>
              <w:ind w:right="96"/>
              <w:jc w:val="right"/>
              <w:rPr>
                <w:bCs/>
                <w:sz w:val="18"/>
                <w:szCs w:val="18"/>
              </w:rPr>
            </w:pPr>
            <w:r>
              <w:rPr>
                <w:bCs/>
                <w:sz w:val="18"/>
                <w:szCs w:val="18"/>
              </w:rPr>
              <w:t>16 327</w:t>
            </w:r>
          </w:p>
        </w:tc>
        <w:tc>
          <w:tcPr>
            <w:tcW w:w="981" w:type="pct"/>
            <w:tcBorders>
              <w:top w:val="nil"/>
              <w:bottom w:val="nil"/>
            </w:tcBorders>
            <w:vAlign w:val="center"/>
          </w:tcPr>
          <w:p w:rsidR="00C74E9F" w:rsidRPr="007A542A" w:rsidRDefault="004C0BC1" w:rsidP="00852036">
            <w:pPr>
              <w:ind w:right="94"/>
              <w:jc w:val="right"/>
              <w:rPr>
                <w:rFonts w:eastAsia="SimSun"/>
                <w:b/>
                <w:bCs/>
                <w:sz w:val="18"/>
                <w:szCs w:val="18"/>
                <w:lang w:val="fr-FR" w:eastAsia="en-US"/>
              </w:rPr>
            </w:pPr>
            <w:r>
              <w:rPr>
                <w:b/>
                <w:bCs/>
                <w:sz w:val="18"/>
                <w:szCs w:val="18"/>
              </w:rPr>
              <w:t>16 327</w:t>
            </w:r>
          </w:p>
        </w:tc>
      </w:tr>
      <w:tr w:rsidR="00C74E9F" w:rsidRPr="007A542A" w:rsidTr="0062786B">
        <w:trPr>
          <w:trHeight w:val="118"/>
        </w:trPr>
        <w:tc>
          <w:tcPr>
            <w:tcW w:w="852" w:type="pct"/>
            <w:tcBorders>
              <w:top w:val="nil"/>
              <w:bottom w:val="nil"/>
            </w:tcBorders>
            <w:shd w:val="clear" w:color="auto" w:fill="auto"/>
            <w:noWrap/>
            <w:vAlign w:val="center"/>
          </w:tcPr>
          <w:p w:rsidR="00C74E9F" w:rsidRPr="007A542A" w:rsidRDefault="00C74E9F" w:rsidP="00E2084F">
            <w:pPr>
              <w:rPr>
                <w:sz w:val="18"/>
                <w:szCs w:val="18"/>
              </w:rPr>
            </w:pPr>
            <w:r w:rsidRPr="007A542A">
              <w:rPr>
                <w:sz w:val="18"/>
                <w:szCs w:val="18"/>
              </w:rPr>
              <w:t>Zákonný rezervní fond tvořený z nerozděleného zisku</w:t>
            </w:r>
          </w:p>
        </w:tc>
        <w:tc>
          <w:tcPr>
            <w:tcW w:w="543" w:type="pct"/>
            <w:tcBorders>
              <w:top w:val="nil"/>
              <w:bottom w:val="nil"/>
            </w:tcBorders>
            <w:shd w:val="clear" w:color="auto" w:fill="auto"/>
            <w:noWrap/>
            <w:vAlign w:val="center"/>
          </w:tcPr>
          <w:p w:rsidR="00C74E9F" w:rsidRPr="007A542A" w:rsidRDefault="00C74E9F" w:rsidP="006D3AE4">
            <w:pPr>
              <w:ind w:right="96"/>
              <w:jc w:val="right"/>
              <w:rPr>
                <w:bCs/>
                <w:sz w:val="18"/>
                <w:szCs w:val="18"/>
              </w:rPr>
            </w:pPr>
            <w:r w:rsidRPr="007A542A">
              <w:rPr>
                <w:iCs/>
                <w:sz w:val="18"/>
                <w:szCs w:val="18"/>
              </w:rPr>
              <w:t>--</w:t>
            </w:r>
          </w:p>
        </w:tc>
        <w:tc>
          <w:tcPr>
            <w:tcW w:w="619" w:type="pct"/>
            <w:tcBorders>
              <w:top w:val="nil"/>
              <w:bottom w:val="nil"/>
            </w:tcBorders>
            <w:vAlign w:val="center"/>
          </w:tcPr>
          <w:p w:rsidR="00C74E9F" w:rsidRPr="007A542A" w:rsidRDefault="005C2DAB" w:rsidP="006D3AE4">
            <w:pPr>
              <w:ind w:right="96"/>
              <w:jc w:val="right"/>
              <w:rPr>
                <w:iCs/>
                <w:sz w:val="18"/>
                <w:szCs w:val="18"/>
              </w:rPr>
            </w:pPr>
            <w:r w:rsidRPr="00CE4019">
              <w:rPr>
                <w:iCs/>
                <w:sz w:val="18"/>
                <w:szCs w:val="18"/>
              </w:rPr>
              <w:t>--</w:t>
            </w:r>
          </w:p>
        </w:tc>
        <w:tc>
          <w:tcPr>
            <w:tcW w:w="761" w:type="pct"/>
            <w:tcBorders>
              <w:top w:val="nil"/>
              <w:bottom w:val="nil"/>
            </w:tcBorders>
            <w:vAlign w:val="center"/>
          </w:tcPr>
          <w:p w:rsidR="00C74E9F" w:rsidRPr="007A542A" w:rsidRDefault="00C74E9F" w:rsidP="006D3AE4">
            <w:pPr>
              <w:ind w:right="96"/>
              <w:jc w:val="right"/>
              <w:rPr>
                <w:b/>
                <w:iCs/>
                <w:sz w:val="18"/>
                <w:szCs w:val="18"/>
              </w:rPr>
            </w:pPr>
            <w:r w:rsidRPr="007A542A">
              <w:rPr>
                <w:b/>
                <w:iCs/>
                <w:sz w:val="18"/>
                <w:szCs w:val="18"/>
              </w:rPr>
              <w:t>--</w:t>
            </w:r>
          </w:p>
        </w:tc>
        <w:tc>
          <w:tcPr>
            <w:tcW w:w="619" w:type="pct"/>
            <w:tcBorders>
              <w:top w:val="nil"/>
              <w:bottom w:val="nil"/>
            </w:tcBorders>
            <w:shd w:val="clear" w:color="auto" w:fill="auto"/>
            <w:noWrap/>
            <w:vAlign w:val="center"/>
          </w:tcPr>
          <w:p w:rsidR="00C74E9F" w:rsidRPr="007A542A" w:rsidRDefault="00C74E9F" w:rsidP="006D3AE4">
            <w:pPr>
              <w:ind w:right="96"/>
              <w:jc w:val="right"/>
              <w:rPr>
                <w:bCs/>
                <w:sz w:val="18"/>
                <w:szCs w:val="18"/>
              </w:rPr>
            </w:pPr>
            <w:r w:rsidRPr="007A542A">
              <w:rPr>
                <w:b/>
                <w:iCs/>
                <w:sz w:val="18"/>
                <w:szCs w:val="18"/>
              </w:rPr>
              <w:t>--</w:t>
            </w:r>
          </w:p>
        </w:tc>
        <w:tc>
          <w:tcPr>
            <w:tcW w:w="625" w:type="pct"/>
            <w:tcBorders>
              <w:top w:val="nil"/>
              <w:bottom w:val="nil"/>
            </w:tcBorders>
            <w:shd w:val="clear" w:color="auto" w:fill="auto"/>
            <w:noWrap/>
            <w:vAlign w:val="center"/>
          </w:tcPr>
          <w:p w:rsidR="00C74E9F" w:rsidRPr="007A542A" w:rsidRDefault="005C2DAB" w:rsidP="006D3AE4">
            <w:pPr>
              <w:ind w:right="96"/>
              <w:jc w:val="right"/>
              <w:rPr>
                <w:bCs/>
                <w:sz w:val="18"/>
                <w:szCs w:val="18"/>
              </w:rPr>
            </w:pPr>
            <w:r>
              <w:rPr>
                <w:iCs/>
                <w:sz w:val="18"/>
                <w:szCs w:val="18"/>
              </w:rPr>
              <w:t>--</w:t>
            </w:r>
          </w:p>
        </w:tc>
        <w:tc>
          <w:tcPr>
            <w:tcW w:w="981" w:type="pct"/>
            <w:tcBorders>
              <w:top w:val="nil"/>
              <w:bottom w:val="nil"/>
            </w:tcBorders>
            <w:vAlign w:val="center"/>
          </w:tcPr>
          <w:p w:rsidR="00C74E9F" w:rsidRPr="007A542A" w:rsidRDefault="00C74E9F" w:rsidP="006D3AE4">
            <w:pPr>
              <w:ind w:right="94"/>
              <w:jc w:val="right"/>
              <w:rPr>
                <w:b/>
                <w:bCs/>
                <w:sz w:val="18"/>
                <w:szCs w:val="18"/>
              </w:rPr>
            </w:pPr>
            <w:r w:rsidRPr="007A542A">
              <w:rPr>
                <w:b/>
                <w:bCs/>
                <w:sz w:val="18"/>
                <w:szCs w:val="18"/>
              </w:rPr>
              <w:t>--</w:t>
            </w:r>
          </w:p>
        </w:tc>
      </w:tr>
      <w:tr w:rsidR="00C74E9F" w:rsidRPr="007A542A" w:rsidTr="0062786B">
        <w:trPr>
          <w:trHeight w:hRule="exact" w:val="119"/>
        </w:trPr>
        <w:tc>
          <w:tcPr>
            <w:tcW w:w="852" w:type="pct"/>
            <w:tcBorders>
              <w:top w:val="nil"/>
              <w:bottom w:val="single" w:sz="4" w:space="0" w:color="auto"/>
            </w:tcBorders>
            <w:shd w:val="clear" w:color="auto" w:fill="auto"/>
            <w:noWrap/>
            <w:vAlign w:val="center"/>
          </w:tcPr>
          <w:p w:rsidR="00C74E9F" w:rsidRPr="007A542A" w:rsidRDefault="00C74E9F" w:rsidP="00E2084F">
            <w:pPr>
              <w:rPr>
                <w:b/>
                <w:bCs/>
                <w:sz w:val="18"/>
                <w:szCs w:val="18"/>
              </w:rPr>
            </w:pPr>
          </w:p>
        </w:tc>
        <w:tc>
          <w:tcPr>
            <w:tcW w:w="543" w:type="pct"/>
            <w:tcBorders>
              <w:top w:val="nil"/>
              <w:bottom w:val="single" w:sz="4" w:space="0" w:color="auto"/>
            </w:tcBorders>
            <w:shd w:val="clear" w:color="auto" w:fill="auto"/>
            <w:noWrap/>
            <w:vAlign w:val="center"/>
          </w:tcPr>
          <w:p w:rsidR="00C74E9F" w:rsidRPr="007A542A" w:rsidRDefault="00C74E9F" w:rsidP="006D3AE4">
            <w:pPr>
              <w:ind w:right="96"/>
              <w:jc w:val="right"/>
              <w:rPr>
                <w:b/>
                <w:bCs/>
                <w:sz w:val="18"/>
                <w:szCs w:val="18"/>
              </w:rPr>
            </w:pPr>
          </w:p>
        </w:tc>
        <w:tc>
          <w:tcPr>
            <w:tcW w:w="619" w:type="pct"/>
            <w:tcBorders>
              <w:top w:val="nil"/>
              <w:bottom w:val="single" w:sz="4" w:space="0" w:color="auto"/>
            </w:tcBorders>
            <w:vAlign w:val="center"/>
          </w:tcPr>
          <w:p w:rsidR="00C74E9F" w:rsidRPr="007A542A" w:rsidRDefault="00C74E9F" w:rsidP="006D3AE4">
            <w:pPr>
              <w:ind w:right="96"/>
              <w:jc w:val="right"/>
              <w:rPr>
                <w:b/>
                <w:bCs/>
                <w:sz w:val="18"/>
                <w:szCs w:val="18"/>
              </w:rPr>
            </w:pPr>
          </w:p>
        </w:tc>
        <w:tc>
          <w:tcPr>
            <w:tcW w:w="761" w:type="pct"/>
            <w:tcBorders>
              <w:top w:val="nil"/>
              <w:bottom w:val="single" w:sz="4" w:space="0" w:color="auto"/>
            </w:tcBorders>
            <w:vAlign w:val="center"/>
          </w:tcPr>
          <w:p w:rsidR="00C74E9F" w:rsidRPr="007A542A" w:rsidRDefault="00C74E9F" w:rsidP="006D3AE4">
            <w:pPr>
              <w:ind w:right="96"/>
              <w:jc w:val="right"/>
              <w:rPr>
                <w:b/>
                <w:bCs/>
                <w:sz w:val="18"/>
                <w:szCs w:val="18"/>
              </w:rPr>
            </w:pPr>
          </w:p>
        </w:tc>
        <w:tc>
          <w:tcPr>
            <w:tcW w:w="619" w:type="pct"/>
            <w:tcBorders>
              <w:top w:val="nil"/>
              <w:bottom w:val="single" w:sz="4" w:space="0" w:color="auto"/>
            </w:tcBorders>
            <w:shd w:val="clear" w:color="auto" w:fill="auto"/>
            <w:noWrap/>
            <w:vAlign w:val="center"/>
          </w:tcPr>
          <w:p w:rsidR="00C74E9F" w:rsidRPr="007A542A" w:rsidRDefault="00C74E9F" w:rsidP="006D3AE4">
            <w:pPr>
              <w:ind w:right="96"/>
              <w:jc w:val="right"/>
              <w:rPr>
                <w:b/>
                <w:bCs/>
                <w:sz w:val="18"/>
                <w:szCs w:val="18"/>
              </w:rPr>
            </w:pPr>
          </w:p>
        </w:tc>
        <w:tc>
          <w:tcPr>
            <w:tcW w:w="625" w:type="pct"/>
            <w:tcBorders>
              <w:top w:val="nil"/>
              <w:bottom w:val="single" w:sz="4" w:space="0" w:color="auto"/>
            </w:tcBorders>
            <w:shd w:val="clear" w:color="auto" w:fill="auto"/>
            <w:noWrap/>
            <w:vAlign w:val="center"/>
          </w:tcPr>
          <w:p w:rsidR="00C74E9F" w:rsidRPr="007A542A" w:rsidRDefault="00C74E9F" w:rsidP="006D3AE4">
            <w:pPr>
              <w:ind w:right="96"/>
              <w:jc w:val="right"/>
              <w:rPr>
                <w:b/>
                <w:bCs/>
                <w:sz w:val="18"/>
                <w:szCs w:val="18"/>
              </w:rPr>
            </w:pPr>
          </w:p>
        </w:tc>
        <w:tc>
          <w:tcPr>
            <w:tcW w:w="981" w:type="pct"/>
            <w:tcBorders>
              <w:top w:val="nil"/>
              <w:bottom w:val="single" w:sz="4" w:space="0" w:color="auto"/>
            </w:tcBorders>
            <w:vAlign w:val="center"/>
          </w:tcPr>
          <w:p w:rsidR="00C74E9F" w:rsidRPr="007A542A" w:rsidRDefault="00C74E9F" w:rsidP="006D3AE4">
            <w:pPr>
              <w:ind w:right="94"/>
              <w:jc w:val="right"/>
              <w:rPr>
                <w:b/>
                <w:bCs/>
                <w:sz w:val="18"/>
                <w:szCs w:val="18"/>
              </w:rPr>
            </w:pPr>
          </w:p>
        </w:tc>
      </w:tr>
      <w:tr w:rsidR="00C74E9F" w:rsidRPr="007A542A" w:rsidTr="0062786B">
        <w:trPr>
          <w:trHeight w:val="118"/>
        </w:trPr>
        <w:tc>
          <w:tcPr>
            <w:tcW w:w="852" w:type="pct"/>
            <w:tcBorders>
              <w:top w:val="single" w:sz="4" w:space="0" w:color="auto"/>
              <w:bottom w:val="nil"/>
            </w:tcBorders>
            <w:shd w:val="clear" w:color="auto" w:fill="auto"/>
            <w:noWrap/>
            <w:vAlign w:val="center"/>
          </w:tcPr>
          <w:p w:rsidR="00C74E9F" w:rsidRPr="007A542A" w:rsidRDefault="00C74E9F" w:rsidP="00E2084F">
            <w:pPr>
              <w:rPr>
                <w:b/>
                <w:bCs/>
                <w:sz w:val="18"/>
                <w:szCs w:val="18"/>
              </w:rPr>
            </w:pPr>
          </w:p>
        </w:tc>
        <w:tc>
          <w:tcPr>
            <w:tcW w:w="543" w:type="pct"/>
            <w:tcBorders>
              <w:top w:val="single" w:sz="4" w:space="0" w:color="auto"/>
              <w:bottom w:val="nil"/>
            </w:tcBorders>
            <w:shd w:val="clear" w:color="auto" w:fill="auto"/>
            <w:noWrap/>
            <w:vAlign w:val="center"/>
          </w:tcPr>
          <w:p w:rsidR="00C74E9F" w:rsidRPr="007A542A" w:rsidRDefault="00C74E9F" w:rsidP="006D3AE4">
            <w:pPr>
              <w:ind w:right="96"/>
              <w:jc w:val="right"/>
              <w:rPr>
                <w:b/>
                <w:bCs/>
                <w:sz w:val="18"/>
                <w:szCs w:val="18"/>
              </w:rPr>
            </w:pPr>
          </w:p>
        </w:tc>
        <w:tc>
          <w:tcPr>
            <w:tcW w:w="619" w:type="pct"/>
            <w:tcBorders>
              <w:top w:val="single" w:sz="4" w:space="0" w:color="auto"/>
              <w:bottom w:val="nil"/>
            </w:tcBorders>
            <w:vAlign w:val="center"/>
          </w:tcPr>
          <w:p w:rsidR="00C74E9F" w:rsidRPr="007A542A" w:rsidRDefault="00C74E9F" w:rsidP="006D3AE4">
            <w:pPr>
              <w:ind w:right="96"/>
              <w:jc w:val="right"/>
              <w:rPr>
                <w:b/>
                <w:bCs/>
                <w:sz w:val="18"/>
                <w:szCs w:val="18"/>
              </w:rPr>
            </w:pPr>
          </w:p>
        </w:tc>
        <w:tc>
          <w:tcPr>
            <w:tcW w:w="761" w:type="pct"/>
            <w:tcBorders>
              <w:top w:val="single" w:sz="4" w:space="0" w:color="auto"/>
              <w:bottom w:val="nil"/>
            </w:tcBorders>
            <w:vAlign w:val="center"/>
          </w:tcPr>
          <w:p w:rsidR="00C74E9F" w:rsidRPr="007A542A" w:rsidRDefault="00C74E9F" w:rsidP="006D3AE4">
            <w:pPr>
              <w:ind w:right="96"/>
              <w:jc w:val="right"/>
              <w:rPr>
                <w:b/>
                <w:bCs/>
                <w:sz w:val="18"/>
                <w:szCs w:val="18"/>
              </w:rPr>
            </w:pPr>
          </w:p>
        </w:tc>
        <w:tc>
          <w:tcPr>
            <w:tcW w:w="619" w:type="pct"/>
            <w:tcBorders>
              <w:top w:val="single" w:sz="4" w:space="0" w:color="auto"/>
              <w:bottom w:val="nil"/>
            </w:tcBorders>
            <w:shd w:val="clear" w:color="auto" w:fill="auto"/>
            <w:noWrap/>
            <w:vAlign w:val="center"/>
          </w:tcPr>
          <w:p w:rsidR="00C74E9F" w:rsidRPr="007A542A" w:rsidRDefault="00C74E9F" w:rsidP="006D3AE4">
            <w:pPr>
              <w:ind w:right="96"/>
              <w:jc w:val="right"/>
              <w:rPr>
                <w:b/>
                <w:bCs/>
                <w:sz w:val="18"/>
                <w:szCs w:val="18"/>
              </w:rPr>
            </w:pPr>
          </w:p>
        </w:tc>
        <w:tc>
          <w:tcPr>
            <w:tcW w:w="625" w:type="pct"/>
            <w:tcBorders>
              <w:top w:val="single" w:sz="4" w:space="0" w:color="auto"/>
              <w:bottom w:val="nil"/>
            </w:tcBorders>
            <w:shd w:val="clear" w:color="auto" w:fill="auto"/>
            <w:noWrap/>
            <w:vAlign w:val="center"/>
          </w:tcPr>
          <w:p w:rsidR="00C74E9F" w:rsidRPr="007A542A" w:rsidRDefault="00C74E9F" w:rsidP="006D3AE4">
            <w:pPr>
              <w:ind w:right="96"/>
              <w:jc w:val="right"/>
              <w:rPr>
                <w:b/>
                <w:bCs/>
                <w:sz w:val="18"/>
                <w:szCs w:val="18"/>
              </w:rPr>
            </w:pPr>
          </w:p>
        </w:tc>
        <w:tc>
          <w:tcPr>
            <w:tcW w:w="981" w:type="pct"/>
            <w:tcBorders>
              <w:top w:val="single" w:sz="4" w:space="0" w:color="auto"/>
              <w:bottom w:val="nil"/>
            </w:tcBorders>
            <w:vAlign w:val="center"/>
          </w:tcPr>
          <w:p w:rsidR="00C74E9F" w:rsidRPr="007A542A" w:rsidRDefault="00C74E9F" w:rsidP="006D3AE4">
            <w:pPr>
              <w:ind w:right="94"/>
              <w:jc w:val="right"/>
              <w:rPr>
                <w:b/>
                <w:bCs/>
                <w:sz w:val="18"/>
                <w:szCs w:val="18"/>
              </w:rPr>
            </w:pPr>
          </w:p>
        </w:tc>
      </w:tr>
      <w:tr w:rsidR="00C74E9F" w:rsidRPr="007A542A" w:rsidTr="0062786B">
        <w:trPr>
          <w:trHeight w:val="118"/>
        </w:trPr>
        <w:tc>
          <w:tcPr>
            <w:tcW w:w="852" w:type="pct"/>
            <w:tcBorders>
              <w:top w:val="nil"/>
              <w:bottom w:val="nil"/>
            </w:tcBorders>
            <w:shd w:val="clear" w:color="auto" w:fill="auto"/>
            <w:noWrap/>
            <w:vAlign w:val="center"/>
          </w:tcPr>
          <w:p w:rsidR="00C74E9F" w:rsidRPr="007A542A" w:rsidRDefault="00C74E9F" w:rsidP="00E2084F">
            <w:pPr>
              <w:rPr>
                <w:b/>
                <w:bCs/>
                <w:sz w:val="18"/>
                <w:szCs w:val="18"/>
              </w:rPr>
            </w:pPr>
            <w:r w:rsidRPr="007A542A">
              <w:rPr>
                <w:b/>
                <w:bCs/>
                <w:sz w:val="18"/>
                <w:szCs w:val="18"/>
              </w:rPr>
              <w:t>k 30. červnu 201</w:t>
            </w:r>
            <w:r w:rsidR="00D73DC3">
              <w:rPr>
                <w:b/>
                <w:bCs/>
                <w:sz w:val="18"/>
                <w:szCs w:val="18"/>
              </w:rPr>
              <w:t>5</w:t>
            </w:r>
          </w:p>
        </w:tc>
        <w:tc>
          <w:tcPr>
            <w:tcW w:w="543" w:type="pct"/>
            <w:tcBorders>
              <w:top w:val="nil"/>
              <w:bottom w:val="nil"/>
            </w:tcBorders>
            <w:shd w:val="clear" w:color="auto" w:fill="auto"/>
            <w:noWrap/>
            <w:vAlign w:val="center"/>
          </w:tcPr>
          <w:p w:rsidR="00C74E9F" w:rsidRPr="007A542A" w:rsidRDefault="00C74E9F" w:rsidP="006D3AE4">
            <w:pPr>
              <w:ind w:right="96"/>
              <w:jc w:val="right"/>
              <w:rPr>
                <w:b/>
                <w:bCs/>
                <w:sz w:val="18"/>
                <w:szCs w:val="18"/>
              </w:rPr>
            </w:pPr>
            <w:r w:rsidRPr="007A542A">
              <w:rPr>
                <w:b/>
                <w:bCs/>
                <w:sz w:val="18"/>
                <w:szCs w:val="18"/>
              </w:rPr>
              <w:t xml:space="preserve">11 444 </w:t>
            </w:r>
          </w:p>
        </w:tc>
        <w:tc>
          <w:tcPr>
            <w:tcW w:w="619" w:type="pct"/>
            <w:tcBorders>
              <w:top w:val="nil"/>
              <w:bottom w:val="nil"/>
            </w:tcBorders>
            <w:vAlign w:val="center"/>
          </w:tcPr>
          <w:p w:rsidR="00C74E9F" w:rsidRPr="007A542A" w:rsidRDefault="00B23DDB" w:rsidP="006D3AE4">
            <w:pPr>
              <w:ind w:right="96"/>
              <w:jc w:val="right"/>
              <w:rPr>
                <w:b/>
                <w:bCs/>
                <w:sz w:val="18"/>
                <w:szCs w:val="18"/>
              </w:rPr>
            </w:pPr>
            <w:r>
              <w:rPr>
                <w:b/>
                <w:bCs/>
                <w:sz w:val="18"/>
                <w:szCs w:val="18"/>
              </w:rPr>
              <w:t>9 187</w:t>
            </w:r>
          </w:p>
        </w:tc>
        <w:tc>
          <w:tcPr>
            <w:tcW w:w="761" w:type="pct"/>
            <w:tcBorders>
              <w:top w:val="nil"/>
              <w:bottom w:val="nil"/>
            </w:tcBorders>
            <w:vAlign w:val="center"/>
          </w:tcPr>
          <w:p w:rsidR="00C74E9F" w:rsidRPr="007A542A" w:rsidDel="002D1E65" w:rsidRDefault="005C2DAB" w:rsidP="009D2269">
            <w:pPr>
              <w:ind w:right="96"/>
              <w:jc w:val="right"/>
              <w:rPr>
                <w:b/>
                <w:bCs/>
                <w:sz w:val="18"/>
                <w:szCs w:val="18"/>
              </w:rPr>
            </w:pPr>
            <w:r>
              <w:rPr>
                <w:b/>
                <w:bCs/>
                <w:sz w:val="18"/>
                <w:szCs w:val="18"/>
              </w:rPr>
              <w:t>-1 264</w:t>
            </w:r>
          </w:p>
        </w:tc>
        <w:tc>
          <w:tcPr>
            <w:tcW w:w="619" w:type="pct"/>
            <w:tcBorders>
              <w:top w:val="nil"/>
              <w:bottom w:val="nil"/>
            </w:tcBorders>
            <w:shd w:val="clear" w:color="auto" w:fill="auto"/>
            <w:noWrap/>
            <w:vAlign w:val="center"/>
          </w:tcPr>
          <w:p w:rsidR="00C74E9F" w:rsidRPr="007A542A" w:rsidRDefault="00B23DDB" w:rsidP="006D3AE4">
            <w:pPr>
              <w:ind w:right="96"/>
              <w:jc w:val="right"/>
              <w:rPr>
                <w:b/>
                <w:bCs/>
                <w:sz w:val="18"/>
                <w:szCs w:val="18"/>
              </w:rPr>
            </w:pPr>
            <w:r>
              <w:rPr>
                <w:b/>
                <w:bCs/>
                <w:sz w:val="18"/>
                <w:szCs w:val="18"/>
              </w:rPr>
              <w:t>7 255</w:t>
            </w:r>
          </w:p>
        </w:tc>
        <w:tc>
          <w:tcPr>
            <w:tcW w:w="625" w:type="pct"/>
            <w:tcBorders>
              <w:top w:val="nil"/>
              <w:bottom w:val="nil"/>
            </w:tcBorders>
            <w:shd w:val="clear" w:color="auto" w:fill="auto"/>
            <w:noWrap/>
            <w:vAlign w:val="center"/>
          </w:tcPr>
          <w:p w:rsidR="00C74E9F" w:rsidRPr="007A542A" w:rsidRDefault="005C2DAB" w:rsidP="00E948B4">
            <w:pPr>
              <w:ind w:right="96"/>
              <w:jc w:val="right"/>
              <w:rPr>
                <w:rFonts w:eastAsia="SimSun"/>
                <w:b/>
                <w:bCs/>
                <w:sz w:val="18"/>
                <w:szCs w:val="18"/>
                <w:lang w:val="fr-FR" w:eastAsia="en-US"/>
              </w:rPr>
            </w:pPr>
            <w:r>
              <w:rPr>
                <w:b/>
                <w:bCs/>
                <w:sz w:val="18"/>
                <w:szCs w:val="18"/>
              </w:rPr>
              <w:t>132 854</w:t>
            </w:r>
          </w:p>
        </w:tc>
        <w:tc>
          <w:tcPr>
            <w:tcW w:w="981" w:type="pct"/>
            <w:tcBorders>
              <w:top w:val="nil"/>
              <w:bottom w:val="nil"/>
            </w:tcBorders>
            <w:vAlign w:val="center"/>
          </w:tcPr>
          <w:p w:rsidR="00C74E9F" w:rsidRPr="007A542A" w:rsidRDefault="00B23DDB" w:rsidP="00E948B4">
            <w:pPr>
              <w:ind w:right="94"/>
              <w:jc w:val="right"/>
              <w:rPr>
                <w:rFonts w:eastAsia="SimSun"/>
                <w:b/>
                <w:bCs/>
                <w:sz w:val="18"/>
                <w:szCs w:val="18"/>
                <w:lang w:val="fr-FR" w:eastAsia="en-US"/>
              </w:rPr>
            </w:pPr>
            <w:r>
              <w:rPr>
                <w:b/>
                <w:bCs/>
                <w:sz w:val="18"/>
                <w:szCs w:val="18"/>
              </w:rPr>
              <w:t>159 476</w:t>
            </w:r>
          </w:p>
        </w:tc>
      </w:tr>
      <w:tr w:rsidR="00C74E9F" w:rsidRPr="007A542A" w:rsidTr="0062786B">
        <w:trPr>
          <w:trHeight w:hRule="exact" w:val="119"/>
        </w:trPr>
        <w:tc>
          <w:tcPr>
            <w:tcW w:w="852" w:type="pct"/>
            <w:tcBorders>
              <w:top w:val="nil"/>
              <w:bottom w:val="single" w:sz="4" w:space="0" w:color="auto"/>
            </w:tcBorders>
            <w:shd w:val="clear" w:color="auto" w:fill="auto"/>
            <w:noWrap/>
            <w:vAlign w:val="center"/>
          </w:tcPr>
          <w:p w:rsidR="00C74E9F" w:rsidRPr="007A542A" w:rsidRDefault="00C74E9F" w:rsidP="00E2084F">
            <w:pPr>
              <w:rPr>
                <w:b/>
                <w:bCs/>
                <w:sz w:val="18"/>
                <w:szCs w:val="18"/>
              </w:rPr>
            </w:pPr>
          </w:p>
        </w:tc>
        <w:tc>
          <w:tcPr>
            <w:tcW w:w="543" w:type="pct"/>
            <w:tcBorders>
              <w:top w:val="nil"/>
              <w:bottom w:val="single" w:sz="4" w:space="0" w:color="auto"/>
            </w:tcBorders>
            <w:shd w:val="clear" w:color="auto" w:fill="auto"/>
            <w:noWrap/>
            <w:vAlign w:val="center"/>
          </w:tcPr>
          <w:p w:rsidR="00C74E9F" w:rsidRPr="007A542A" w:rsidRDefault="00C74E9F" w:rsidP="006D3AE4">
            <w:pPr>
              <w:ind w:right="96"/>
              <w:jc w:val="right"/>
              <w:rPr>
                <w:b/>
                <w:bCs/>
                <w:sz w:val="18"/>
                <w:szCs w:val="18"/>
              </w:rPr>
            </w:pPr>
          </w:p>
        </w:tc>
        <w:tc>
          <w:tcPr>
            <w:tcW w:w="619" w:type="pct"/>
            <w:tcBorders>
              <w:top w:val="nil"/>
              <w:bottom w:val="single" w:sz="4" w:space="0" w:color="auto"/>
            </w:tcBorders>
            <w:vAlign w:val="center"/>
          </w:tcPr>
          <w:p w:rsidR="00C74E9F" w:rsidRPr="007A542A" w:rsidRDefault="00C74E9F" w:rsidP="006D3AE4">
            <w:pPr>
              <w:ind w:right="96"/>
              <w:jc w:val="right"/>
              <w:rPr>
                <w:b/>
                <w:bCs/>
                <w:sz w:val="18"/>
                <w:szCs w:val="18"/>
              </w:rPr>
            </w:pPr>
          </w:p>
        </w:tc>
        <w:tc>
          <w:tcPr>
            <w:tcW w:w="761" w:type="pct"/>
            <w:tcBorders>
              <w:top w:val="nil"/>
              <w:bottom w:val="single" w:sz="4" w:space="0" w:color="auto"/>
            </w:tcBorders>
            <w:vAlign w:val="center"/>
          </w:tcPr>
          <w:p w:rsidR="00C74E9F" w:rsidRPr="007A542A" w:rsidRDefault="00C74E9F" w:rsidP="006D3AE4">
            <w:pPr>
              <w:ind w:right="96"/>
              <w:jc w:val="right"/>
              <w:rPr>
                <w:b/>
                <w:bCs/>
                <w:sz w:val="18"/>
                <w:szCs w:val="18"/>
              </w:rPr>
            </w:pPr>
          </w:p>
        </w:tc>
        <w:tc>
          <w:tcPr>
            <w:tcW w:w="619" w:type="pct"/>
            <w:tcBorders>
              <w:top w:val="nil"/>
              <w:bottom w:val="single" w:sz="4" w:space="0" w:color="auto"/>
            </w:tcBorders>
            <w:shd w:val="clear" w:color="auto" w:fill="auto"/>
            <w:noWrap/>
            <w:vAlign w:val="center"/>
          </w:tcPr>
          <w:p w:rsidR="00C74E9F" w:rsidRPr="007A542A" w:rsidRDefault="00C74E9F" w:rsidP="006D3AE4">
            <w:pPr>
              <w:ind w:right="96"/>
              <w:jc w:val="right"/>
              <w:rPr>
                <w:b/>
                <w:bCs/>
                <w:sz w:val="18"/>
                <w:szCs w:val="18"/>
              </w:rPr>
            </w:pPr>
          </w:p>
        </w:tc>
        <w:tc>
          <w:tcPr>
            <w:tcW w:w="625" w:type="pct"/>
            <w:tcBorders>
              <w:top w:val="nil"/>
              <w:bottom w:val="single" w:sz="4" w:space="0" w:color="auto"/>
            </w:tcBorders>
            <w:shd w:val="clear" w:color="auto" w:fill="auto"/>
            <w:noWrap/>
            <w:vAlign w:val="center"/>
          </w:tcPr>
          <w:p w:rsidR="00C74E9F" w:rsidRPr="007A542A" w:rsidRDefault="00C74E9F" w:rsidP="006D3AE4">
            <w:pPr>
              <w:ind w:right="96"/>
              <w:jc w:val="right"/>
              <w:rPr>
                <w:b/>
                <w:bCs/>
                <w:sz w:val="18"/>
                <w:szCs w:val="18"/>
              </w:rPr>
            </w:pPr>
          </w:p>
        </w:tc>
        <w:tc>
          <w:tcPr>
            <w:tcW w:w="981" w:type="pct"/>
            <w:tcBorders>
              <w:top w:val="nil"/>
              <w:bottom w:val="single" w:sz="4" w:space="0" w:color="auto"/>
            </w:tcBorders>
            <w:vAlign w:val="center"/>
          </w:tcPr>
          <w:p w:rsidR="00C74E9F" w:rsidRPr="007A542A" w:rsidRDefault="00C74E9F" w:rsidP="006D3AE4">
            <w:pPr>
              <w:ind w:right="94"/>
              <w:jc w:val="right"/>
              <w:rPr>
                <w:b/>
                <w:bCs/>
                <w:sz w:val="18"/>
                <w:szCs w:val="18"/>
              </w:rPr>
            </w:pPr>
          </w:p>
        </w:tc>
      </w:tr>
      <w:tr w:rsidR="00C74E9F" w:rsidRPr="007A542A" w:rsidTr="0062786B">
        <w:trPr>
          <w:trHeight w:hRule="exact" w:val="119"/>
        </w:trPr>
        <w:tc>
          <w:tcPr>
            <w:tcW w:w="852" w:type="pct"/>
            <w:tcBorders>
              <w:top w:val="single" w:sz="4" w:space="0" w:color="auto"/>
              <w:bottom w:val="nil"/>
            </w:tcBorders>
            <w:shd w:val="clear" w:color="auto" w:fill="auto"/>
            <w:noWrap/>
            <w:vAlign w:val="center"/>
          </w:tcPr>
          <w:p w:rsidR="00C74E9F" w:rsidRPr="007A542A" w:rsidRDefault="00C74E9F" w:rsidP="00E2084F">
            <w:pPr>
              <w:rPr>
                <w:b/>
                <w:bCs/>
                <w:sz w:val="18"/>
                <w:szCs w:val="18"/>
              </w:rPr>
            </w:pPr>
          </w:p>
        </w:tc>
        <w:tc>
          <w:tcPr>
            <w:tcW w:w="543" w:type="pct"/>
            <w:tcBorders>
              <w:top w:val="single" w:sz="4" w:space="0" w:color="auto"/>
              <w:bottom w:val="nil"/>
            </w:tcBorders>
            <w:shd w:val="clear" w:color="auto" w:fill="auto"/>
            <w:noWrap/>
            <w:vAlign w:val="center"/>
          </w:tcPr>
          <w:p w:rsidR="00C74E9F" w:rsidRPr="007A542A" w:rsidRDefault="00C74E9F" w:rsidP="006D3AE4">
            <w:pPr>
              <w:ind w:right="96"/>
              <w:jc w:val="right"/>
              <w:rPr>
                <w:b/>
                <w:bCs/>
                <w:sz w:val="18"/>
                <w:szCs w:val="18"/>
              </w:rPr>
            </w:pPr>
          </w:p>
        </w:tc>
        <w:tc>
          <w:tcPr>
            <w:tcW w:w="619" w:type="pct"/>
            <w:tcBorders>
              <w:top w:val="single" w:sz="4" w:space="0" w:color="auto"/>
              <w:bottom w:val="nil"/>
            </w:tcBorders>
            <w:vAlign w:val="center"/>
          </w:tcPr>
          <w:p w:rsidR="00C74E9F" w:rsidRPr="007A542A" w:rsidRDefault="00C74E9F" w:rsidP="006D3AE4">
            <w:pPr>
              <w:ind w:right="96"/>
              <w:jc w:val="right"/>
              <w:rPr>
                <w:b/>
                <w:bCs/>
                <w:sz w:val="18"/>
                <w:szCs w:val="18"/>
              </w:rPr>
            </w:pPr>
          </w:p>
        </w:tc>
        <w:tc>
          <w:tcPr>
            <w:tcW w:w="761" w:type="pct"/>
            <w:tcBorders>
              <w:top w:val="single" w:sz="4" w:space="0" w:color="auto"/>
              <w:bottom w:val="nil"/>
            </w:tcBorders>
            <w:vAlign w:val="center"/>
          </w:tcPr>
          <w:p w:rsidR="00C74E9F" w:rsidRPr="007A542A" w:rsidRDefault="00C74E9F" w:rsidP="006D3AE4">
            <w:pPr>
              <w:ind w:right="96"/>
              <w:jc w:val="right"/>
              <w:rPr>
                <w:b/>
                <w:bCs/>
                <w:sz w:val="18"/>
                <w:szCs w:val="18"/>
              </w:rPr>
            </w:pPr>
          </w:p>
        </w:tc>
        <w:tc>
          <w:tcPr>
            <w:tcW w:w="619" w:type="pct"/>
            <w:tcBorders>
              <w:top w:val="single" w:sz="4" w:space="0" w:color="auto"/>
              <w:bottom w:val="nil"/>
            </w:tcBorders>
            <w:shd w:val="clear" w:color="auto" w:fill="auto"/>
            <w:noWrap/>
            <w:vAlign w:val="center"/>
          </w:tcPr>
          <w:p w:rsidR="00C74E9F" w:rsidRPr="007A542A" w:rsidRDefault="00C74E9F" w:rsidP="006D3AE4">
            <w:pPr>
              <w:ind w:right="96"/>
              <w:jc w:val="right"/>
              <w:rPr>
                <w:b/>
                <w:bCs/>
                <w:sz w:val="18"/>
                <w:szCs w:val="18"/>
              </w:rPr>
            </w:pPr>
          </w:p>
        </w:tc>
        <w:tc>
          <w:tcPr>
            <w:tcW w:w="625" w:type="pct"/>
            <w:tcBorders>
              <w:top w:val="single" w:sz="4" w:space="0" w:color="auto"/>
              <w:bottom w:val="nil"/>
            </w:tcBorders>
            <w:shd w:val="clear" w:color="auto" w:fill="auto"/>
            <w:noWrap/>
            <w:vAlign w:val="center"/>
          </w:tcPr>
          <w:p w:rsidR="00C74E9F" w:rsidRPr="007A542A" w:rsidRDefault="00C74E9F" w:rsidP="006D3AE4">
            <w:pPr>
              <w:ind w:right="96"/>
              <w:jc w:val="right"/>
              <w:rPr>
                <w:b/>
                <w:bCs/>
                <w:sz w:val="18"/>
                <w:szCs w:val="18"/>
              </w:rPr>
            </w:pPr>
          </w:p>
        </w:tc>
        <w:tc>
          <w:tcPr>
            <w:tcW w:w="981" w:type="pct"/>
            <w:tcBorders>
              <w:top w:val="single" w:sz="4" w:space="0" w:color="auto"/>
              <w:bottom w:val="nil"/>
            </w:tcBorders>
            <w:vAlign w:val="center"/>
          </w:tcPr>
          <w:p w:rsidR="00C74E9F" w:rsidRPr="007A542A" w:rsidRDefault="00C74E9F" w:rsidP="006D3AE4">
            <w:pPr>
              <w:ind w:right="94"/>
              <w:jc w:val="right"/>
              <w:rPr>
                <w:b/>
                <w:bCs/>
                <w:sz w:val="18"/>
                <w:szCs w:val="18"/>
              </w:rPr>
            </w:pPr>
          </w:p>
        </w:tc>
      </w:tr>
    </w:tbl>
    <w:p w:rsidR="0020605C" w:rsidRPr="007A542A" w:rsidRDefault="0020605C" w:rsidP="0020605C">
      <w:pPr>
        <w:widowControl w:val="0"/>
      </w:pPr>
    </w:p>
    <w:p w:rsidR="0020605C" w:rsidRPr="007A542A" w:rsidRDefault="0020605C" w:rsidP="00236FFC">
      <w:r w:rsidRPr="007A542A">
        <w:br w:type="page"/>
      </w:r>
    </w:p>
    <w:p w:rsidR="00236FFC" w:rsidRPr="007A542A" w:rsidRDefault="00236FFC" w:rsidP="00236FFC">
      <w:pPr>
        <w:pStyle w:val="Heading2"/>
        <w:rPr>
          <w:rFonts w:ascii="Times New Roman" w:hAnsi="Times New Roman" w:cs="Times New Roman"/>
        </w:rPr>
      </w:pPr>
      <w:bookmarkStart w:id="110" w:name="_Toc427918125"/>
      <w:r w:rsidRPr="007A542A">
        <w:rPr>
          <w:rFonts w:ascii="Times New Roman" w:hAnsi="Times New Roman" w:cs="Times New Roman"/>
        </w:rPr>
        <w:lastRenderedPageBreak/>
        <w:t>Vybrané vysvětlující poznámky k mezitímní konsolidované účetní závěrce za období šesti měsíců končících 30. červnem 201</w:t>
      </w:r>
      <w:r w:rsidR="0043406F">
        <w:rPr>
          <w:rFonts w:ascii="Times New Roman" w:hAnsi="Times New Roman" w:cs="Times New Roman"/>
        </w:rPr>
        <w:t>5</w:t>
      </w:r>
      <w:bookmarkEnd w:id="110"/>
      <w:r w:rsidRPr="007A542A">
        <w:rPr>
          <w:rFonts w:ascii="Times New Roman" w:hAnsi="Times New Roman" w:cs="Times New Roman"/>
        </w:rPr>
        <w:t xml:space="preserve"> </w:t>
      </w:r>
    </w:p>
    <w:p w:rsidR="00236FFC" w:rsidRPr="007A542A" w:rsidRDefault="00236FFC" w:rsidP="00236FFC">
      <w:pPr>
        <w:autoSpaceDE w:val="0"/>
        <w:autoSpaceDN w:val="0"/>
        <w:adjustRightInd w:val="0"/>
        <w:spacing w:line="240" w:lineRule="atLeast"/>
        <w:jc w:val="both"/>
        <w:rPr>
          <w:rFonts w:ascii="Arial" w:hAnsi="Arial" w:cs="Arial"/>
          <w:color w:val="000000"/>
        </w:rPr>
      </w:pPr>
    </w:p>
    <w:p w:rsidR="00236FFC" w:rsidRPr="00074F91" w:rsidRDefault="00236FFC" w:rsidP="00236FFC">
      <w:pPr>
        <w:pStyle w:val="Odstavecseseznamem1"/>
        <w:ind w:left="0"/>
        <w:rPr>
          <w:rFonts w:ascii="Times New Roman" w:hAnsi="Times New Roman"/>
          <w:b/>
          <w:color w:val="000000"/>
          <w:sz w:val="24"/>
          <w:szCs w:val="24"/>
        </w:rPr>
      </w:pPr>
      <w:r w:rsidRPr="00074F91">
        <w:rPr>
          <w:rFonts w:ascii="Times New Roman" w:hAnsi="Times New Roman"/>
          <w:b/>
          <w:color w:val="000000"/>
          <w:sz w:val="24"/>
          <w:szCs w:val="24"/>
        </w:rPr>
        <w:t>Základní předpoklady přípravy účetních výkazů</w:t>
      </w:r>
    </w:p>
    <w:p w:rsidR="00236FFC" w:rsidRPr="00074F91" w:rsidRDefault="00236FFC" w:rsidP="00236FFC">
      <w:pPr>
        <w:jc w:val="both"/>
        <w:rPr>
          <w:color w:val="000000"/>
        </w:rPr>
      </w:pPr>
      <w:r w:rsidRPr="00074F91">
        <w:rPr>
          <w:color w:val="000000"/>
        </w:rPr>
        <w:t xml:space="preserve">Tyto účetní výkazy byly připraveny v souladu s Mezinárodními standardy účetního výkaznictví (IFRS) a Mezinárodními účetními standardy IAS 34 pro Mezitímní účetní výkaznictví ve znění přijatém Evropskou unií. Mezitímní účetní výkazy ve zkrácené podobě neobsahují veškeré informace a sdělení požadované v celoročních účetních výkazech. Tato mezitímní zpráva nebyla auditována externími auditory Společnosti. </w:t>
      </w:r>
    </w:p>
    <w:p w:rsidR="00236FFC" w:rsidRPr="00074F91" w:rsidRDefault="00236FFC" w:rsidP="00236FFC">
      <w:pPr>
        <w:jc w:val="both"/>
        <w:rPr>
          <w:color w:val="000000"/>
        </w:rPr>
      </w:pPr>
    </w:p>
    <w:p w:rsidR="00236FFC" w:rsidRPr="00074F91" w:rsidRDefault="00236FFC" w:rsidP="00236FFC">
      <w:pPr>
        <w:pStyle w:val="Odstavecseseznamem1"/>
        <w:numPr>
          <w:ilvl w:val="0"/>
          <w:numId w:val="30"/>
        </w:numPr>
        <w:rPr>
          <w:rFonts w:ascii="Times New Roman" w:hAnsi="Times New Roman"/>
          <w:i/>
          <w:color w:val="000000"/>
          <w:sz w:val="24"/>
          <w:szCs w:val="24"/>
        </w:rPr>
      </w:pPr>
      <w:r w:rsidRPr="00074F91">
        <w:rPr>
          <w:rFonts w:ascii="Times New Roman" w:hAnsi="Times New Roman"/>
          <w:i/>
          <w:color w:val="000000"/>
          <w:sz w:val="24"/>
          <w:szCs w:val="24"/>
        </w:rPr>
        <w:t xml:space="preserve">Zásadní účetní postupy používané Společností </w:t>
      </w:r>
    </w:p>
    <w:p w:rsidR="00236FFC" w:rsidRPr="00074F91" w:rsidRDefault="00236FFC" w:rsidP="00236FFC">
      <w:pPr>
        <w:jc w:val="both"/>
        <w:rPr>
          <w:color w:val="000000"/>
        </w:rPr>
      </w:pPr>
      <w:r w:rsidRPr="00074F91">
        <w:rPr>
          <w:color w:val="000000"/>
        </w:rPr>
        <w:t>Základní předpoklady přípravy účetních výkazů, zásadní účetní postupy, prezentace a metody výpočtu byly v těchto finančních výkazech ve zkrácené podobě aplikovány shodně s finančními výkazy společností skupiny za účetní rok končící 31. prosincem 201</w:t>
      </w:r>
      <w:r w:rsidR="00F678EC" w:rsidRPr="00074F91">
        <w:rPr>
          <w:color w:val="000000"/>
        </w:rPr>
        <w:t>4</w:t>
      </w:r>
      <w:r w:rsidRPr="00074F91">
        <w:rPr>
          <w:color w:val="000000"/>
        </w:rPr>
        <w:t xml:space="preserve">. </w:t>
      </w:r>
    </w:p>
    <w:p w:rsidR="00236FFC" w:rsidRPr="00074F91" w:rsidRDefault="00236FFC" w:rsidP="00236FFC">
      <w:pPr>
        <w:jc w:val="both"/>
        <w:rPr>
          <w:color w:val="000000"/>
        </w:rPr>
      </w:pPr>
    </w:p>
    <w:p w:rsidR="00236FFC" w:rsidRPr="00074F91" w:rsidRDefault="00236FFC" w:rsidP="00236FFC">
      <w:pPr>
        <w:pStyle w:val="Odstavecseseznamem1"/>
        <w:numPr>
          <w:ilvl w:val="0"/>
          <w:numId w:val="30"/>
        </w:numPr>
        <w:rPr>
          <w:rFonts w:ascii="Times New Roman" w:hAnsi="Times New Roman"/>
          <w:i/>
          <w:color w:val="000000"/>
          <w:sz w:val="24"/>
          <w:szCs w:val="24"/>
        </w:rPr>
      </w:pPr>
      <w:r w:rsidRPr="00074F91">
        <w:rPr>
          <w:rFonts w:ascii="Times New Roman" w:hAnsi="Times New Roman"/>
          <w:i/>
          <w:color w:val="000000"/>
          <w:sz w:val="24"/>
          <w:szCs w:val="24"/>
        </w:rPr>
        <w:t>Sezónní a ekonomické vlivy</w:t>
      </w:r>
    </w:p>
    <w:p w:rsidR="00236FFC" w:rsidRPr="00074F91" w:rsidRDefault="00236FFC" w:rsidP="00236FFC">
      <w:pPr>
        <w:jc w:val="both"/>
        <w:rPr>
          <w:color w:val="000000"/>
        </w:rPr>
      </w:pPr>
      <w:r w:rsidRPr="00074F91">
        <w:rPr>
          <w:color w:val="000000"/>
        </w:rPr>
        <w:t xml:space="preserve">Podnikání společnosti PEGAS NONWOVENS SA není v podstatě ovlivňováno sezónními a ekonomickými faktory mimo běžného ekonomického cyklu, ačkoliv trh s hygienickými potřebami je do značné míry necyklický.  </w:t>
      </w:r>
    </w:p>
    <w:p w:rsidR="00236FFC" w:rsidRPr="00074F91" w:rsidRDefault="00236FFC" w:rsidP="00236FFC">
      <w:pPr>
        <w:rPr>
          <w:color w:val="000000"/>
        </w:rPr>
      </w:pPr>
    </w:p>
    <w:p w:rsidR="00236FFC" w:rsidRPr="00074F91" w:rsidRDefault="00236FFC" w:rsidP="00236FFC">
      <w:pPr>
        <w:pStyle w:val="Odstavecseseznamem1"/>
        <w:numPr>
          <w:ilvl w:val="0"/>
          <w:numId w:val="30"/>
        </w:numPr>
        <w:rPr>
          <w:rFonts w:ascii="Times New Roman" w:hAnsi="Times New Roman"/>
          <w:i/>
          <w:color w:val="000000"/>
          <w:sz w:val="24"/>
          <w:szCs w:val="24"/>
        </w:rPr>
      </w:pPr>
      <w:r w:rsidRPr="00074F91">
        <w:rPr>
          <w:rFonts w:ascii="Times New Roman" w:hAnsi="Times New Roman"/>
          <w:i/>
          <w:color w:val="000000"/>
          <w:sz w:val="24"/>
          <w:szCs w:val="24"/>
        </w:rPr>
        <w:t>Mimořádné položky vzhledem k jejich velikosti, povaze nebo frekvenci</w:t>
      </w:r>
    </w:p>
    <w:p w:rsidR="00A9456D" w:rsidRPr="00074F91" w:rsidRDefault="006D37C5" w:rsidP="00A9456D">
      <w:pPr>
        <w:pStyle w:val="NormalWeb"/>
        <w:jc w:val="both"/>
      </w:pPr>
      <w:r w:rsidRPr="006D37C5">
        <w:t>V první polovině roku 2015 dosáhly konsolidované výnosy (tržby z prodeje vlastních výrobků) 111,7 milionu EUR, což představuje meziroční nárůst o 0,</w:t>
      </w:r>
      <w:r w:rsidR="005C15C6">
        <w:t>2</w:t>
      </w:r>
      <w:r w:rsidRPr="006D37C5">
        <w:t xml:space="preserve"> %. Celkové konsolidované výnosy dosáhly ve druhém čtvrtletí tohoto roku 51,1 milionu EUR, tj. o 2,</w:t>
      </w:r>
      <w:r w:rsidR="005C15C6">
        <w:t>8</w:t>
      </w:r>
      <w:r w:rsidRPr="006D37C5">
        <w:t xml:space="preserve"> % méně ve srovnání se stejným obdobím minulého roku. Změna cen polymerů měla na meziroční srovnání negativní vliv, který byl kompenzován vyššími objemy prodejů. Pokles tržeb v porovnání s prvním čtvrtletím 2015 byl dán vývojem cen polymerů, které se do tržeb promítají se zpožděním. Tržby za druhé čtvrtletí tak byly ve značné míře založeny na cenách polymerů převažujících v prvním čtvrtletí, kdy ceny dosahovaly minimálních hodnot. Následný růst cen polymerů se vzhledem ke zpoždění do tržeb promítne až ve třetím čtvrtletí.</w:t>
      </w:r>
    </w:p>
    <w:p w:rsidR="006D37C5" w:rsidRDefault="006D37C5" w:rsidP="006D37C5">
      <w:pPr>
        <w:pStyle w:val="NormalWeb"/>
        <w:jc w:val="both"/>
      </w:pPr>
      <w:r>
        <w:t xml:space="preserve">EBITDA dosáhla v prvním pololetí roku 2015 hodnoty 21,6 milionu EUR, meziročně o 2,6 % méně. Meziroční pokles ukazatele EBITDA byl do značné míry způsoben zejména přeceněním opčního akciového plánu ve výši 2,5 milionu EUR. V prvním pololetí roku 2014 byl vliv přecenění opčního akciového plánu na ukazatel EBITDA rovněž negativní ale pouze ve výši 43 tisíc EUR. EBITDA </w:t>
      </w:r>
      <w:r w:rsidR="0030132C">
        <w:t xml:space="preserve">upravená </w:t>
      </w:r>
      <w:r>
        <w:t>o tento vliv tak meziročně vzrostla o 8,7 % na hodnotu 24,1 milionu EUR. Z ostatních vlivů působil na meziroční vývoj ukazatele EBITDA pozitivně nárůst produkce o téměř 5</w:t>
      </w:r>
      <w:r w:rsidR="00545AAB">
        <w:t> </w:t>
      </w:r>
      <w:r>
        <w:t xml:space="preserve">%, s čímž souvisel i nárůst objemu prodejů. Vliv mechanismu přenesení cen vstupních materiálů byl v meziročním srovnání negativní. </w:t>
      </w:r>
    </w:p>
    <w:p w:rsidR="006D37C5" w:rsidRPr="00B63E00" w:rsidRDefault="006D37C5" w:rsidP="006D37C5">
      <w:pPr>
        <w:pStyle w:val="NormalWeb"/>
        <w:jc w:val="both"/>
        <w:rPr>
          <w:rFonts w:cs="Arial"/>
        </w:rPr>
      </w:pPr>
      <w:r w:rsidRPr="00B63E00">
        <w:rPr>
          <w:rFonts w:cs="Arial"/>
        </w:rPr>
        <w:t>Čistý zisk dosáhl v prvním pololetí roku 201</w:t>
      </w:r>
      <w:r>
        <w:rPr>
          <w:rFonts w:cs="Arial"/>
        </w:rPr>
        <w:t>5</w:t>
      </w:r>
      <w:r w:rsidRPr="00B63E00">
        <w:rPr>
          <w:rFonts w:cs="Arial"/>
        </w:rPr>
        <w:t xml:space="preserve"> hodnoty 1</w:t>
      </w:r>
      <w:r>
        <w:rPr>
          <w:rFonts w:cs="Arial"/>
        </w:rPr>
        <w:t>6</w:t>
      </w:r>
      <w:r w:rsidRPr="00B63E00">
        <w:rPr>
          <w:rFonts w:cs="Arial"/>
        </w:rPr>
        <w:t>,</w:t>
      </w:r>
      <w:r>
        <w:rPr>
          <w:rFonts w:cs="Arial"/>
        </w:rPr>
        <w:t>3</w:t>
      </w:r>
      <w:r w:rsidRPr="00B63E00">
        <w:rPr>
          <w:rFonts w:cs="Arial"/>
        </w:rPr>
        <w:t xml:space="preserve"> milionu EUR, což je meziročně o 5</w:t>
      </w:r>
      <w:r>
        <w:rPr>
          <w:rFonts w:cs="Arial"/>
        </w:rPr>
        <w:t>5</w:t>
      </w:r>
      <w:r w:rsidRPr="00B63E00">
        <w:rPr>
          <w:rFonts w:cs="Arial"/>
        </w:rPr>
        <w:t>,</w:t>
      </w:r>
      <w:r>
        <w:rPr>
          <w:rFonts w:cs="Arial"/>
        </w:rPr>
        <w:t>0</w:t>
      </w:r>
      <w:r w:rsidRPr="00B63E00">
        <w:rPr>
          <w:rFonts w:cs="Arial"/>
        </w:rPr>
        <w:t xml:space="preserve"> % více zejména z titulu vykázaných nerealizovaných kurzových změn v porovnávaných obdobích. </w:t>
      </w:r>
      <w:r>
        <w:rPr>
          <w:rFonts w:cs="Arial"/>
        </w:rPr>
        <w:t xml:space="preserve">Pozitivně působil i pokles úrokových nákladů. Naopak negativní </w:t>
      </w:r>
      <w:r w:rsidRPr="00B63E00">
        <w:rPr>
          <w:rFonts w:cs="Arial"/>
        </w:rPr>
        <w:t>vliv na čistý zisk měl</w:t>
      </w:r>
      <w:r>
        <w:rPr>
          <w:rFonts w:cs="Arial"/>
        </w:rPr>
        <w:t xml:space="preserve"> nárůst daně z příjmů</w:t>
      </w:r>
      <w:r w:rsidRPr="00B63E00">
        <w:rPr>
          <w:rFonts w:cs="Arial"/>
        </w:rPr>
        <w:t>. Ve druhém čtvrtletí 201</w:t>
      </w:r>
      <w:r>
        <w:rPr>
          <w:rFonts w:cs="Arial"/>
        </w:rPr>
        <w:t>5</w:t>
      </w:r>
      <w:r w:rsidRPr="00B63E00">
        <w:rPr>
          <w:rFonts w:cs="Arial"/>
        </w:rPr>
        <w:t xml:space="preserve"> Společnost vytvořila čistý zisk ve výši </w:t>
      </w:r>
      <w:r>
        <w:rPr>
          <w:rFonts w:cs="Arial"/>
        </w:rPr>
        <w:t>2</w:t>
      </w:r>
      <w:r w:rsidRPr="00B63E00">
        <w:rPr>
          <w:rFonts w:cs="Arial"/>
        </w:rPr>
        <w:t xml:space="preserve">,0 milionu EUR, o </w:t>
      </w:r>
      <w:r>
        <w:rPr>
          <w:rFonts w:cs="Arial"/>
        </w:rPr>
        <w:t>60</w:t>
      </w:r>
      <w:r w:rsidRPr="00B63E00">
        <w:rPr>
          <w:rFonts w:cs="Arial"/>
        </w:rPr>
        <w:t>,</w:t>
      </w:r>
      <w:r>
        <w:rPr>
          <w:rFonts w:cs="Arial"/>
        </w:rPr>
        <w:t>6</w:t>
      </w:r>
      <w:r w:rsidRPr="00B63E00">
        <w:rPr>
          <w:rFonts w:cs="Arial"/>
        </w:rPr>
        <w:t xml:space="preserve"> % </w:t>
      </w:r>
      <w:r>
        <w:rPr>
          <w:rFonts w:cs="Arial"/>
        </w:rPr>
        <w:t xml:space="preserve">méně </w:t>
      </w:r>
      <w:r w:rsidRPr="00B63E00">
        <w:rPr>
          <w:rFonts w:cs="Arial"/>
        </w:rPr>
        <w:t>než ve stejném období roku 201</w:t>
      </w:r>
      <w:r>
        <w:rPr>
          <w:rFonts w:cs="Arial"/>
        </w:rPr>
        <w:t>4</w:t>
      </w:r>
      <w:r w:rsidRPr="00B63E00">
        <w:rPr>
          <w:rFonts w:cs="Arial"/>
        </w:rPr>
        <w:t xml:space="preserve">. </w:t>
      </w:r>
      <w:r>
        <w:rPr>
          <w:rFonts w:cs="Arial"/>
        </w:rPr>
        <w:t xml:space="preserve">Pokles čistého zisku byl způsoben převážně </w:t>
      </w:r>
      <w:r w:rsidRPr="00B63E00">
        <w:rPr>
          <w:rFonts w:cs="Arial"/>
        </w:rPr>
        <w:t>nerealizovaný</w:t>
      </w:r>
      <w:r>
        <w:rPr>
          <w:rFonts w:cs="Arial"/>
        </w:rPr>
        <w:t>mi</w:t>
      </w:r>
      <w:r w:rsidRPr="00B63E00">
        <w:rPr>
          <w:rFonts w:cs="Arial"/>
        </w:rPr>
        <w:t xml:space="preserve"> kurzový</w:t>
      </w:r>
      <w:r>
        <w:rPr>
          <w:rFonts w:cs="Arial"/>
        </w:rPr>
        <w:t>mi</w:t>
      </w:r>
      <w:r w:rsidRPr="00B63E00">
        <w:rPr>
          <w:rFonts w:cs="Arial"/>
        </w:rPr>
        <w:t xml:space="preserve"> změn</w:t>
      </w:r>
      <w:r>
        <w:rPr>
          <w:rFonts w:cs="Arial"/>
        </w:rPr>
        <w:t>ami</w:t>
      </w:r>
      <w:r w:rsidRPr="00B63E00">
        <w:rPr>
          <w:rFonts w:cs="Arial"/>
        </w:rPr>
        <w:t xml:space="preserve"> v porovnávaných obdobích</w:t>
      </w:r>
      <w:r>
        <w:rPr>
          <w:rFonts w:cs="Arial"/>
        </w:rPr>
        <w:t>.</w:t>
      </w:r>
    </w:p>
    <w:p w:rsidR="006D37C5" w:rsidRPr="00D67E9A" w:rsidRDefault="006D37C5" w:rsidP="006D37C5">
      <w:pPr>
        <w:pStyle w:val="NormalWeb"/>
        <w:jc w:val="both"/>
        <w:rPr>
          <w:rFonts w:cs="Arial"/>
        </w:rPr>
      </w:pPr>
      <w:r w:rsidRPr="00D67E9A">
        <w:rPr>
          <w:rFonts w:cs="Arial"/>
        </w:rPr>
        <w:lastRenderedPageBreak/>
        <w:t>V první polovině roku 201</w:t>
      </w:r>
      <w:r>
        <w:rPr>
          <w:rFonts w:cs="Arial"/>
        </w:rPr>
        <w:t>5</w:t>
      </w:r>
      <w:r w:rsidRPr="00D67E9A">
        <w:rPr>
          <w:rFonts w:cs="Arial"/>
        </w:rPr>
        <w:t xml:space="preserve"> </w:t>
      </w:r>
      <w:r>
        <w:rPr>
          <w:rFonts w:cs="Arial"/>
        </w:rPr>
        <w:t xml:space="preserve">a 2014 </w:t>
      </w:r>
      <w:r w:rsidRPr="00D67E9A">
        <w:rPr>
          <w:rFonts w:cs="Arial"/>
        </w:rPr>
        <w:t>činily konsolidované investiční výdaje 1,5 milionu EUR. Ve druhém čtvrtletí roku 201</w:t>
      </w:r>
      <w:r>
        <w:rPr>
          <w:rFonts w:cs="Arial"/>
        </w:rPr>
        <w:t>5</w:t>
      </w:r>
      <w:r w:rsidRPr="00D67E9A">
        <w:rPr>
          <w:rFonts w:cs="Arial"/>
        </w:rPr>
        <w:t xml:space="preserve"> činily konsolidované investice 0,</w:t>
      </w:r>
      <w:r>
        <w:rPr>
          <w:rFonts w:cs="Arial"/>
        </w:rPr>
        <w:t>7</w:t>
      </w:r>
      <w:r w:rsidRPr="00D67E9A">
        <w:rPr>
          <w:rFonts w:cs="Arial"/>
        </w:rPr>
        <w:t xml:space="preserve"> milionu EUR, o </w:t>
      </w:r>
      <w:r>
        <w:rPr>
          <w:rFonts w:cs="Arial"/>
        </w:rPr>
        <w:t>53</w:t>
      </w:r>
      <w:r w:rsidRPr="00D67E9A">
        <w:rPr>
          <w:rFonts w:cs="Arial"/>
        </w:rPr>
        <w:t>,</w:t>
      </w:r>
      <w:r>
        <w:rPr>
          <w:rFonts w:cs="Arial"/>
        </w:rPr>
        <w:t>2</w:t>
      </w:r>
      <w:r w:rsidRPr="00D67E9A">
        <w:rPr>
          <w:rFonts w:cs="Arial"/>
        </w:rPr>
        <w:t xml:space="preserve"> % </w:t>
      </w:r>
      <w:r>
        <w:rPr>
          <w:rFonts w:cs="Arial"/>
        </w:rPr>
        <w:t xml:space="preserve">více </w:t>
      </w:r>
      <w:r w:rsidRPr="00D67E9A">
        <w:rPr>
          <w:rFonts w:cs="Arial"/>
        </w:rPr>
        <w:t>ve srovnání se stejným obdobím minulého roku. Investiční výdaje v roce 201</w:t>
      </w:r>
      <w:r>
        <w:rPr>
          <w:rFonts w:cs="Arial"/>
        </w:rPr>
        <w:t>5</w:t>
      </w:r>
      <w:r w:rsidRPr="00D67E9A">
        <w:rPr>
          <w:rFonts w:cs="Arial"/>
        </w:rPr>
        <w:t xml:space="preserve"> reprezentují běžné investice na údržbu. </w:t>
      </w:r>
    </w:p>
    <w:p w:rsidR="00236FFC" w:rsidRPr="00074F91" w:rsidRDefault="00236FFC" w:rsidP="00236FFC">
      <w:pPr>
        <w:pStyle w:val="Odstavecseseznamem1"/>
        <w:numPr>
          <w:ilvl w:val="0"/>
          <w:numId w:val="30"/>
        </w:numPr>
        <w:rPr>
          <w:rFonts w:ascii="Times New Roman" w:hAnsi="Times New Roman"/>
          <w:i/>
          <w:color w:val="000000"/>
          <w:sz w:val="24"/>
          <w:szCs w:val="24"/>
        </w:rPr>
      </w:pPr>
      <w:r w:rsidRPr="00074F91">
        <w:rPr>
          <w:rFonts w:ascii="Times New Roman" w:hAnsi="Times New Roman"/>
          <w:i/>
          <w:color w:val="000000"/>
          <w:sz w:val="24"/>
          <w:szCs w:val="24"/>
        </w:rPr>
        <w:t>Použití odhadů a úsudků</w:t>
      </w:r>
    </w:p>
    <w:p w:rsidR="00236FFC" w:rsidRPr="00074F91" w:rsidRDefault="00236FFC" w:rsidP="00236FFC">
      <w:pPr>
        <w:jc w:val="both"/>
        <w:rPr>
          <w:color w:val="000000"/>
        </w:rPr>
      </w:pPr>
      <w:r w:rsidRPr="00074F91">
        <w:rPr>
          <w:color w:val="000000"/>
        </w:rPr>
        <w:t>Pro přípravu mezitímních účetních výkazů v souladu s IFRS je nutné, aby vedení Společnosti učinilo některé úsudky, odhady a předpoklady, které ovlivňují aplikaci účetních postupů a výši vykazovaných aktiv a pasiv, výnosů a nákladů. Odhady</w:t>
      </w:r>
      <w:r w:rsidR="006D37C5">
        <w:rPr>
          <w:color w:val="000000"/>
        </w:rPr>
        <w:t xml:space="preserve"> </w:t>
      </w:r>
      <w:r w:rsidRPr="00074F91">
        <w:rPr>
          <w:color w:val="000000"/>
        </w:rPr>
        <w:t xml:space="preserve">a jejich předpoklady jsou aplikovány na základě historických zkušeností a jiných relevantních faktorů. Stanovení odhadů má za cíl poskytnout věrný a poctivý obraz o finanční situaci Společnosti, zejména při určení hodnoty aktiv a pasiv, u kterých tato hodnota nemůže být spolehlivě zjištěna z jiných zdrojů. Skutečné výsledky se mohou od těchto odhadů lišit. </w:t>
      </w:r>
    </w:p>
    <w:p w:rsidR="00236FFC" w:rsidRPr="00074F91" w:rsidRDefault="00236FFC" w:rsidP="00236FFC">
      <w:pPr>
        <w:jc w:val="both"/>
        <w:rPr>
          <w:color w:val="000000"/>
        </w:rPr>
      </w:pPr>
    </w:p>
    <w:p w:rsidR="00236FFC" w:rsidRPr="00074F91" w:rsidRDefault="00236FFC" w:rsidP="00236FFC">
      <w:pPr>
        <w:jc w:val="both"/>
        <w:rPr>
          <w:color w:val="000000"/>
        </w:rPr>
      </w:pPr>
      <w:r w:rsidRPr="00074F91">
        <w:rPr>
          <w:color w:val="000000"/>
        </w:rPr>
        <w:t xml:space="preserve">Od vydání předchozích účetních výkazů nedošlo k žádným změnám v povaze nebo výši použitých odhadů. </w:t>
      </w:r>
    </w:p>
    <w:p w:rsidR="00236FFC" w:rsidRPr="00074F91" w:rsidRDefault="00236FFC" w:rsidP="00236FFC">
      <w:pPr>
        <w:jc w:val="both"/>
        <w:rPr>
          <w:color w:val="000000"/>
        </w:rPr>
      </w:pPr>
    </w:p>
    <w:p w:rsidR="00236FFC" w:rsidRPr="00074F91" w:rsidRDefault="00236FFC" w:rsidP="00236FFC">
      <w:pPr>
        <w:pStyle w:val="Odstavecseseznamem1"/>
        <w:numPr>
          <w:ilvl w:val="0"/>
          <w:numId w:val="30"/>
        </w:numPr>
        <w:rPr>
          <w:rFonts w:ascii="Times New Roman" w:hAnsi="Times New Roman"/>
          <w:i/>
          <w:color w:val="000000"/>
          <w:sz w:val="24"/>
          <w:szCs w:val="24"/>
        </w:rPr>
      </w:pPr>
      <w:r w:rsidRPr="00074F91">
        <w:rPr>
          <w:rFonts w:ascii="Times New Roman" w:hAnsi="Times New Roman"/>
          <w:i/>
          <w:color w:val="000000"/>
          <w:sz w:val="24"/>
          <w:szCs w:val="24"/>
        </w:rPr>
        <w:t xml:space="preserve">Odkupy a splátky dluhu a majetkových cenných papírů </w:t>
      </w:r>
    </w:p>
    <w:p w:rsidR="00236FFC" w:rsidRPr="00074F91" w:rsidRDefault="00236FFC" w:rsidP="00236FFC">
      <w:pPr>
        <w:pStyle w:val="Odstavecseseznamem1"/>
        <w:ind w:left="0"/>
        <w:rPr>
          <w:rFonts w:ascii="Times New Roman" w:hAnsi="Times New Roman"/>
          <w:i/>
          <w:color w:val="000000"/>
          <w:sz w:val="24"/>
          <w:szCs w:val="24"/>
        </w:rPr>
      </w:pPr>
    </w:p>
    <w:p w:rsidR="00317B41" w:rsidRPr="00074F91" w:rsidRDefault="00236FFC" w:rsidP="00236FFC">
      <w:pPr>
        <w:pStyle w:val="Odstavecseseznamem1"/>
        <w:spacing w:line="240" w:lineRule="auto"/>
        <w:ind w:left="0"/>
        <w:jc w:val="both"/>
        <w:rPr>
          <w:rFonts w:ascii="Times New Roman" w:hAnsi="Times New Roman"/>
          <w:color w:val="000000"/>
          <w:sz w:val="24"/>
          <w:szCs w:val="24"/>
        </w:rPr>
      </w:pPr>
      <w:r w:rsidRPr="00074F91">
        <w:rPr>
          <w:rFonts w:ascii="Times New Roman" w:hAnsi="Times New Roman"/>
          <w:color w:val="000000"/>
          <w:sz w:val="24"/>
          <w:szCs w:val="24"/>
        </w:rPr>
        <w:t xml:space="preserve">Bankovní úvěry čerpané Společností se </w:t>
      </w:r>
      <w:r w:rsidR="006D37C5">
        <w:rPr>
          <w:rFonts w:ascii="Times New Roman" w:hAnsi="Times New Roman"/>
          <w:color w:val="000000"/>
          <w:sz w:val="24"/>
          <w:szCs w:val="24"/>
        </w:rPr>
        <w:t xml:space="preserve">k 30. červnu 2015 </w:t>
      </w:r>
      <w:r w:rsidRPr="00074F91">
        <w:rPr>
          <w:rFonts w:ascii="Times New Roman" w:hAnsi="Times New Roman"/>
          <w:color w:val="000000"/>
          <w:sz w:val="24"/>
          <w:szCs w:val="24"/>
        </w:rPr>
        <w:t xml:space="preserve">sestávají z revolvingového úvěru (až do výše 165 milionů EUR) a z kontokorentního úvěru (až do výše 15 milionů EUR). Úvěry neobsahují povinné splátky v průběhu kontraktu. </w:t>
      </w:r>
    </w:p>
    <w:p w:rsidR="00317B41" w:rsidRPr="00074F91" w:rsidRDefault="00317B41" w:rsidP="00236FFC">
      <w:pPr>
        <w:pStyle w:val="Odstavecseseznamem1"/>
        <w:spacing w:line="240" w:lineRule="auto"/>
        <w:ind w:left="0"/>
        <w:jc w:val="both"/>
        <w:rPr>
          <w:rFonts w:ascii="Times New Roman" w:hAnsi="Times New Roman"/>
          <w:color w:val="000000"/>
          <w:sz w:val="24"/>
          <w:szCs w:val="24"/>
        </w:rPr>
      </w:pPr>
    </w:p>
    <w:p w:rsidR="008D1343" w:rsidRPr="00074F91" w:rsidRDefault="008D1343" w:rsidP="008D1343">
      <w:pPr>
        <w:pStyle w:val="Odstavecseseznamem1"/>
        <w:spacing w:line="240" w:lineRule="auto"/>
        <w:ind w:left="0"/>
        <w:jc w:val="both"/>
        <w:rPr>
          <w:rFonts w:ascii="Times New Roman" w:hAnsi="Times New Roman"/>
          <w:color w:val="000000"/>
          <w:sz w:val="24"/>
          <w:szCs w:val="24"/>
        </w:rPr>
      </w:pPr>
      <w:r w:rsidRPr="00074F91">
        <w:rPr>
          <w:rFonts w:ascii="Times New Roman" w:hAnsi="Times New Roman"/>
          <w:color w:val="000000"/>
          <w:sz w:val="24"/>
          <w:szCs w:val="24"/>
        </w:rPr>
        <w:t>V průběhu prvních šesti měsíců roku 2015 Společnost snížila svůj bankovní dluh z 61 902 tisíc EUR na 60 70</w:t>
      </w:r>
      <w:r w:rsidR="00597189">
        <w:rPr>
          <w:rFonts w:ascii="Times New Roman" w:hAnsi="Times New Roman"/>
          <w:color w:val="000000"/>
          <w:sz w:val="24"/>
          <w:szCs w:val="24"/>
        </w:rPr>
        <w:t>4</w:t>
      </w:r>
      <w:r w:rsidRPr="00074F91">
        <w:rPr>
          <w:rFonts w:ascii="Times New Roman" w:hAnsi="Times New Roman"/>
          <w:color w:val="000000"/>
          <w:sz w:val="24"/>
          <w:szCs w:val="24"/>
        </w:rPr>
        <w:t xml:space="preserve"> tisíc EUR (snížila ze 160 400 tisíc EUR na 152 913 tisíc EUR v prvních šesti měsících roku 2014). </w:t>
      </w:r>
    </w:p>
    <w:p w:rsidR="008D1343" w:rsidRPr="00074F91" w:rsidRDefault="008D1343" w:rsidP="008D1343">
      <w:pPr>
        <w:pStyle w:val="Odstavecseseznamem1"/>
        <w:spacing w:line="240" w:lineRule="auto"/>
        <w:ind w:left="0"/>
        <w:jc w:val="both"/>
        <w:rPr>
          <w:rFonts w:ascii="Times New Roman" w:hAnsi="Times New Roman"/>
          <w:color w:val="000000"/>
          <w:sz w:val="24"/>
          <w:szCs w:val="24"/>
        </w:rPr>
      </w:pPr>
    </w:p>
    <w:p w:rsidR="008D1343" w:rsidRPr="00074F91" w:rsidRDefault="008D1343" w:rsidP="008D1343">
      <w:pPr>
        <w:pStyle w:val="Odstavecseseznamem1"/>
        <w:spacing w:line="240" w:lineRule="auto"/>
        <w:ind w:left="0"/>
        <w:jc w:val="both"/>
        <w:rPr>
          <w:rFonts w:ascii="Times New Roman" w:hAnsi="Times New Roman"/>
          <w:color w:val="000000"/>
          <w:sz w:val="24"/>
          <w:szCs w:val="24"/>
        </w:rPr>
      </w:pPr>
      <w:r w:rsidRPr="00074F91">
        <w:rPr>
          <w:rFonts w:ascii="Times New Roman" w:hAnsi="Times New Roman"/>
          <w:color w:val="000000"/>
          <w:sz w:val="24"/>
          <w:szCs w:val="24"/>
        </w:rPr>
        <w:t>Společnost neuzavřela v prvním pololetí roku 2015 žádné nové smlouvy na bankovní úvěry, resp. jinou emisi dluhových nástrojů.</w:t>
      </w:r>
    </w:p>
    <w:p w:rsidR="008D1343" w:rsidRPr="00074F91" w:rsidRDefault="008D1343" w:rsidP="00236FFC">
      <w:pPr>
        <w:pStyle w:val="Odstavecseseznamem1"/>
        <w:spacing w:line="240" w:lineRule="auto"/>
        <w:ind w:left="0"/>
        <w:jc w:val="both"/>
        <w:rPr>
          <w:rFonts w:ascii="Times New Roman" w:hAnsi="Times New Roman"/>
          <w:color w:val="000000"/>
          <w:sz w:val="24"/>
          <w:szCs w:val="24"/>
        </w:rPr>
      </w:pPr>
    </w:p>
    <w:p w:rsidR="00317B41" w:rsidRPr="00074F91" w:rsidRDefault="00317B41" w:rsidP="00236FFC">
      <w:pPr>
        <w:pStyle w:val="Odstavecseseznamem1"/>
        <w:spacing w:line="240" w:lineRule="auto"/>
        <w:ind w:left="0"/>
        <w:jc w:val="both"/>
        <w:rPr>
          <w:rFonts w:ascii="Times New Roman" w:hAnsi="Times New Roman"/>
          <w:color w:val="000000"/>
          <w:sz w:val="24"/>
          <w:szCs w:val="24"/>
        </w:rPr>
      </w:pPr>
      <w:r w:rsidRPr="00074F91">
        <w:rPr>
          <w:rFonts w:ascii="Times New Roman" w:hAnsi="Times New Roman"/>
          <w:color w:val="000000"/>
          <w:sz w:val="24"/>
          <w:szCs w:val="24"/>
        </w:rPr>
        <w:t>Společnost je dále emitentem nezajištěných dluhopisů v celkové jmenovité hodnotě emise 2</w:t>
      </w:r>
      <w:r w:rsidR="006D37C5">
        <w:rPr>
          <w:rFonts w:ascii="Times New Roman" w:hAnsi="Times New Roman"/>
          <w:color w:val="000000"/>
          <w:sz w:val="24"/>
          <w:szCs w:val="24"/>
        </w:rPr>
        <w:t> </w:t>
      </w:r>
      <w:r w:rsidRPr="00074F91">
        <w:rPr>
          <w:rFonts w:ascii="Times New Roman" w:hAnsi="Times New Roman"/>
          <w:color w:val="000000"/>
          <w:sz w:val="24"/>
          <w:szCs w:val="24"/>
        </w:rPr>
        <w:t>500</w:t>
      </w:r>
      <w:r w:rsidR="006D37C5">
        <w:rPr>
          <w:rFonts w:ascii="Times New Roman" w:hAnsi="Times New Roman"/>
          <w:color w:val="000000"/>
          <w:sz w:val="24"/>
          <w:szCs w:val="24"/>
        </w:rPr>
        <w:t> </w:t>
      </w:r>
      <w:r w:rsidRPr="00074F91">
        <w:rPr>
          <w:rFonts w:ascii="Times New Roman" w:hAnsi="Times New Roman"/>
          <w:color w:val="000000"/>
          <w:sz w:val="24"/>
          <w:szCs w:val="24"/>
        </w:rPr>
        <w:t>000</w:t>
      </w:r>
      <w:r w:rsidR="006D37C5">
        <w:rPr>
          <w:rFonts w:ascii="Times New Roman" w:hAnsi="Times New Roman"/>
          <w:color w:val="000000"/>
          <w:sz w:val="24"/>
          <w:szCs w:val="24"/>
        </w:rPr>
        <w:t> </w:t>
      </w:r>
      <w:r w:rsidRPr="00074F91">
        <w:rPr>
          <w:rFonts w:ascii="Times New Roman" w:hAnsi="Times New Roman"/>
          <w:color w:val="000000"/>
          <w:sz w:val="24"/>
          <w:szCs w:val="24"/>
        </w:rPr>
        <w:t>000 Kč (slovy: dvě miliardy pět set milionů k</w:t>
      </w:r>
      <w:r w:rsidR="006D37C5">
        <w:rPr>
          <w:rFonts w:ascii="Times New Roman" w:hAnsi="Times New Roman"/>
          <w:color w:val="000000"/>
          <w:sz w:val="24"/>
          <w:szCs w:val="24"/>
        </w:rPr>
        <w:t>orun českých) se splatností 14. </w:t>
      </w:r>
      <w:r w:rsidRPr="00074F91">
        <w:rPr>
          <w:rFonts w:ascii="Times New Roman" w:hAnsi="Times New Roman"/>
          <w:color w:val="000000"/>
          <w:sz w:val="24"/>
          <w:szCs w:val="24"/>
        </w:rPr>
        <w:t xml:space="preserve">listopadu 2018 a s pevným úrokovým výnosem 2,85 % p.a. </w:t>
      </w:r>
    </w:p>
    <w:p w:rsidR="00236FFC" w:rsidRPr="00074F91" w:rsidRDefault="00236FFC" w:rsidP="00236FFC">
      <w:pPr>
        <w:pStyle w:val="Odstavecseseznamem1"/>
        <w:spacing w:line="240" w:lineRule="auto"/>
        <w:ind w:left="0"/>
        <w:rPr>
          <w:rFonts w:ascii="Times New Roman" w:hAnsi="Times New Roman"/>
          <w:color w:val="000000"/>
          <w:sz w:val="24"/>
          <w:szCs w:val="24"/>
        </w:rPr>
      </w:pPr>
    </w:p>
    <w:p w:rsidR="00236FFC" w:rsidRPr="00074F91" w:rsidRDefault="00236FFC" w:rsidP="00236FFC">
      <w:pPr>
        <w:pStyle w:val="Odstavecseseznamem1"/>
        <w:spacing w:line="240" w:lineRule="auto"/>
        <w:ind w:left="0"/>
        <w:jc w:val="both"/>
        <w:rPr>
          <w:rFonts w:ascii="Times New Roman" w:hAnsi="Times New Roman"/>
          <w:color w:val="000000"/>
          <w:sz w:val="24"/>
          <w:szCs w:val="24"/>
        </w:rPr>
      </w:pPr>
      <w:r w:rsidRPr="00074F91">
        <w:rPr>
          <w:rFonts w:ascii="Times New Roman" w:hAnsi="Times New Roman"/>
          <w:color w:val="000000"/>
          <w:sz w:val="24"/>
          <w:szCs w:val="24"/>
        </w:rPr>
        <w:t xml:space="preserve">V prvních </w:t>
      </w:r>
      <w:r w:rsidR="003859FF" w:rsidRPr="00074F91">
        <w:rPr>
          <w:rFonts w:ascii="Times New Roman" w:hAnsi="Times New Roman"/>
          <w:color w:val="000000"/>
          <w:sz w:val="24"/>
          <w:szCs w:val="24"/>
        </w:rPr>
        <w:t>šesti</w:t>
      </w:r>
      <w:r w:rsidRPr="00074F91">
        <w:rPr>
          <w:rFonts w:ascii="Times New Roman" w:hAnsi="Times New Roman"/>
          <w:color w:val="000000"/>
          <w:sz w:val="24"/>
          <w:szCs w:val="24"/>
        </w:rPr>
        <w:t xml:space="preserve"> měsících roku 201</w:t>
      </w:r>
      <w:r w:rsidR="00317B41" w:rsidRPr="00074F91">
        <w:rPr>
          <w:rFonts w:ascii="Times New Roman" w:hAnsi="Times New Roman"/>
          <w:color w:val="000000"/>
          <w:sz w:val="24"/>
          <w:szCs w:val="24"/>
        </w:rPr>
        <w:t>5</w:t>
      </w:r>
      <w:r w:rsidRPr="00074F91">
        <w:rPr>
          <w:rFonts w:ascii="Times New Roman" w:hAnsi="Times New Roman"/>
          <w:color w:val="000000"/>
          <w:sz w:val="24"/>
          <w:szCs w:val="24"/>
        </w:rPr>
        <w:t xml:space="preserve"> nedošlo k žádným odkupům nebo splátkám </w:t>
      </w:r>
      <w:r w:rsidR="00A832D4" w:rsidRPr="00074F91">
        <w:rPr>
          <w:rFonts w:ascii="Times New Roman" w:hAnsi="Times New Roman"/>
          <w:color w:val="000000"/>
          <w:sz w:val="24"/>
          <w:szCs w:val="24"/>
        </w:rPr>
        <w:t xml:space="preserve">dluhových nebo </w:t>
      </w:r>
      <w:r w:rsidRPr="00074F91">
        <w:rPr>
          <w:rFonts w:ascii="Times New Roman" w:hAnsi="Times New Roman"/>
          <w:color w:val="000000"/>
          <w:sz w:val="24"/>
          <w:szCs w:val="24"/>
        </w:rPr>
        <w:t>majetkových cenných papírů.</w:t>
      </w:r>
    </w:p>
    <w:p w:rsidR="00236FFC" w:rsidRPr="00074F91" w:rsidRDefault="00236FFC" w:rsidP="00236FFC">
      <w:pPr>
        <w:pStyle w:val="Odstavecseseznamem1"/>
        <w:ind w:left="0"/>
        <w:rPr>
          <w:rFonts w:ascii="Times New Roman" w:hAnsi="Times New Roman"/>
          <w:color w:val="000000"/>
          <w:sz w:val="24"/>
          <w:szCs w:val="24"/>
        </w:rPr>
      </w:pPr>
    </w:p>
    <w:p w:rsidR="00236FFC" w:rsidRPr="00074F91" w:rsidRDefault="00236FFC" w:rsidP="00236FFC">
      <w:pPr>
        <w:pStyle w:val="Odstavecseseznamem1"/>
        <w:numPr>
          <w:ilvl w:val="0"/>
          <w:numId w:val="30"/>
        </w:numPr>
        <w:rPr>
          <w:rFonts w:ascii="Times New Roman" w:hAnsi="Times New Roman"/>
          <w:i/>
          <w:color w:val="000000"/>
          <w:sz w:val="24"/>
          <w:szCs w:val="24"/>
        </w:rPr>
      </w:pPr>
      <w:r w:rsidRPr="00074F91">
        <w:rPr>
          <w:rFonts w:ascii="Times New Roman" w:hAnsi="Times New Roman"/>
          <w:i/>
          <w:color w:val="000000"/>
          <w:sz w:val="24"/>
          <w:szCs w:val="24"/>
        </w:rPr>
        <w:t>Dividenda</w:t>
      </w:r>
    </w:p>
    <w:p w:rsidR="006D3AE4" w:rsidRPr="00074F91" w:rsidRDefault="006D3AE4" w:rsidP="006D3AE4">
      <w:pPr>
        <w:jc w:val="both"/>
        <w:rPr>
          <w:color w:val="000000"/>
        </w:rPr>
      </w:pPr>
      <w:r w:rsidRPr="00074F91">
        <w:rPr>
          <w:color w:val="000000"/>
        </w:rPr>
        <w:t>Řádná valná hromada Společnosti, jež se konala dne 1</w:t>
      </w:r>
      <w:r w:rsidR="00317B41" w:rsidRPr="00074F91">
        <w:rPr>
          <w:color w:val="000000"/>
        </w:rPr>
        <w:t>5</w:t>
      </w:r>
      <w:r w:rsidRPr="00074F91">
        <w:rPr>
          <w:color w:val="000000"/>
        </w:rPr>
        <w:t>. června 201</w:t>
      </w:r>
      <w:r w:rsidR="00317B41" w:rsidRPr="00074F91">
        <w:rPr>
          <w:color w:val="000000"/>
        </w:rPr>
        <w:t>5</w:t>
      </w:r>
      <w:r w:rsidRPr="00074F91">
        <w:rPr>
          <w:color w:val="000000"/>
        </w:rPr>
        <w:t xml:space="preserve"> v Lucemburku, rozhodla o schválení výplaty dividendy ve výši </w:t>
      </w:r>
      <w:r w:rsidR="00317B41" w:rsidRPr="00074F91">
        <w:rPr>
          <w:color w:val="000000"/>
        </w:rPr>
        <w:t xml:space="preserve">10 613 810 </w:t>
      </w:r>
      <w:r w:rsidRPr="00074F91">
        <w:rPr>
          <w:color w:val="000000"/>
        </w:rPr>
        <w:t>EUR, tj. 1,1</w:t>
      </w:r>
      <w:r w:rsidR="00C751D6" w:rsidRPr="00074F91">
        <w:rPr>
          <w:color w:val="000000"/>
        </w:rPr>
        <w:t>5</w:t>
      </w:r>
      <w:r w:rsidRPr="00074F91">
        <w:rPr>
          <w:color w:val="000000"/>
        </w:rPr>
        <w:t xml:space="preserve"> EUR na akcii.</w:t>
      </w:r>
    </w:p>
    <w:p w:rsidR="006D3AE4" w:rsidRPr="00074F91" w:rsidRDefault="006D3AE4" w:rsidP="006D3AE4">
      <w:pPr>
        <w:jc w:val="both"/>
        <w:rPr>
          <w:color w:val="000000"/>
        </w:rPr>
      </w:pPr>
    </w:p>
    <w:p w:rsidR="00236FFC" w:rsidRPr="00074F91" w:rsidRDefault="006D3AE4" w:rsidP="006D3AE4">
      <w:pPr>
        <w:jc w:val="both"/>
        <w:rPr>
          <w:color w:val="000000"/>
        </w:rPr>
      </w:pPr>
      <w:r w:rsidRPr="00074F91">
        <w:rPr>
          <w:color w:val="000000"/>
        </w:rPr>
        <w:t>Zdrojem výplaty dividendy bude zisk roku 201</w:t>
      </w:r>
      <w:r w:rsidR="00C751D6" w:rsidRPr="00074F91">
        <w:rPr>
          <w:color w:val="000000"/>
        </w:rPr>
        <w:t>4</w:t>
      </w:r>
      <w:r w:rsidRPr="00074F91">
        <w:rPr>
          <w:color w:val="000000"/>
        </w:rPr>
        <w:t xml:space="preserve"> a nerozdělený zisk minulých let. Rozhodný den pro vznik nároku na dividendu (tj. den, na jehož konci jsou akcie s nárokem na dividendu registrovány na účtech oprávněných osob ve vypořádacích systémech Centrálního depozitáře cenných papírů, a.s., Krajowy Depozyt Papierów Wartościowych Spółka Akcyjna či jiných příslušných vypořádacích systémů) byl stanoven na 1</w:t>
      </w:r>
      <w:r w:rsidR="00C751D6" w:rsidRPr="00074F91">
        <w:rPr>
          <w:color w:val="000000"/>
        </w:rPr>
        <w:t>6</w:t>
      </w:r>
      <w:r w:rsidRPr="00074F91">
        <w:rPr>
          <w:color w:val="000000"/>
        </w:rPr>
        <w:t>. října 201</w:t>
      </w:r>
      <w:r w:rsidR="00C751D6" w:rsidRPr="00074F91">
        <w:rPr>
          <w:color w:val="000000"/>
        </w:rPr>
        <w:t>5</w:t>
      </w:r>
      <w:r w:rsidRPr="00074F91">
        <w:rPr>
          <w:color w:val="000000"/>
        </w:rPr>
        <w:t xml:space="preserve"> a den výplaty dividendy na 2</w:t>
      </w:r>
      <w:r w:rsidR="00C751D6" w:rsidRPr="00074F91">
        <w:rPr>
          <w:color w:val="000000"/>
        </w:rPr>
        <w:t>8</w:t>
      </w:r>
      <w:r w:rsidRPr="00074F91">
        <w:rPr>
          <w:color w:val="000000"/>
        </w:rPr>
        <w:t>. října 201</w:t>
      </w:r>
      <w:r w:rsidR="00C751D6" w:rsidRPr="00074F91">
        <w:rPr>
          <w:color w:val="000000"/>
        </w:rPr>
        <w:t>5</w:t>
      </w:r>
      <w:r w:rsidRPr="00074F91">
        <w:rPr>
          <w:color w:val="000000"/>
        </w:rPr>
        <w:t>.</w:t>
      </w:r>
      <w:r w:rsidR="00236FFC" w:rsidRPr="00074F91">
        <w:rPr>
          <w:color w:val="000000"/>
        </w:rPr>
        <w:t xml:space="preserve"> </w:t>
      </w:r>
    </w:p>
    <w:p w:rsidR="00236FFC" w:rsidRPr="00074F91" w:rsidRDefault="00236FFC" w:rsidP="00236FFC">
      <w:pPr>
        <w:pStyle w:val="Odstavecseseznamem1"/>
        <w:rPr>
          <w:rFonts w:ascii="Times New Roman" w:hAnsi="Times New Roman"/>
          <w:i/>
          <w:color w:val="000000"/>
          <w:sz w:val="24"/>
          <w:szCs w:val="24"/>
        </w:rPr>
      </w:pPr>
    </w:p>
    <w:p w:rsidR="00236FFC" w:rsidRPr="00074F91" w:rsidRDefault="00236FFC" w:rsidP="00236FFC">
      <w:pPr>
        <w:pStyle w:val="Odstavecseseznamem1"/>
        <w:numPr>
          <w:ilvl w:val="0"/>
          <w:numId w:val="30"/>
        </w:numPr>
        <w:rPr>
          <w:rFonts w:ascii="Times New Roman" w:hAnsi="Times New Roman"/>
          <w:i/>
          <w:color w:val="000000"/>
          <w:sz w:val="24"/>
          <w:szCs w:val="24"/>
        </w:rPr>
      </w:pPr>
      <w:r w:rsidRPr="00074F91">
        <w:rPr>
          <w:rFonts w:ascii="Times New Roman" w:hAnsi="Times New Roman"/>
          <w:i/>
          <w:color w:val="000000"/>
          <w:sz w:val="24"/>
          <w:szCs w:val="24"/>
        </w:rPr>
        <w:lastRenderedPageBreak/>
        <w:t>Vykazování dle segmentů</w:t>
      </w:r>
    </w:p>
    <w:p w:rsidR="00236FFC" w:rsidRPr="00074F91" w:rsidRDefault="00236FFC" w:rsidP="006D3AE4">
      <w:pPr>
        <w:autoSpaceDE w:val="0"/>
        <w:autoSpaceDN w:val="0"/>
        <w:adjustRightInd w:val="0"/>
        <w:jc w:val="both"/>
        <w:rPr>
          <w:color w:val="000000"/>
        </w:rPr>
      </w:pPr>
      <w:r w:rsidRPr="00074F91">
        <w:rPr>
          <w:color w:val="000000"/>
        </w:rPr>
        <w:t>Standard IFRS 8 vyžaduje identifikaci provozních segmentů na základě rozdělení interních výkazů, které jsou pravidelně vyhodnocovány subjektem s rozhodovací pravomocí za účelem alokace zdrojů a posouzení jejich výkonu.</w:t>
      </w:r>
      <w:r w:rsidRPr="00074F91" w:rsidDel="00A842D8">
        <w:rPr>
          <w:color w:val="000000"/>
        </w:rPr>
        <w:t xml:space="preserve"> </w:t>
      </w:r>
      <w:r w:rsidRPr="00074F91">
        <w:rPr>
          <w:color w:val="000000"/>
        </w:rPr>
        <w:t xml:space="preserve">V souladu s IFRS 8 Skupina identifikovala jediný provozní segment, a to výrobu netkaných textilií. </w:t>
      </w:r>
    </w:p>
    <w:p w:rsidR="00C751D6" w:rsidRPr="00074F91" w:rsidRDefault="00C751D6" w:rsidP="006D3AE4">
      <w:pPr>
        <w:autoSpaceDE w:val="0"/>
        <w:autoSpaceDN w:val="0"/>
        <w:adjustRightInd w:val="0"/>
        <w:jc w:val="both"/>
        <w:rPr>
          <w:i/>
          <w:color w:val="000000"/>
          <w:lang w:eastAsia="en-US"/>
        </w:rPr>
      </w:pPr>
    </w:p>
    <w:p w:rsidR="00236FFC" w:rsidRPr="00074F91" w:rsidRDefault="00236FFC" w:rsidP="00236FFC">
      <w:pPr>
        <w:pStyle w:val="Odstavecseseznamem1"/>
        <w:numPr>
          <w:ilvl w:val="0"/>
          <w:numId w:val="30"/>
        </w:numPr>
        <w:rPr>
          <w:rFonts w:ascii="Times New Roman" w:hAnsi="Times New Roman"/>
          <w:i/>
          <w:color w:val="000000"/>
          <w:sz w:val="24"/>
          <w:szCs w:val="24"/>
        </w:rPr>
      </w:pPr>
      <w:r w:rsidRPr="00074F91">
        <w:rPr>
          <w:rFonts w:ascii="Times New Roman" w:hAnsi="Times New Roman"/>
          <w:i/>
          <w:color w:val="000000"/>
          <w:sz w:val="24"/>
          <w:szCs w:val="24"/>
        </w:rPr>
        <w:t>Významné události po skončení mezitímního období</w:t>
      </w:r>
    </w:p>
    <w:p w:rsidR="00165140" w:rsidRPr="00074F91" w:rsidRDefault="00165140" w:rsidP="006D3AE4">
      <w:pPr>
        <w:jc w:val="both"/>
        <w:rPr>
          <w:b/>
          <w:color w:val="000000"/>
        </w:rPr>
      </w:pPr>
      <w:r w:rsidRPr="00074F91">
        <w:rPr>
          <w:b/>
          <w:color w:val="000000"/>
        </w:rPr>
        <w:t>Privátní emise dluhopisů</w:t>
      </w:r>
    </w:p>
    <w:p w:rsidR="00F85C5B" w:rsidRPr="00074F91" w:rsidRDefault="00C751D6" w:rsidP="006D3AE4">
      <w:pPr>
        <w:jc w:val="both"/>
        <w:rPr>
          <w:color w:val="000000"/>
        </w:rPr>
      </w:pPr>
      <w:r w:rsidRPr="00074F91">
        <w:rPr>
          <w:color w:val="000000"/>
        </w:rPr>
        <w:t xml:space="preserve">14. července 2015 Společnost vydala tři </w:t>
      </w:r>
      <w:r w:rsidR="00F85C5B" w:rsidRPr="00074F91">
        <w:rPr>
          <w:color w:val="000000"/>
        </w:rPr>
        <w:t xml:space="preserve">privátní </w:t>
      </w:r>
      <w:r w:rsidRPr="00074F91">
        <w:rPr>
          <w:color w:val="000000"/>
        </w:rPr>
        <w:t xml:space="preserve">emise </w:t>
      </w:r>
      <w:r w:rsidR="00F85C5B" w:rsidRPr="00074F91">
        <w:rPr>
          <w:color w:val="000000"/>
        </w:rPr>
        <w:t xml:space="preserve">seniorních </w:t>
      </w:r>
      <w:r w:rsidRPr="00074F91">
        <w:rPr>
          <w:color w:val="000000"/>
        </w:rPr>
        <w:t xml:space="preserve">nezajištěných dluhopisů v celkové jmenovité hodnotě </w:t>
      </w:r>
      <w:r w:rsidR="00F85C5B" w:rsidRPr="00074F91">
        <w:rPr>
          <w:color w:val="000000"/>
        </w:rPr>
        <w:t>přibližně 100 milionů EUR.</w:t>
      </w:r>
    </w:p>
    <w:p w:rsidR="00F85C5B" w:rsidRPr="00074F91" w:rsidRDefault="00F85C5B" w:rsidP="006D3AE4">
      <w:pPr>
        <w:jc w:val="both"/>
        <w:rPr>
          <w:color w:val="000000"/>
        </w:rPr>
      </w:pPr>
    </w:p>
    <w:p w:rsidR="00F85C5B" w:rsidRPr="00074F91" w:rsidRDefault="00F85C5B" w:rsidP="006D3AE4">
      <w:pPr>
        <w:jc w:val="both"/>
        <w:rPr>
          <w:color w:val="000000"/>
        </w:rPr>
      </w:pPr>
      <w:r w:rsidRPr="00074F91">
        <w:rPr>
          <w:color w:val="000000"/>
        </w:rPr>
        <w:t xml:space="preserve">První </w:t>
      </w:r>
      <w:r w:rsidR="00C751D6" w:rsidRPr="00074F91">
        <w:rPr>
          <w:color w:val="000000"/>
        </w:rPr>
        <w:t xml:space="preserve">emise </w:t>
      </w:r>
      <w:r w:rsidRPr="00074F91">
        <w:rPr>
          <w:color w:val="000000"/>
        </w:rPr>
        <w:t>v objemu 678</w:t>
      </w:r>
      <w:r w:rsidR="00C07134" w:rsidRPr="00074F91">
        <w:rPr>
          <w:color w:val="000000"/>
        </w:rPr>
        <w:t xml:space="preserve"> </w:t>
      </w:r>
      <w:r w:rsidR="00C751D6" w:rsidRPr="00074F91">
        <w:rPr>
          <w:color w:val="000000"/>
        </w:rPr>
        <w:t>000</w:t>
      </w:r>
      <w:r w:rsidR="00C07134" w:rsidRPr="00074F91">
        <w:rPr>
          <w:color w:val="000000"/>
        </w:rPr>
        <w:t xml:space="preserve"> </w:t>
      </w:r>
      <w:r w:rsidR="00C751D6" w:rsidRPr="00074F91">
        <w:rPr>
          <w:color w:val="000000"/>
        </w:rPr>
        <w:t xml:space="preserve">000 Kč (slovy: </w:t>
      </w:r>
      <w:r w:rsidRPr="00074F91">
        <w:rPr>
          <w:color w:val="000000"/>
        </w:rPr>
        <w:t xml:space="preserve">šest set sedmdesát osm milionů </w:t>
      </w:r>
      <w:r w:rsidR="00C751D6" w:rsidRPr="00074F91">
        <w:rPr>
          <w:color w:val="000000"/>
        </w:rPr>
        <w:t xml:space="preserve">korun českých) s emisním kurzem </w:t>
      </w:r>
      <w:r w:rsidRPr="00074F91">
        <w:rPr>
          <w:color w:val="000000"/>
        </w:rPr>
        <w:t xml:space="preserve">100 </w:t>
      </w:r>
      <w:r w:rsidR="00C751D6" w:rsidRPr="00074F91">
        <w:rPr>
          <w:color w:val="000000"/>
        </w:rPr>
        <w:t>%</w:t>
      </w:r>
      <w:r w:rsidRPr="00074F91">
        <w:rPr>
          <w:color w:val="000000"/>
        </w:rPr>
        <w:t xml:space="preserve"> je</w:t>
      </w:r>
      <w:r w:rsidR="00C751D6" w:rsidRPr="00074F91">
        <w:rPr>
          <w:color w:val="000000"/>
        </w:rPr>
        <w:t xml:space="preserve"> splatn</w:t>
      </w:r>
      <w:r w:rsidRPr="00074F91">
        <w:rPr>
          <w:color w:val="000000"/>
        </w:rPr>
        <w:t>á</w:t>
      </w:r>
      <w:r w:rsidR="00C751D6" w:rsidRPr="00074F91">
        <w:rPr>
          <w:color w:val="000000"/>
        </w:rPr>
        <w:t xml:space="preserve"> 14. </w:t>
      </w:r>
      <w:r w:rsidRPr="00074F91">
        <w:rPr>
          <w:color w:val="000000"/>
        </w:rPr>
        <w:t xml:space="preserve">července </w:t>
      </w:r>
      <w:r w:rsidR="00C751D6" w:rsidRPr="00074F91">
        <w:rPr>
          <w:color w:val="000000"/>
        </w:rPr>
        <w:t>20</w:t>
      </w:r>
      <w:r w:rsidRPr="00074F91">
        <w:rPr>
          <w:color w:val="000000"/>
        </w:rPr>
        <w:t>25</w:t>
      </w:r>
      <w:r w:rsidR="00C751D6" w:rsidRPr="00074F91">
        <w:rPr>
          <w:color w:val="000000"/>
        </w:rPr>
        <w:t xml:space="preserve"> a </w:t>
      </w:r>
      <w:r w:rsidRPr="00074F91">
        <w:rPr>
          <w:color w:val="000000"/>
        </w:rPr>
        <w:t>nese variabilní úrokový výnos 6M PRIBOR + 2,00 % p.a.</w:t>
      </w:r>
    </w:p>
    <w:p w:rsidR="00F85C5B" w:rsidRPr="00074F91" w:rsidRDefault="00F85C5B" w:rsidP="006D3AE4">
      <w:pPr>
        <w:jc w:val="both"/>
        <w:rPr>
          <w:color w:val="000000"/>
        </w:rPr>
      </w:pPr>
    </w:p>
    <w:p w:rsidR="00F85C5B" w:rsidRPr="00074F91" w:rsidRDefault="00F85C5B" w:rsidP="006D3AE4">
      <w:pPr>
        <w:jc w:val="both"/>
        <w:rPr>
          <w:color w:val="000000"/>
        </w:rPr>
      </w:pPr>
      <w:r w:rsidRPr="00074F91">
        <w:rPr>
          <w:color w:val="000000"/>
        </w:rPr>
        <w:t>Druhá emise v objemu 35</w:t>
      </w:r>
      <w:r w:rsidR="00C07134" w:rsidRPr="00074F91">
        <w:rPr>
          <w:color w:val="000000"/>
        </w:rPr>
        <w:t xml:space="preserve"> </w:t>
      </w:r>
      <w:r w:rsidRPr="00074F91">
        <w:rPr>
          <w:color w:val="000000"/>
        </w:rPr>
        <w:t>000</w:t>
      </w:r>
      <w:r w:rsidR="00C07134" w:rsidRPr="00074F91">
        <w:rPr>
          <w:color w:val="000000"/>
        </w:rPr>
        <w:t xml:space="preserve"> </w:t>
      </w:r>
      <w:r w:rsidRPr="00074F91">
        <w:rPr>
          <w:color w:val="000000"/>
        </w:rPr>
        <w:t xml:space="preserve">000 EUR (slovy: třicet pět milionů eur) s emisním kurzem </w:t>
      </w:r>
      <w:r w:rsidR="00790A4E">
        <w:rPr>
          <w:color w:val="000000"/>
        </w:rPr>
        <w:t>100 </w:t>
      </w:r>
      <w:r w:rsidRPr="00074F91">
        <w:rPr>
          <w:color w:val="000000"/>
        </w:rPr>
        <w:t>% je splatná 14. července 2025 a nese pevný úrokový výnos 3,39 % p.a.</w:t>
      </w:r>
    </w:p>
    <w:p w:rsidR="00F85C5B" w:rsidRPr="00074F91" w:rsidRDefault="00F85C5B" w:rsidP="006D3AE4">
      <w:pPr>
        <w:jc w:val="both"/>
        <w:rPr>
          <w:color w:val="000000"/>
        </w:rPr>
      </w:pPr>
    </w:p>
    <w:p w:rsidR="00F85C5B" w:rsidRPr="00074F91" w:rsidRDefault="00F85C5B" w:rsidP="006D3AE4">
      <w:pPr>
        <w:jc w:val="both"/>
        <w:rPr>
          <w:color w:val="000000"/>
        </w:rPr>
      </w:pPr>
      <w:r w:rsidRPr="00074F91">
        <w:rPr>
          <w:color w:val="000000"/>
        </w:rPr>
        <w:t>Manažerem první a druhé emise byla Československá obchodní banka.</w:t>
      </w:r>
    </w:p>
    <w:p w:rsidR="00F85C5B" w:rsidRPr="00074F91" w:rsidRDefault="00F85C5B" w:rsidP="006D3AE4">
      <w:pPr>
        <w:jc w:val="both"/>
        <w:rPr>
          <w:color w:val="000000"/>
        </w:rPr>
      </w:pPr>
    </w:p>
    <w:p w:rsidR="00F85C5B" w:rsidRPr="00074F91" w:rsidRDefault="00F85C5B" w:rsidP="00F85C5B">
      <w:pPr>
        <w:jc w:val="both"/>
        <w:rPr>
          <w:color w:val="000000"/>
        </w:rPr>
      </w:pPr>
      <w:r w:rsidRPr="00074F91">
        <w:rPr>
          <w:color w:val="000000"/>
        </w:rPr>
        <w:t>Třetí emise v objemu 1</w:t>
      </w:r>
      <w:r w:rsidR="00C07134" w:rsidRPr="00074F91">
        <w:rPr>
          <w:color w:val="000000"/>
        </w:rPr>
        <w:t xml:space="preserve"> </w:t>
      </w:r>
      <w:r w:rsidRPr="00074F91">
        <w:rPr>
          <w:color w:val="000000"/>
        </w:rPr>
        <w:t>080</w:t>
      </w:r>
      <w:r w:rsidR="00C07134" w:rsidRPr="00074F91">
        <w:rPr>
          <w:color w:val="000000"/>
        </w:rPr>
        <w:t xml:space="preserve"> </w:t>
      </w:r>
      <w:r w:rsidRPr="00074F91">
        <w:rPr>
          <w:color w:val="000000"/>
        </w:rPr>
        <w:t>000</w:t>
      </w:r>
      <w:r w:rsidR="00C07134" w:rsidRPr="00074F91">
        <w:rPr>
          <w:color w:val="000000"/>
        </w:rPr>
        <w:t xml:space="preserve"> </w:t>
      </w:r>
      <w:r w:rsidRPr="00074F91">
        <w:rPr>
          <w:color w:val="000000"/>
        </w:rPr>
        <w:t xml:space="preserve">000 </w:t>
      </w:r>
      <w:r w:rsidR="00597189">
        <w:rPr>
          <w:color w:val="000000"/>
        </w:rPr>
        <w:t>Kč</w:t>
      </w:r>
      <w:r w:rsidR="00545AAB" w:rsidRPr="00074F91">
        <w:rPr>
          <w:color w:val="000000"/>
        </w:rPr>
        <w:t xml:space="preserve"> </w:t>
      </w:r>
      <w:r w:rsidRPr="00074F91">
        <w:rPr>
          <w:color w:val="000000"/>
        </w:rPr>
        <w:t xml:space="preserve">(slovy: </w:t>
      </w:r>
      <w:r w:rsidR="00C07134" w:rsidRPr="00074F91">
        <w:rPr>
          <w:color w:val="000000"/>
        </w:rPr>
        <w:t xml:space="preserve">jedna miliarda osmdesát milionů </w:t>
      </w:r>
      <w:r w:rsidR="00545AAB">
        <w:rPr>
          <w:color w:val="000000"/>
        </w:rPr>
        <w:t>korun českých</w:t>
      </w:r>
      <w:r w:rsidRPr="00074F91">
        <w:rPr>
          <w:color w:val="000000"/>
        </w:rPr>
        <w:t>) s emisním kurzem 10</w:t>
      </w:r>
      <w:r w:rsidR="00C07134" w:rsidRPr="00074F91">
        <w:rPr>
          <w:color w:val="000000"/>
        </w:rPr>
        <w:t>1,594</w:t>
      </w:r>
      <w:r w:rsidRPr="00074F91">
        <w:rPr>
          <w:color w:val="000000"/>
        </w:rPr>
        <w:t xml:space="preserve"> % je splatná 14. července 202</w:t>
      </w:r>
      <w:r w:rsidR="00C07134" w:rsidRPr="00074F91">
        <w:rPr>
          <w:color w:val="000000"/>
        </w:rPr>
        <w:t>2</w:t>
      </w:r>
      <w:r w:rsidRPr="00074F91">
        <w:rPr>
          <w:color w:val="000000"/>
        </w:rPr>
        <w:t xml:space="preserve"> a nese pevný úrokový výnos </w:t>
      </w:r>
      <w:r w:rsidR="00C07134" w:rsidRPr="00074F91">
        <w:rPr>
          <w:color w:val="000000"/>
        </w:rPr>
        <w:t>2</w:t>
      </w:r>
      <w:r w:rsidRPr="00074F91">
        <w:rPr>
          <w:color w:val="000000"/>
        </w:rPr>
        <w:t>,</w:t>
      </w:r>
      <w:r w:rsidR="00C07134" w:rsidRPr="00074F91">
        <w:rPr>
          <w:color w:val="000000"/>
        </w:rPr>
        <w:t>646</w:t>
      </w:r>
      <w:r w:rsidR="00790A4E">
        <w:rPr>
          <w:color w:val="000000"/>
        </w:rPr>
        <w:t> </w:t>
      </w:r>
      <w:r w:rsidRPr="00074F91">
        <w:rPr>
          <w:color w:val="000000"/>
        </w:rPr>
        <w:t>% p.a.</w:t>
      </w:r>
      <w:r w:rsidR="00C07134" w:rsidRPr="00074F91">
        <w:rPr>
          <w:color w:val="000000"/>
        </w:rPr>
        <w:t xml:space="preserve"> Manažerem emise byla Česká spořitelna.</w:t>
      </w:r>
    </w:p>
    <w:p w:rsidR="00F85C5B" w:rsidRPr="00074F91" w:rsidRDefault="00F85C5B" w:rsidP="006D3AE4">
      <w:pPr>
        <w:jc w:val="both"/>
        <w:rPr>
          <w:color w:val="000000"/>
        </w:rPr>
      </w:pPr>
    </w:p>
    <w:p w:rsidR="00C07134" w:rsidRPr="00074F91" w:rsidRDefault="00C07134" w:rsidP="00236FFC">
      <w:pPr>
        <w:jc w:val="both"/>
        <w:rPr>
          <w:color w:val="000000"/>
        </w:rPr>
      </w:pPr>
      <w:r w:rsidRPr="00074F91">
        <w:rPr>
          <w:color w:val="000000"/>
        </w:rPr>
        <w:t xml:space="preserve">Obě korunové emise byly zajištěny proti kurzovému riziku formou křížových měnových swapů. </w:t>
      </w:r>
      <w:r w:rsidR="00D62182">
        <w:rPr>
          <w:color w:val="000000"/>
        </w:rPr>
        <w:t xml:space="preserve">Společnost je tak efektivně plátcem fixní úrokové sazby v EUR. </w:t>
      </w:r>
      <w:r w:rsidRPr="00074F91">
        <w:rPr>
          <w:color w:val="000000"/>
        </w:rPr>
        <w:t>Výnos z emis</w:t>
      </w:r>
      <w:r w:rsidR="00790A4E">
        <w:rPr>
          <w:color w:val="000000"/>
        </w:rPr>
        <w:t>í</w:t>
      </w:r>
      <w:r w:rsidRPr="00074F91">
        <w:rPr>
          <w:color w:val="000000"/>
        </w:rPr>
        <w:t xml:space="preserve"> </w:t>
      </w:r>
      <w:r w:rsidR="00790A4E">
        <w:rPr>
          <w:color w:val="000000"/>
        </w:rPr>
        <w:t xml:space="preserve">byl </w:t>
      </w:r>
      <w:r w:rsidRPr="00074F91">
        <w:rPr>
          <w:color w:val="000000"/>
        </w:rPr>
        <w:t>použit na splacení bankovních půjček</w:t>
      </w:r>
      <w:r w:rsidR="00790A4E">
        <w:rPr>
          <w:color w:val="000000"/>
        </w:rPr>
        <w:t xml:space="preserve"> a dále bude použit na</w:t>
      </w:r>
      <w:r w:rsidRPr="00074F91">
        <w:rPr>
          <w:color w:val="000000"/>
        </w:rPr>
        <w:t xml:space="preserve"> </w:t>
      </w:r>
      <w:r w:rsidR="00C014F6">
        <w:rPr>
          <w:color w:val="000000"/>
        </w:rPr>
        <w:t xml:space="preserve">další rozvoj </w:t>
      </w:r>
      <w:r w:rsidR="00975E21">
        <w:rPr>
          <w:color w:val="000000"/>
        </w:rPr>
        <w:t>S</w:t>
      </w:r>
      <w:r w:rsidR="00C014F6">
        <w:rPr>
          <w:color w:val="000000"/>
        </w:rPr>
        <w:t xml:space="preserve">polečnosti, realizaci programu zpětného odkupu vlastních akcií, resp. </w:t>
      </w:r>
      <w:r w:rsidRPr="00074F91">
        <w:rPr>
          <w:color w:val="000000"/>
        </w:rPr>
        <w:t>odkup dluhopisů se splatností v listopadu 2018.</w:t>
      </w:r>
    </w:p>
    <w:p w:rsidR="00165140" w:rsidRPr="00074F91" w:rsidRDefault="00165140" w:rsidP="00236FFC">
      <w:pPr>
        <w:jc w:val="both"/>
        <w:rPr>
          <w:color w:val="000000"/>
        </w:rPr>
      </w:pPr>
    </w:p>
    <w:p w:rsidR="00165140" w:rsidRPr="00074F91" w:rsidRDefault="00165140" w:rsidP="00236FFC">
      <w:pPr>
        <w:jc w:val="both"/>
        <w:rPr>
          <w:b/>
          <w:color w:val="000000"/>
        </w:rPr>
      </w:pPr>
      <w:r w:rsidRPr="00074F91">
        <w:rPr>
          <w:b/>
          <w:color w:val="000000"/>
        </w:rPr>
        <w:t>Uplatnění opcí v rámci akciového opčního programu managementem</w:t>
      </w:r>
    </w:p>
    <w:p w:rsidR="00165140" w:rsidRPr="00074F91" w:rsidRDefault="00165140" w:rsidP="00165140">
      <w:pPr>
        <w:jc w:val="both"/>
        <w:rPr>
          <w:color w:val="000000"/>
        </w:rPr>
      </w:pPr>
      <w:r w:rsidRPr="00074F91">
        <w:rPr>
          <w:color w:val="000000"/>
        </w:rPr>
        <w:t xml:space="preserve">Dne 29. července 2015 obdržela Společnost od osob s řídící pravomocí emitenta oznámení o uplatnění 67 416 kusů virtuálních opcí udělených na základě smlouvy ze dne 24. května 2007  s realizační cenou 749,20 Kč a 215 271 kusů virtuálních opcí udělených na základě smlouvy ze dne 16. prosince 2010 s realizační cenou 473 Kč. </w:t>
      </w:r>
    </w:p>
    <w:p w:rsidR="00C07134" w:rsidRPr="00074F91" w:rsidRDefault="00165140" w:rsidP="00165140">
      <w:pPr>
        <w:jc w:val="both"/>
        <w:rPr>
          <w:color w:val="000000"/>
        </w:rPr>
      </w:pPr>
      <w:r w:rsidRPr="00074F91">
        <w:rPr>
          <w:color w:val="000000"/>
        </w:rPr>
        <w:t>Uplatněním těchto opcí</w:t>
      </w:r>
      <w:r w:rsidR="004575B3" w:rsidRPr="00074F91">
        <w:rPr>
          <w:color w:val="000000"/>
        </w:rPr>
        <w:t xml:space="preserve"> dne 24. července 2015</w:t>
      </w:r>
      <w:r w:rsidRPr="00074F91">
        <w:rPr>
          <w:color w:val="000000"/>
        </w:rPr>
        <w:t xml:space="preserve"> vzniklo oznamovatelům právo na výplatu v hotovosti ve výši odpovídající uzavírací ceně jedné akcie Společnosti na Burze cenných papírů v Praze </w:t>
      </w:r>
      <w:r w:rsidR="004575B3" w:rsidRPr="00074F91">
        <w:rPr>
          <w:color w:val="000000"/>
        </w:rPr>
        <w:t>k 23. červenci 2015</w:t>
      </w:r>
      <w:r w:rsidRPr="00074F91">
        <w:rPr>
          <w:color w:val="000000"/>
        </w:rPr>
        <w:t>, sníženou o realizační cenu opce.</w:t>
      </w:r>
    </w:p>
    <w:p w:rsidR="004575B3" w:rsidRDefault="004575B3" w:rsidP="00236FFC">
      <w:pPr>
        <w:jc w:val="both"/>
        <w:rPr>
          <w:color w:val="000000"/>
        </w:rPr>
      </w:pPr>
    </w:p>
    <w:p w:rsidR="00714D72" w:rsidRDefault="00714D72" w:rsidP="00714D72">
      <w:pPr>
        <w:jc w:val="both"/>
        <w:rPr>
          <w:b/>
          <w:color w:val="000000"/>
        </w:rPr>
      </w:pPr>
      <w:r w:rsidRPr="005C7C17">
        <w:rPr>
          <w:b/>
          <w:color w:val="000000"/>
        </w:rPr>
        <w:t>Spuštění programu pro zpětný odkup akcií</w:t>
      </w:r>
    </w:p>
    <w:p w:rsidR="00714D72" w:rsidRPr="00D62182" w:rsidRDefault="00714D72" w:rsidP="00714D72">
      <w:pPr>
        <w:jc w:val="both"/>
        <w:rPr>
          <w:color w:val="000000"/>
        </w:rPr>
      </w:pPr>
      <w:r w:rsidRPr="00D62182">
        <w:rPr>
          <w:color w:val="000000"/>
        </w:rPr>
        <w:t xml:space="preserve">Na základě zmocnění uděleného valnou hromadou Společnosti konanou dne 15. června 2011 rozhodlo představenstvo Společnosti dne 31. července 2015 o realizaci programu akvizice vlastních akcií. Účelem realizace </w:t>
      </w:r>
      <w:r>
        <w:rPr>
          <w:color w:val="000000"/>
        </w:rPr>
        <w:t>p</w:t>
      </w:r>
      <w:r w:rsidRPr="00D62182">
        <w:rPr>
          <w:color w:val="000000"/>
        </w:rPr>
        <w:t xml:space="preserve">rogramu je snížení kapitálu Společnosti, resp. vypořádání závazků z titulu opčního akciového programu pro členy představenstva a zaměstnance Společnosti a/nebo jejích dceřiných společností. Maximální objem akcií, které je možno v rámci </w:t>
      </w:r>
      <w:r>
        <w:rPr>
          <w:color w:val="000000"/>
        </w:rPr>
        <w:t>p</w:t>
      </w:r>
      <w:r w:rsidRPr="00D62182">
        <w:rPr>
          <w:color w:val="000000"/>
        </w:rPr>
        <w:t xml:space="preserve">rogramu odkoupit, činí 5 % základního kapitálu Společnosti, tj. 461 470 kusů akcií. Akcie lze odkupovat do 14. června 2016, přičemž maximální cena za akcii nesmí přesáhnout 1 000 Kč. </w:t>
      </w:r>
    </w:p>
    <w:p w:rsidR="00714D72" w:rsidRPr="00D62182" w:rsidRDefault="00714D72" w:rsidP="00714D72">
      <w:pPr>
        <w:jc w:val="both"/>
        <w:rPr>
          <w:color w:val="000000"/>
        </w:rPr>
      </w:pPr>
      <w:r w:rsidRPr="00D62182">
        <w:rPr>
          <w:color w:val="000000"/>
        </w:rPr>
        <w:lastRenderedPageBreak/>
        <w:t xml:space="preserve">Společnost uzavřela smlouvu se společností Patria Finance, a.s. za účelem přípravy, realizace a vypořádání </w:t>
      </w:r>
      <w:r>
        <w:rPr>
          <w:color w:val="000000"/>
        </w:rPr>
        <w:t>p</w:t>
      </w:r>
      <w:r w:rsidRPr="00D62182">
        <w:rPr>
          <w:color w:val="000000"/>
        </w:rPr>
        <w:t xml:space="preserve">rogramu. Na základě této smlouvy bude realizace </w:t>
      </w:r>
      <w:r>
        <w:rPr>
          <w:color w:val="000000"/>
        </w:rPr>
        <w:t>p</w:t>
      </w:r>
      <w:r w:rsidRPr="00D62182">
        <w:rPr>
          <w:color w:val="000000"/>
        </w:rPr>
        <w:t>rogramu probíhat nezávisle na Společnosti a bez jejího vlivu výhradně na regulovaných trzích v souladu s příslušnými právními předpisy a pravidly těchto trhů.</w:t>
      </w:r>
    </w:p>
    <w:p w:rsidR="00714D72" w:rsidRPr="00074F91" w:rsidRDefault="00714D72" w:rsidP="00236FFC">
      <w:pPr>
        <w:jc w:val="both"/>
        <w:rPr>
          <w:color w:val="000000"/>
        </w:rPr>
      </w:pPr>
    </w:p>
    <w:p w:rsidR="00236FFC" w:rsidRDefault="00236FFC" w:rsidP="00236FFC">
      <w:pPr>
        <w:jc w:val="both"/>
        <w:rPr>
          <w:color w:val="000000"/>
        </w:rPr>
      </w:pPr>
      <w:r w:rsidRPr="00074F91">
        <w:rPr>
          <w:color w:val="000000"/>
        </w:rPr>
        <w:t xml:space="preserve">Vedení Skupiny si není vědomo jakýchkoli dalších skutečností, které se staly po datu účetní závěrky a které by měly významnější vliv na konsolidované </w:t>
      </w:r>
      <w:r w:rsidR="00D9295E" w:rsidRPr="00074F91">
        <w:rPr>
          <w:color w:val="000000"/>
        </w:rPr>
        <w:t xml:space="preserve">účetní výkazy </w:t>
      </w:r>
      <w:r w:rsidR="00D9295E" w:rsidRPr="00074F91">
        <w:rPr>
          <w:color w:val="000000"/>
        </w:rPr>
        <w:br/>
        <w:t>k 30</w:t>
      </w:r>
      <w:r w:rsidRPr="00074F91">
        <w:rPr>
          <w:color w:val="000000"/>
        </w:rPr>
        <w:t>.</w:t>
      </w:r>
      <w:r w:rsidR="00D9295E" w:rsidRPr="00074F91">
        <w:rPr>
          <w:color w:val="000000"/>
        </w:rPr>
        <w:t xml:space="preserve"> červnu</w:t>
      </w:r>
      <w:r w:rsidRPr="00074F91">
        <w:rPr>
          <w:color w:val="000000"/>
        </w:rPr>
        <w:t xml:space="preserve"> 201</w:t>
      </w:r>
      <w:r w:rsidR="00C07134" w:rsidRPr="00074F91">
        <w:rPr>
          <w:color w:val="000000"/>
        </w:rPr>
        <w:t>5</w:t>
      </w:r>
      <w:r w:rsidRPr="00074F91">
        <w:rPr>
          <w:color w:val="000000"/>
        </w:rPr>
        <w:t>.</w:t>
      </w:r>
    </w:p>
    <w:p w:rsidR="00D62182" w:rsidRDefault="00D62182" w:rsidP="00236FFC">
      <w:pPr>
        <w:jc w:val="both"/>
        <w:rPr>
          <w:color w:val="000000"/>
        </w:rPr>
      </w:pPr>
    </w:p>
    <w:p w:rsidR="00236FFC" w:rsidRPr="00074F91" w:rsidRDefault="00236FFC" w:rsidP="00236FFC">
      <w:pPr>
        <w:jc w:val="both"/>
        <w:rPr>
          <w:i/>
          <w:color w:val="000000"/>
        </w:rPr>
      </w:pPr>
    </w:p>
    <w:p w:rsidR="00236FFC" w:rsidRPr="00074F91" w:rsidRDefault="00236FFC" w:rsidP="00236FFC">
      <w:pPr>
        <w:pStyle w:val="Odstavecseseznamem1"/>
        <w:numPr>
          <w:ilvl w:val="0"/>
          <w:numId w:val="30"/>
        </w:numPr>
        <w:rPr>
          <w:rFonts w:ascii="Times New Roman" w:hAnsi="Times New Roman"/>
          <w:i/>
          <w:color w:val="000000"/>
          <w:sz w:val="24"/>
          <w:szCs w:val="24"/>
        </w:rPr>
      </w:pPr>
      <w:r w:rsidRPr="00074F91">
        <w:rPr>
          <w:rFonts w:ascii="Times New Roman" w:hAnsi="Times New Roman"/>
          <w:i/>
          <w:color w:val="000000"/>
          <w:sz w:val="24"/>
          <w:szCs w:val="24"/>
        </w:rPr>
        <w:t xml:space="preserve">Změny ve složení entity a konsolidačním celku </w:t>
      </w:r>
    </w:p>
    <w:p w:rsidR="00790A4E" w:rsidRDefault="00236FFC">
      <w:pPr>
        <w:rPr>
          <w:i/>
          <w:color w:val="000000"/>
        </w:rPr>
      </w:pPr>
      <w:r w:rsidRPr="00074F91">
        <w:t>V průběhu vykazovaného období nedošlo k žádným změnám v konsolidačním celku s porovnávaným obdobím.</w:t>
      </w:r>
    </w:p>
    <w:p w:rsidR="00C014F6" w:rsidRDefault="00C014F6">
      <w:pPr>
        <w:rPr>
          <w:i/>
          <w:color w:val="000000"/>
          <w:lang w:eastAsia="en-US"/>
        </w:rPr>
      </w:pPr>
    </w:p>
    <w:p w:rsidR="00236FFC" w:rsidRPr="00074F91" w:rsidRDefault="00236FFC" w:rsidP="00236FFC">
      <w:pPr>
        <w:pStyle w:val="Odstavecseseznamem1"/>
        <w:numPr>
          <w:ilvl w:val="0"/>
          <w:numId w:val="30"/>
        </w:numPr>
        <w:rPr>
          <w:rFonts w:ascii="Times New Roman" w:hAnsi="Times New Roman"/>
          <w:i/>
          <w:color w:val="000000"/>
          <w:sz w:val="24"/>
          <w:szCs w:val="24"/>
        </w:rPr>
      </w:pPr>
      <w:r w:rsidRPr="00074F91">
        <w:rPr>
          <w:rFonts w:ascii="Times New Roman" w:hAnsi="Times New Roman"/>
          <w:i/>
          <w:color w:val="000000"/>
          <w:sz w:val="24"/>
          <w:szCs w:val="24"/>
        </w:rPr>
        <w:t>Informace o reálné hodnotě finančních instrumentů</w:t>
      </w:r>
    </w:p>
    <w:p w:rsidR="00236FFC" w:rsidRPr="00074F91" w:rsidRDefault="00236FFC" w:rsidP="00236FFC">
      <w:pPr>
        <w:jc w:val="both"/>
        <w:rPr>
          <w:color w:val="000000"/>
        </w:rPr>
      </w:pPr>
      <w:r w:rsidRPr="00074F91">
        <w:rPr>
          <w:color w:val="000000"/>
        </w:rPr>
        <w:t xml:space="preserve">Za období prvních </w:t>
      </w:r>
      <w:r w:rsidR="00D9295E" w:rsidRPr="00074F91">
        <w:rPr>
          <w:color w:val="000000"/>
        </w:rPr>
        <w:t>šesti</w:t>
      </w:r>
      <w:r w:rsidRPr="00074F91">
        <w:rPr>
          <w:color w:val="000000"/>
        </w:rPr>
        <w:t xml:space="preserve"> měsíců tohoto roku nedošlo k žádné změně ve způsobu ocenění finančních instrumentů.</w:t>
      </w:r>
    </w:p>
    <w:p w:rsidR="00236FFC" w:rsidRPr="00074F91" w:rsidRDefault="00236FFC" w:rsidP="00236FFC">
      <w:pPr>
        <w:jc w:val="both"/>
        <w:rPr>
          <w:color w:val="000000"/>
        </w:rPr>
      </w:pPr>
    </w:p>
    <w:p w:rsidR="00236FFC" w:rsidRPr="00074F91" w:rsidRDefault="00236FFC" w:rsidP="00236FFC">
      <w:pPr>
        <w:jc w:val="both"/>
        <w:rPr>
          <w:b/>
          <w:color w:val="000000"/>
        </w:rPr>
      </w:pPr>
      <w:r w:rsidRPr="00074F91">
        <w:rPr>
          <w:b/>
          <w:color w:val="000000"/>
        </w:rPr>
        <w:t xml:space="preserve">Úrokové swapy </w:t>
      </w:r>
    </w:p>
    <w:p w:rsidR="00236FFC" w:rsidRPr="00074F91" w:rsidRDefault="00236FFC" w:rsidP="00236FFC">
      <w:pPr>
        <w:jc w:val="both"/>
        <w:rPr>
          <w:color w:val="000000"/>
        </w:rPr>
      </w:pPr>
    </w:p>
    <w:p w:rsidR="00236FFC" w:rsidRPr="00074F91" w:rsidRDefault="00236FFC" w:rsidP="00236FFC">
      <w:pPr>
        <w:jc w:val="both"/>
        <w:rPr>
          <w:color w:val="000000"/>
        </w:rPr>
      </w:pPr>
      <w:r w:rsidRPr="00074F91">
        <w:rPr>
          <w:color w:val="000000"/>
        </w:rPr>
        <w:t>Společnost měla k</w:t>
      </w:r>
      <w:r w:rsidR="00135DB6" w:rsidRPr="00074F91">
        <w:rPr>
          <w:color w:val="000000"/>
        </w:rPr>
        <w:t> 30</w:t>
      </w:r>
      <w:r w:rsidRPr="00074F91">
        <w:rPr>
          <w:color w:val="000000"/>
        </w:rPr>
        <w:t xml:space="preserve">. </w:t>
      </w:r>
      <w:r w:rsidR="00135DB6" w:rsidRPr="00074F91">
        <w:rPr>
          <w:color w:val="000000"/>
        </w:rPr>
        <w:t>červn</w:t>
      </w:r>
      <w:r w:rsidRPr="00074F91">
        <w:rPr>
          <w:color w:val="000000"/>
        </w:rPr>
        <w:t>u 201</w:t>
      </w:r>
      <w:r w:rsidR="00C07134" w:rsidRPr="00074F91">
        <w:rPr>
          <w:color w:val="000000"/>
        </w:rPr>
        <w:t>5</w:t>
      </w:r>
      <w:r w:rsidRPr="00074F91">
        <w:rPr>
          <w:color w:val="000000"/>
        </w:rPr>
        <w:t xml:space="preserve"> otevřeny dva úrokové swapy uzavřené v roce 2011 v celkové nominální hodnotě 98 000 tis. EUR. </w:t>
      </w:r>
      <w:r w:rsidR="00135DB6" w:rsidRPr="00074F91">
        <w:rPr>
          <w:color w:val="000000"/>
        </w:rPr>
        <w:t>Reálná hodnota těchto swapů k 30</w:t>
      </w:r>
      <w:r w:rsidRPr="00074F91">
        <w:rPr>
          <w:color w:val="000000"/>
        </w:rPr>
        <w:t xml:space="preserve">. </w:t>
      </w:r>
      <w:r w:rsidR="00135DB6" w:rsidRPr="00074F91">
        <w:rPr>
          <w:color w:val="000000"/>
        </w:rPr>
        <w:t>červ</w:t>
      </w:r>
      <w:r w:rsidRPr="00074F91">
        <w:rPr>
          <w:color w:val="000000"/>
        </w:rPr>
        <w:t>nu 201</w:t>
      </w:r>
      <w:r w:rsidR="00C07134" w:rsidRPr="00074F91">
        <w:rPr>
          <w:color w:val="000000"/>
        </w:rPr>
        <w:t>5</w:t>
      </w:r>
      <w:r w:rsidRPr="00074F91">
        <w:rPr>
          <w:color w:val="000000"/>
        </w:rPr>
        <w:t xml:space="preserve"> a 31. prosinci 201</w:t>
      </w:r>
      <w:r w:rsidR="00C07134" w:rsidRPr="00074F91">
        <w:rPr>
          <w:color w:val="000000"/>
        </w:rPr>
        <w:t>4</w:t>
      </w:r>
      <w:r w:rsidRPr="00074F91">
        <w:rPr>
          <w:color w:val="000000"/>
        </w:rPr>
        <w:t xml:space="preserve"> je uvedena v následující tabulce.</w:t>
      </w:r>
    </w:p>
    <w:p w:rsidR="00236FFC" w:rsidRPr="00074F91" w:rsidRDefault="00236FFC" w:rsidP="00236FFC">
      <w:pPr>
        <w:ind w:left="360"/>
        <w:jc w:val="both"/>
      </w:pPr>
    </w:p>
    <w:tbl>
      <w:tblPr>
        <w:tblW w:w="9128" w:type="dxa"/>
        <w:tblInd w:w="70" w:type="dxa"/>
        <w:tblCellMar>
          <w:left w:w="70" w:type="dxa"/>
          <w:right w:w="70" w:type="dxa"/>
        </w:tblCellMar>
        <w:tblLook w:val="0000" w:firstRow="0" w:lastRow="0" w:firstColumn="0" w:lastColumn="0" w:noHBand="0" w:noVBand="0"/>
      </w:tblPr>
      <w:tblGrid>
        <w:gridCol w:w="4440"/>
        <w:gridCol w:w="2268"/>
        <w:gridCol w:w="2420"/>
      </w:tblGrid>
      <w:tr w:rsidR="00236FFC" w:rsidRPr="00120EA2" w:rsidTr="0062786B">
        <w:trPr>
          <w:trHeight w:val="240"/>
        </w:trPr>
        <w:tc>
          <w:tcPr>
            <w:tcW w:w="4440" w:type="dxa"/>
            <w:tcBorders>
              <w:top w:val="single" w:sz="12" w:space="0" w:color="auto"/>
              <w:left w:val="nil"/>
              <w:bottom w:val="single" w:sz="4" w:space="0" w:color="auto"/>
              <w:right w:val="nil"/>
            </w:tcBorders>
            <w:noWrap/>
            <w:vAlign w:val="bottom"/>
          </w:tcPr>
          <w:p w:rsidR="00236FFC" w:rsidRPr="0062786B" w:rsidRDefault="00236FFC" w:rsidP="006D3AE4">
            <w:pPr>
              <w:rPr>
                <w:b/>
                <w:sz w:val="20"/>
                <w:szCs w:val="20"/>
              </w:rPr>
            </w:pPr>
            <w:r w:rsidRPr="0062786B">
              <w:rPr>
                <w:b/>
                <w:sz w:val="20"/>
                <w:szCs w:val="20"/>
              </w:rPr>
              <w:t>Protistrana</w:t>
            </w:r>
          </w:p>
        </w:tc>
        <w:tc>
          <w:tcPr>
            <w:tcW w:w="2268" w:type="dxa"/>
            <w:tcBorders>
              <w:top w:val="single" w:sz="12" w:space="0" w:color="auto"/>
              <w:left w:val="nil"/>
              <w:bottom w:val="single" w:sz="4" w:space="0" w:color="auto"/>
              <w:right w:val="nil"/>
            </w:tcBorders>
            <w:noWrap/>
            <w:vAlign w:val="bottom"/>
          </w:tcPr>
          <w:p w:rsidR="00236FFC" w:rsidRPr="0062786B" w:rsidRDefault="00236FFC" w:rsidP="00C07134">
            <w:pPr>
              <w:jc w:val="right"/>
              <w:rPr>
                <w:b/>
                <w:bCs/>
                <w:sz w:val="20"/>
                <w:szCs w:val="20"/>
              </w:rPr>
            </w:pPr>
            <w:r w:rsidRPr="0062786B">
              <w:rPr>
                <w:b/>
                <w:bCs/>
                <w:sz w:val="20"/>
                <w:szCs w:val="20"/>
              </w:rPr>
              <w:t xml:space="preserve">       k 31. prosinci 201</w:t>
            </w:r>
            <w:r w:rsidR="00C07134" w:rsidRPr="0062786B">
              <w:rPr>
                <w:b/>
                <w:bCs/>
                <w:sz w:val="20"/>
                <w:szCs w:val="20"/>
              </w:rPr>
              <w:t>4</w:t>
            </w:r>
          </w:p>
        </w:tc>
        <w:tc>
          <w:tcPr>
            <w:tcW w:w="2420" w:type="dxa"/>
            <w:tcBorders>
              <w:top w:val="single" w:sz="12" w:space="0" w:color="auto"/>
              <w:left w:val="nil"/>
              <w:bottom w:val="single" w:sz="4" w:space="0" w:color="auto"/>
              <w:right w:val="nil"/>
            </w:tcBorders>
            <w:vAlign w:val="bottom"/>
          </w:tcPr>
          <w:p w:rsidR="00236FFC" w:rsidRPr="0062786B" w:rsidRDefault="00D9295E" w:rsidP="00C07134">
            <w:pPr>
              <w:jc w:val="right"/>
              <w:rPr>
                <w:b/>
                <w:bCs/>
                <w:sz w:val="20"/>
                <w:szCs w:val="20"/>
              </w:rPr>
            </w:pPr>
            <w:r w:rsidRPr="0062786B">
              <w:rPr>
                <w:b/>
                <w:bCs/>
                <w:sz w:val="20"/>
                <w:szCs w:val="20"/>
              </w:rPr>
              <w:t xml:space="preserve">          k 30</w:t>
            </w:r>
            <w:r w:rsidR="00236FFC" w:rsidRPr="0062786B">
              <w:rPr>
                <w:b/>
                <w:bCs/>
                <w:sz w:val="20"/>
                <w:szCs w:val="20"/>
              </w:rPr>
              <w:t xml:space="preserve">. </w:t>
            </w:r>
            <w:r w:rsidRPr="0062786B">
              <w:rPr>
                <w:b/>
                <w:bCs/>
                <w:sz w:val="20"/>
                <w:szCs w:val="20"/>
              </w:rPr>
              <w:t>červnu</w:t>
            </w:r>
            <w:r w:rsidR="00236FFC" w:rsidRPr="0062786B">
              <w:rPr>
                <w:b/>
                <w:bCs/>
                <w:sz w:val="20"/>
                <w:szCs w:val="20"/>
              </w:rPr>
              <w:t xml:space="preserve"> 201</w:t>
            </w:r>
            <w:r w:rsidR="00C07134" w:rsidRPr="0062786B">
              <w:rPr>
                <w:b/>
                <w:bCs/>
                <w:sz w:val="20"/>
                <w:szCs w:val="20"/>
              </w:rPr>
              <w:t>5</w:t>
            </w:r>
          </w:p>
        </w:tc>
      </w:tr>
      <w:tr w:rsidR="00236FFC" w:rsidRPr="00120EA2" w:rsidTr="0062786B">
        <w:trPr>
          <w:trHeight w:val="240"/>
        </w:trPr>
        <w:tc>
          <w:tcPr>
            <w:tcW w:w="4440" w:type="dxa"/>
            <w:tcBorders>
              <w:left w:val="nil"/>
              <w:right w:val="nil"/>
            </w:tcBorders>
            <w:noWrap/>
            <w:vAlign w:val="bottom"/>
          </w:tcPr>
          <w:p w:rsidR="00236FFC" w:rsidRPr="0062786B" w:rsidRDefault="00236FFC" w:rsidP="006D3AE4">
            <w:pPr>
              <w:rPr>
                <w:bCs/>
                <w:sz w:val="20"/>
                <w:szCs w:val="20"/>
              </w:rPr>
            </w:pPr>
            <w:r w:rsidRPr="0062786B">
              <w:rPr>
                <w:sz w:val="20"/>
                <w:szCs w:val="20"/>
              </w:rPr>
              <w:t>Česká spořitelna</w:t>
            </w:r>
          </w:p>
        </w:tc>
        <w:tc>
          <w:tcPr>
            <w:tcW w:w="2268" w:type="dxa"/>
            <w:tcBorders>
              <w:left w:val="nil"/>
              <w:right w:val="nil"/>
            </w:tcBorders>
            <w:noWrap/>
            <w:vAlign w:val="bottom"/>
          </w:tcPr>
          <w:p w:rsidR="00236FFC" w:rsidRPr="0062786B" w:rsidRDefault="00236FFC" w:rsidP="00C07134">
            <w:pPr>
              <w:jc w:val="right"/>
              <w:rPr>
                <w:sz w:val="20"/>
                <w:szCs w:val="20"/>
              </w:rPr>
            </w:pPr>
            <w:r w:rsidRPr="0062786B">
              <w:rPr>
                <w:sz w:val="20"/>
                <w:szCs w:val="20"/>
              </w:rPr>
              <w:t xml:space="preserve">-1 </w:t>
            </w:r>
            <w:r w:rsidR="00C07134" w:rsidRPr="0062786B">
              <w:rPr>
                <w:sz w:val="20"/>
                <w:szCs w:val="20"/>
              </w:rPr>
              <w:t>457</w:t>
            </w:r>
          </w:p>
        </w:tc>
        <w:tc>
          <w:tcPr>
            <w:tcW w:w="2420" w:type="dxa"/>
            <w:tcBorders>
              <w:left w:val="nil"/>
              <w:right w:val="nil"/>
            </w:tcBorders>
            <w:shd w:val="clear" w:color="auto" w:fill="FFFFFF"/>
            <w:vAlign w:val="bottom"/>
          </w:tcPr>
          <w:p w:rsidR="00236FFC" w:rsidRPr="0062786B" w:rsidRDefault="00236FFC" w:rsidP="00C07134">
            <w:pPr>
              <w:jc w:val="right"/>
              <w:rPr>
                <w:sz w:val="20"/>
                <w:szCs w:val="20"/>
              </w:rPr>
            </w:pPr>
            <w:r w:rsidRPr="0062786B">
              <w:rPr>
                <w:sz w:val="20"/>
                <w:szCs w:val="20"/>
              </w:rPr>
              <w:t xml:space="preserve">-1 </w:t>
            </w:r>
            <w:r w:rsidR="00C07134" w:rsidRPr="0062786B">
              <w:rPr>
                <w:sz w:val="20"/>
                <w:szCs w:val="20"/>
              </w:rPr>
              <w:t>024</w:t>
            </w:r>
          </w:p>
        </w:tc>
      </w:tr>
      <w:tr w:rsidR="00236FFC" w:rsidRPr="00120EA2" w:rsidTr="0062786B">
        <w:trPr>
          <w:trHeight w:val="240"/>
        </w:trPr>
        <w:tc>
          <w:tcPr>
            <w:tcW w:w="4440" w:type="dxa"/>
            <w:tcBorders>
              <w:left w:val="nil"/>
              <w:bottom w:val="single" w:sz="12" w:space="0" w:color="auto"/>
              <w:right w:val="nil"/>
            </w:tcBorders>
            <w:noWrap/>
            <w:vAlign w:val="bottom"/>
          </w:tcPr>
          <w:p w:rsidR="00236FFC" w:rsidRPr="0062786B" w:rsidRDefault="00236FFC" w:rsidP="006D3AE4">
            <w:pPr>
              <w:rPr>
                <w:bCs/>
                <w:sz w:val="20"/>
                <w:szCs w:val="20"/>
              </w:rPr>
            </w:pPr>
            <w:r w:rsidRPr="0062786B">
              <w:rPr>
                <w:bCs/>
                <w:sz w:val="20"/>
                <w:szCs w:val="20"/>
              </w:rPr>
              <w:t>ING</w:t>
            </w:r>
          </w:p>
        </w:tc>
        <w:tc>
          <w:tcPr>
            <w:tcW w:w="2268" w:type="dxa"/>
            <w:tcBorders>
              <w:left w:val="nil"/>
              <w:bottom w:val="single" w:sz="12" w:space="0" w:color="auto"/>
              <w:right w:val="nil"/>
            </w:tcBorders>
            <w:noWrap/>
            <w:vAlign w:val="bottom"/>
          </w:tcPr>
          <w:p w:rsidR="00236FFC" w:rsidRPr="0062786B" w:rsidRDefault="00236FFC" w:rsidP="00C07134">
            <w:pPr>
              <w:jc w:val="right"/>
              <w:rPr>
                <w:sz w:val="20"/>
                <w:szCs w:val="20"/>
              </w:rPr>
            </w:pPr>
            <w:r w:rsidRPr="0062786B">
              <w:rPr>
                <w:sz w:val="20"/>
                <w:szCs w:val="20"/>
              </w:rPr>
              <w:t xml:space="preserve">-1 </w:t>
            </w:r>
            <w:r w:rsidR="00C07134" w:rsidRPr="0062786B">
              <w:rPr>
                <w:sz w:val="20"/>
                <w:szCs w:val="20"/>
              </w:rPr>
              <w:t>459</w:t>
            </w:r>
          </w:p>
        </w:tc>
        <w:tc>
          <w:tcPr>
            <w:tcW w:w="2420" w:type="dxa"/>
            <w:tcBorders>
              <w:left w:val="nil"/>
              <w:bottom w:val="single" w:sz="12" w:space="0" w:color="auto"/>
              <w:right w:val="nil"/>
            </w:tcBorders>
            <w:shd w:val="clear" w:color="auto" w:fill="FFFFFF"/>
            <w:vAlign w:val="bottom"/>
          </w:tcPr>
          <w:p w:rsidR="00236FFC" w:rsidRPr="0062786B" w:rsidRDefault="00236FFC" w:rsidP="00135DB6">
            <w:pPr>
              <w:jc w:val="right"/>
              <w:rPr>
                <w:sz w:val="20"/>
                <w:szCs w:val="20"/>
              </w:rPr>
            </w:pPr>
            <w:r w:rsidRPr="0062786B">
              <w:rPr>
                <w:sz w:val="20"/>
                <w:szCs w:val="20"/>
              </w:rPr>
              <w:t>-1</w:t>
            </w:r>
            <w:r w:rsidR="00C07134" w:rsidRPr="0062786B">
              <w:rPr>
                <w:sz w:val="20"/>
                <w:szCs w:val="20"/>
              </w:rPr>
              <w:t xml:space="preserve"> 024</w:t>
            </w:r>
            <w:r w:rsidRPr="0062786B">
              <w:rPr>
                <w:sz w:val="20"/>
                <w:szCs w:val="20"/>
              </w:rPr>
              <w:t xml:space="preserve"> </w:t>
            </w:r>
          </w:p>
        </w:tc>
      </w:tr>
      <w:tr w:rsidR="00236FFC" w:rsidRPr="00120EA2" w:rsidTr="0062786B">
        <w:trPr>
          <w:trHeight w:val="240"/>
        </w:trPr>
        <w:tc>
          <w:tcPr>
            <w:tcW w:w="4440" w:type="dxa"/>
            <w:tcBorders>
              <w:top w:val="single" w:sz="4" w:space="0" w:color="auto"/>
              <w:left w:val="nil"/>
              <w:bottom w:val="single" w:sz="12" w:space="0" w:color="auto"/>
              <w:right w:val="nil"/>
            </w:tcBorders>
            <w:noWrap/>
            <w:vAlign w:val="bottom"/>
          </w:tcPr>
          <w:p w:rsidR="00236FFC" w:rsidRPr="0062786B" w:rsidRDefault="00236FFC" w:rsidP="006D3AE4">
            <w:pPr>
              <w:rPr>
                <w:b/>
                <w:bCs/>
                <w:sz w:val="20"/>
                <w:szCs w:val="20"/>
              </w:rPr>
            </w:pPr>
            <w:r w:rsidRPr="0062786B">
              <w:rPr>
                <w:b/>
                <w:bCs/>
                <w:sz w:val="20"/>
                <w:szCs w:val="20"/>
              </w:rPr>
              <w:t>Celkem</w:t>
            </w:r>
          </w:p>
        </w:tc>
        <w:tc>
          <w:tcPr>
            <w:tcW w:w="2268" w:type="dxa"/>
            <w:tcBorders>
              <w:top w:val="single" w:sz="4" w:space="0" w:color="auto"/>
              <w:left w:val="nil"/>
              <w:bottom w:val="single" w:sz="12" w:space="0" w:color="auto"/>
              <w:right w:val="nil"/>
            </w:tcBorders>
            <w:noWrap/>
            <w:vAlign w:val="bottom"/>
          </w:tcPr>
          <w:p w:rsidR="00236FFC" w:rsidRPr="0062786B" w:rsidRDefault="00236FFC" w:rsidP="00C07134">
            <w:pPr>
              <w:jc w:val="right"/>
              <w:rPr>
                <w:b/>
                <w:sz w:val="20"/>
                <w:szCs w:val="20"/>
              </w:rPr>
            </w:pPr>
            <w:r w:rsidRPr="0062786B">
              <w:rPr>
                <w:b/>
                <w:sz w:val="20"/>
                <w:szCs w:val="20"/>
              </w:rPr>
              <w:t>-</w:t>
            </w:r>
            <w:r w:rsidR="00C07134" w:rsidRPr="0062786B">
              <w:rPr>
                <w:b/>
                <w:sz w:val="20"/>
                <w:szCs w:val="20"/>
              </w:rPr>
              <w:t>2</w:t>
            </w:r>
            <w:r w:rsidRPr="0062786B">
              <w:rPr>
                <w:b/>
                <w:sz w:val="20"/>
                <w:szCs w:val="20"/>
              </w:rPr>
              <w:t xml:space="preserve"> </w:t>
            </w:r>
            <w:r w:rsidR="00C07134" w:rsidRPr="0062786B">
              <w:rPr>
                <w:b/>
                <w:sz w:val="20"/>
                <w:szCs w:val="20"/>
              </w:rPr>
              <w:t>916</w:t>
            </w:r>
          </w:p>
        </w:tc>
        <w:tc>
          <w:tcPr>
            <w:tcW w:w="2420" w:type="dxa"/>
            <w:tcBorders>
              <w:top w:val="single" w:sz="4" w:space="0" w:color="auto"/>
              <w:left w:val="nil"/>
              <w:bottom w:val="single" w:sz="12" w:space="0" w:color="auto"/>
              <w:right w:val="nil"/>
            </w:tcBorders>
            <w:shd w:val="clear" w:color="auto" w:fill="FFFFFF"/>
            <w:vAlign w:val="bottom"/>
          </w:tcPr>
          <w:p w:rsidR="00236FFC" w:rsidRPr="0062786B" w:rsidRDefault="00236FFC" w:rsidP="00C07134">
            <w:pPr>
              <w:jc w:val="right"/>
              <w:rPr>
                <w:b/>
                <w:sz w:val="20"/>
                <w:szCs w:val="20"/>
              </w:rPr>
            </w:pPr>
            <w:r w:rsidRPr="0062786B">
              <w:rPr>
                <w:b/>
                <w:sz w:val="20"/>
                <w:szCs w:val="20"/>
              </w:rPr>
              <w:t>-</w:t>
            </w:r>
            <w:r w:rsidR="00C07134" w:rsidRPr="0062786B">
              <w:rPr>
                <w:b/>
                <w:sz w:val="20"/>
                <w:szCs w:val="20"/>
              </w:rPr>
              <w:t>2</w:t>
            </w:r>
            <w:r w:rsidRPr="0062786B">
              <w:rPr>
                <w:b/>
                <w:sz w:val="20"/>
                <w:szCs w:val="20"/>
              </w:rPr>
              <w:t xml:space="preserve"> </w:t>
            </w:r>
            <w:r w:rsidR="00C07134" w:rsidRPr="0062786B">
              <w:rPr>
                <w:b/>
                <w:sz w:val="20"/>
                <w:szCs w:val="20"/>
              </w:rPr>
              <w:t>048</w:t>
            </w:r>
          </w:p>
        </w:tc>
      </w:tr>
    </w:tbl>
    <w:p w:rsidR="00236FFC" w:rsidRPr="00074F91" w:rsidRDefault="00236FFC" w:rsidP="00236FFC">
      <w:pPr>
        <w:ind w:left="360"/>
        <w:jc w:val="both"/>
      </w:pPr>
    </w:p>
    <w:p w:rsidR="00236FFC" w:rsidRPr="00074F91" w:rsidRDefault="00236FFC" w:rsidP="00236FFC">
      <w:pPr>
        <w:jc w:val="both"/>
        <w:rPr>
          <w:color w:val="000000"/>
        </w:rPr>
      </w:pPr>
      <w:r w:rsidRPr="00074F91">
        <w:rPr>
          <w:color w:val="000000"/>
        </w:rPr>
        <w:t>Reálná</w:t>
      </w:r>
      <w:r w:rsidR="00135DB6" w:rsidRPr="00074F91">
        <w:rPr>
          <w:color w:val="000000"/>
        </w:rPr>
        <w:t xml:space="preserve"> hodnota swapů k 30</w:t>
      </w:r>
      <w:r w:rsidRPr="00074F91">
        <w:rPr>
          <w:color w:val="000000"/>
        </w:rPr>
        <w:t xml:space="preserve">. </w:t>
      </w:r>
      <w:r w:rsidR="00135DB6" w:rsidRPr="00074F91">
        <w:rPr>
          <w:color w:val="000000"/>
        </w:rPr>
        <w:t>červnu</w:t>
      </w:r>
      <w:r w:rsidRPr="00074F91">
        <w:rPr>
          <w:color w:val="000000"/>
        </w:rPr>
        <w:t xml:space="preserve"> 201</w:t>
      </w:r>
      <w:r w:rsidR="00C07134" w:rsidRPr="00074F91">
        <w:rPr>
          <w:color w:val="000000"/>
        </w:rPr>
        <w:t>5</w:t>
      </w:r>
      <w:r w:rsidRPr="00074F91">
        <w:rPr>
          <w:color w:val="000000"/>
        </w:rPr>
        <w:t xml:space="preserve"> představuje závazek Společnosti. Tyto swapy pokrývají k tomuto dni</w:t>
      </w:r>
      <w:r w:rsidR="00135DB6" w:rsidRPr="00074F91">
        <w:rPr>
          <w:color w:val="000000"/>
        </w:rPr>
        <w:t xml:space="preserve"> </w:t>
      </w:r>
      <w:r w:rsidR="004575B3" w:rsidRPr="00074F91">
        <w:rPr>
          <w:color w:val="000000"/>
        </w:rPr>
        <w:t>1</w:t>
      </w:r>
      <w:r w:rsidR="00135DB6" w:rsidRPr="00074F91">
        <w:rPr>
          <w:color w:val="000000"/>
        </w:rPr>
        <w:t>6</w:t>
      </w:r>
      <w:r w:rsidR="004575B3" w:rsidRPr="00074F91">
        <w:rPr>
          <w:color w:val="000000"/>
        </w:rPr>
        <w:t>1</w:t>
      </w:r>
      <w:r w:rsidRPr="00074F91">
        <w:rPr>
          <w:color w:val="000000"/>
        </w:rPr>
        <w:t>,</w:t>
      </w:r>
      <w:r w:rsidR="004575B3" w:rsidRPr="00074F91">
        <w:rPr>
          <w:color w:val="000000"/>
        </w:rPr>
        <w:t>4</w:t>
      </w:r>
      <w:r w:rsidRPr="00074F91">
        <w:rPr>
          <w:color w:val="000000"/>
        </w:rPr>
        <w:t xml:space="preserve"> % dluhu Společnosti (</w:t>
      </w:r>
      <w:r w:rsidR="00C07134" w:rsidRPr="00074F91">
        <w:rPr>
          <w:color w:val="000000"/>
        </w:rPr>
        <w:t>158</w:t>
      </w:r>
      <w:r w:rsidRPr="00074F91">
        <w:rPr>
          <w:color w:val="000000"/>
        </w:rPr>
        <w:t>,</w:t>
      </w:r>
      <w:r w:rsidR="00C07134" w:rsidRPr="00074F91">
        <w:rPr>
          <w:color w:val="000000"/>
        </w:rPr>
        <w:t>3</w:t>
      </w:r>
      <w:r w:rsidRPr="00074F91">
        <w:rPr>
          <w:color w:val="000000"/>
        </w:rPr>
        <w:t xml:space="preserve"> % ke dni 31. prosince 201</w:t>
      </w:r>
      <w:r w:rsidR="00C07134" w:rsidRPr="00074F91">
        <w:rPr>
          <w:color w:val="000000"/>
        </w:rPr>
        <w:t>4</w:t>
      </w:r>
      <w:r w:rsidRPr="00074F91">
        <w:rPr>
          <w:color w:val="000000"/>
        </w:rPr>
        <w:t>).</w:t>
      </w:r>
    </w:p>
    <w:p w:rsidR="00C07134" w:rsidRPr="00074F91" w:rsidRDefault="00C07134" w:rsidP="00236FFC">
      <w:pPr>
        <w:jc w:val="both"/>
        <w:rPr>
          <w:color w:val="000000"/>
        </w:rPr>
      </w:pPr>
    </w:p>
    <w:p w:rsidR="00C07134" w:rsidRPr="00074F91" w:rsidRDefault="00C07134" w:rsidP="00236FFC">
      <w:pPr>
        <w:jc w:val="both"/>
        <w:rPr>
          <w:color w:val="000000"/>
        </w:rPr>
      </w:pPr>
      <w:r w:rsidRPr="00074F91">
        <w:rPr>
          <w:color w:val="000000"/>
        </w:rPr>
        <w:t>Reálná hodnota swapů je dána eurovou výnosovou křivkou platn</w:t>
      </w:r>
      <w:r w:rsidR="00790A4E">
        <w:rPr>
          <w:color w:val="000000"/>
        </w:rPr>
        <w:t>ou</w:t>
      </w:r>
      <w:r w:rsidRPr="00074F91">
        <w:rPr>
          <w:color w:val="000000"/>
        </w:rPr>
        <w:t xml:space="preserve"> v rozvahový den a je počítána metodou diskontovaných peněžních toků. Vstupní hodnoty potřebné pro vyčíslení reálné hodnoty swapů jsou v souladu s IFRS 7 zařazeny do úrovně 2, tj. vstupy jiné než neupravené kótované ceny na aktivně obchodovatelných trzích, nicméně tyto vstupní hodnoty jsou zjistitelné pro aktiva či pasiva, a to buď přímo (jako ceny), nebo nepřímo (vypočteny z cen).</w:t>
      </w:r>
    </w:p>
    <w:p w:rsidR="00C07134" w:rsidRPr="00074F91" w:rsidRDefault="00C07134" w:rsidP="00236FFC">
      <w:pPr>
        <w:jc w:val="both"/>
      </w:pPr>
    </w:p>
    <w:p w:rsidR="00C07134" w:rsidRPr="00074F91" w:rsidRDefault="00C07134" w:rsidP="00C07134">
      <w:pPr>
        <w:jc w:val="both"/>
        <w:rPr>
          <w:b/>
        </w:rPr>
      </w:pPr>
      <w:r w:rsidRPr="00074F91">
        <w:rPr>
          <w:b/>
        </w:rPr>
        <w:t>Křížový měnový swap</w:t>
      </w:r>
    </w:p>
    <w:p w:rsidR="00C07134" w:rsidRPr="00074F91" w:rsidRDefault="00C07134" w:rsidP="00C07134">
      <w:pPr>
        <w:jc w:val="both"/>
      </w:pPr>
      <w:r w:rsidRPr="00074F91">
        <w:t>14. listopadu 2014 Společnost uzavřela křížový měnový swap s Českou spořitelnou a vyměnila peněžní toky plynoucí z vydání dluhopisů denominované v měně CZK do měny EUR.</w:t>
      </w:r>
    </w:p>
    <w:p w:rsidR="00C07134" w:rsidRPr="00074F91" w:rsidRDefault="00C07134" w:rsidP="00C07134">
      <w:pPr>
        <w:jc w:val="both"/>
      </w:pPr>
    </w:p>
    <w:p w:rsidR="00C07134" w:rsidRPr="00074F91" w:rsidRDefault="00C07134" w:rsidP="00C07134">
      <w:pPr>
        <w:jc w:val="both"/>
      </w:pPr>
      <w:r w:rsidRPr="00074F91">
        <w:t>Nominální hodnota swapu dosáhla 90 201 992,75 EUR (strana plátce) a 2 489 575 000,00 CZK (strana příjemce). Na základě této dohody je Společnost plátcem eurové fixní sazby ve výši 3,10 % p.a. a příjemcem korunové fixní sazby 2,85 % p.a. Swap je splatný 14. listopadu 2018.</w:t>
      </w:r>
    </w:p>
    <w:p w:rsidR="00C07134" w:rsidRPr="00074F91" w:rsidRDefault="00C07134" w:rsidP="00C07134">
      <w:pPr>
        <w:jc w:val="both"/>
      </w:pPr>
    </w:p>
    <w:p w:rsidR="00C07134" w:rsidRPr="00074F91" w:rsidRDefault="00C07134" w:rsidP="00C07134">
      <w:pPr>
        <w:jc w:val="both"/>
      </w:pPr>
      <w:r w:rsidRPr="00074F91">
        <w:lastRenderedPageBreak/>
        <w:t>Reálná hodnota swapu k 30. červnu 2015 a 31. prosinci 2014 je uvedena v následující tabulce.</w:t>
      </w:r>
    </w:p>
    <w:p w:rsidR="00C07134" w:rsidRPr="00074F91" w:rsidRDefault="00C07134" w:rsidP="00C07134">
      <w:pPr>
        <w:jc w:val="both"/>
      </w:pPr>
    </w:p>
    <w:tbl>
      <w:tblPr>
        <w:tblW w:w="9120" w:type="dxa"/>
        <w:tblInd w:w="70" w:type="dxa"/>
        <w:tblCellMar>
          <w:left w:w="70" w:type="dxa"/>
          <w:right w:w="70" w:type="dxa"/>
        </w:tblCellMar>
        <w:tblLook w:val="0000" w:firstRow="0" w:lastRow="0" w:firstColumn="0" w:lastColumn="0" w:noHBand="0" w:noVBand="0"/>
      </w:tblPr>
      <w:tblGrid>
        <w:gridCol w:w="4312"/>
        <w:gridCol w:w="2268"/>
        <w:gridCol w:w="2540"/>
      </w:tblGrid>
      <w:tr w:rsidR="00C07134" w:rsidRPr="00120EA2" w:rsidTr="0062786B">
        <w:trPr>
          <w:trHeight w:val="240"/>
        </w:trPr>
        <w:tc>
          <w:tcPr>
            <w:tcW w:w="4312" w:type="dxa"/>
            <w:tcBorders>
              <w:top w:val="single" w:sz="12" w:space="0" w:color="auto"/>
              <w:left w:val="nil"/>
              <w:bottom w:val="single" w:sz="4" w:space="0" w:color="auto"/>
              <w:right w:val="nil"/>
            </w:tcBorders>
            <w:noWrap/>
            <w:vAlign w:val="bottom"/>
          </w:tcPr>
          <w:p w:rsidR="00C07134" w:rsidRPr="0062786B" w:rsidRDefault="00C07134" w:rsidP="00EA6AA7">
            <w:pPr>
              <w:rPr>
                <w:b/>
                <w:sz w:val="20"/>
                <w:szCs w:val="20"/>
              </w:rPr>
            </w:pPr>
            <w:r w:rsidRPr="0062786B">
              <w:rPr>
                <w:b/>
                <w:sz w:val="20"/>
                <w:szCs w:val="20"/>
              </w:rPr>
              <w:t>Protistrana</w:t>
            </w:r>
          </w:p>
        </w:tc>
        <w:tc>
          <w:tcPr>
            <w:tcW w:w="2268" w:type="dxa"/>
            <w:tcBorders>
              <w:top w:val="single" w:sz="12" w:space="0" w:color="auto"/>
              <w:left w:val="nil"/>
              <w:bottom w:val="single" w:sz="4" w:space="0" w:color="auto"/>
              <w:right w:val="nil"/>
            </w:tcBorders>
            <w:noWrap/>
            <w:vAlign w:val="bottom"/>
          </w:tcPr>
          <w:p w:rsidR="00C07134" w:rsidRPr="0062786B" w:rsidRDefault="00C07134" w:rsidP="00EA6AA7">
            <w:pPr>
              <w:jc w:val="right"/>
              <w:rPr>
                <w:b/>
                <w:bCs/>
                <w:sz w:val="20"/>
                <w:szCs w:val="20"/>
              </w:rPr>
            </w:pPr>
            <w:r w:rsidRPr="0062786B">
              <w:rPr>
                <w:b/>
                <w:bCs/>
                <w:sz w:val="20"/>
                <w:szCs w:val="20"/>
              </w:rPr>
              <w:t xml:space="preserve">       k 31. prosinci 2014</w:t>
            </w:r>
          </w:p>
        </w:tc>
        <w:tc>
          <w:tcPr>
            <w:tcW w:w="2540" w:type="dxa"/>
            <w:tcBorders>
              <w:top w:val="single" w:sz="12" w:space="0" w:color="auto"/>
              <w:left w:val="nil"/>
              <w:bottom w:val="single" w:sz="4" w:space="0" w:color="auto"/>
              <w:right w:val="nil"/>
            </w:tcBorders>
            <w:vAlign w:val="bottom"/>
          </w:tcPr>
          <w:p w:rsidR="00C07134" w:rsidRPr="0062786B" w:rsidRDefault="00C07134" w:rsidP="00EA6AA7">
            <w:pPr>
              <w:jc w:val="right"/>
              <w:rPr>
                <w:b/>
                <w:bCs/>
                <w:sz w:val="20"/>
                <w:szCs w:val="20"/>
              </w:rPr>
            </w:pPr>
            <w:r w:rsidRPr="0062786B">
              <w:rPr>
                <w:b/>
                <w:bCs/>
                <w:sz w:val="20"/>
                <w:szCs w:val="20"/>
              </w:rPr>
              <w:t xml:space="preserve">          k 30. červnu 2015</w:t>
            </w:r>
          </w:p>
        </w:tc>
      </w:tr>
      <w:tr w:rsidR="00C07134" w:rsidRPr="00120EA2" w:rsidTr="0062786B">
        <w:trPr>
          <w:trHeight w:val="240"/>
        </w:trPr>
        <w:tc>
          <w:tcPr>
            <w:tcW w:w="4312" w:type="dxa"/>
            <w:tcBorders>
              <w:left w:val="nil"/>
              <w:right w:val="nil"/>
            </w:tcBorders>
            <w:noWrap/>
            <w:vAlign w:val="bottom"/>
          </w:tcPr>
          <w:p w:rsidR="00C07134" w:rsidRPr="0062786B" w:rsidRDefault="00C07134" w:rsidP="00EA6AA7">
            <w:pPr>
              <w:rPr>
                <w:bCs/>
                <w:sz w:val="20"/>
                <w:szCs w:val="20"/>
              </w:rPr>
            </w:pPr>
            <w:r w:rsidRPr="0062786B">
              <w:rPr>
                <w:sz w:val="20"/>
                <w:szCs w:val="20"/>
              </w:rPr>
              <w:t>Česká spořitelna</w:t>
            </w:r>
          </w:p>
        </w:tc>
        <w:tc>
          <w:tcPr>
            <w:tcW w:w="2268" w:type="dxa"/>
            <w:tcBorders>
              <w:left w:val="nil"/>
              <w:right w:val="nil"/>
            </w:tcBorders>
            <w:noWrap/>
            <w:vAlign w:val="bottom"/>
          </w:tcPr>
          <w:p w:rsidR="00C07134" w:rsidRPr="0062786B" w:rsidRDefault="00C07134" w:rsidP="00C07134">
            <w:pPr>
              <w:jc w:val="right"/>
              <w:rPr>
                <w:sz w:val="20"/>
                <w:szCs w:val="20"/>
              </w:rPr>
            </w:pPr>
            <w:r w:rsidRPr="0062786B">
              <w:rPr>
                <w:sz w:val="20"/>
                <w:szCs w:val="20"/>
              </w:rPr>
              <w:t>-695</w:t>
            </w:r>
          </w:p>
        </w:tc>
        <w:tc>
          <w:tcPr>
            <w:tcW w:w="2540" w:type="dxa"/>
            <w:tcBorders>
              <w:left w:val="nil"/>
              <w:right w:val="nil"/>
            </w:tcBorders>
            <w:shd w:val="clear" w:color="auto" w:fill="FFFFFF"/>
            <w:vAlign w:val="bottom"/>
          </w:tcPr>
          <w:p w:rsidR="00C07134" w:rsidRPr="0062786B" w:rsidRDefault="00C07134" w:rsidP="00C07134">
            <w:pPr>
              <w:jc w:val="right"/>
              <w:rPr>
                <w:sz w:val="20"/>
                <w:szCs w:val="20"/>
              </w:rPr>
            </w:pPr>
            <w:r w:rsidRPr="0062786B">
              <w:rPr>
                <w:sz w:val="20"/>
                <w:szCs w:val="20"/>
              </w:rPr>
              <w:t>-890</w:t>
            </w:r>
          </w:p>
        </w:tc>
      </w:tr>
      <w:tr w:rsidR="00C07134" w:rsidRPr="00120EA2" w:rsidTr="0062786B">
        <w:trPr>
          <w:trHeight w:val="240"/>
        </w:trPr>
        <w:tc>
          <w:tcPr>
            <w:tcW w:w="4312" w:type="dxa"/>
            <w:tcBorders>
              <w:top w:val="single" w:sz="4" w:space="0" w:color="auto"/>
              <w:left w:val="nil"/>
              <w:bottom w:val="single" w:sz="12" w:space="0" w:color="auto"/>
              <w:right w:val="nil"/>
            </w:tcBorders>
            <w:noWrap/>
            <w:vAlign w:val="bottom"/>
          </w:tcPr>
          <w:p w:rsidR="00C07134" w:rsidRPr="0062786B" w:rsidRDefault="00C07134" w:rsidP="00EA6AA7">
            <w:pPr>
              <w:rPr>
                <w:b/>
                <w:bCs/>
                <w:sz w:val="20"/>
                <w:szCs w:val="20"/>
              </w:rPr>
            </w:pPr>
            <w:r w:rsidRPr="0062786B">
              <w:rPr>
                <w:b/>
                <w:bCs/>
                <w:sz w:val="20"/>
                <w:szCs w:val="20"/>
              </w:rPr>
              <w:t>Celkem</w:t>
            </w:r>
          </w:p>
        </w:tc>
        <w:tc>
          <w:tcPr>
            <w:tcW w:w="2268" w:type="dxa"/>
            <w:tcBorders>
              <w:top w:val="single" w:sz="4" w:space="0" w:color="auto"/>
              <w:left w:val="nil"/>
              <w:bottom w:val="single" w:sz="12" w:space="0" w:color="auto"/>
              <w:right w:val="nil"/>
            </w:tcBorders>
            <w:noWrap/>
            <w:vAlign w:val="bottom"/>
          </w:tcPr>
          <w:p w:rsidR="00C07134" w:rsidRPr="0062786B" w:rsidRDefault="00C07134" w:rsidP="00EA6AA7">
            <w:pPr>
              <w:jc w:val="right"/>
              <w:rPr>
                <w:b/>
                <w:sz w:val="20"/>
                <w:szCs w:val="20"/>
              </w:rPr>
            </w:pPr>
            <w:r w:rsidRPr="0062786B">
              <w:rPr>
                <w:b/>
                <w:sz w:val="20"/>
                <w:szCs w:val="20"/>
              </w:rPr>
              <w:t>-695</w:t>
            </w:r>
          </w:p>
        </w:tc>
        <w:tc>
          <w:tcPr>
            <w:tcW w:w="2540" w:type="dxa"/>
            <w:tcBorders>
              <w:top w:val="single" w:sz="4" w:space="0" w:color="auto"/>
              <w:left w:val="nil"/>
              <w:bottom w:val="single" w:sz="12" w:space="0" w:color="auto"/>
              <w:right w:val="nil"/>
            </w:tcBorders>
            <w:shd w:val="clear" w:color="auto" w:fill="FFFFFF"/>
            <w:vAlign w:val="bottom"/>
          </w:tcPr>
          <w:p w:rsidR="00C07134" w:rsidRPr="0062786B" w:rsidRDefault="00C07134" w:rsidP="00C07134">
            <w:pPr>
              <w:jc w:val="right"/>
              <w:rPr>
                <w:b/>
                <w:sz w:val="20"/>
                <w:szCs w:val="20"/>
              </w:rPr>
            </w:pPr>
            <w:r w:rsidRPr="0062786B">
              <w:rPr>
                <w:b/>
                <w:sz w:val="20"/>
                <w:szCs w:val="20"/>
              </w:rPr>
              <w:t>-890</w:t>
            </w:r>
          </w:p>
        </w:tc>
      </w:tr>
    </w:tbl>
    <w:p w:rsidR="00C07134" w:rsidRPr="00074F91" w:rsidRDefault="00C07134" w:rsidP="00C07134">
      <w:pPr>
        <w:jc w:val="both"/>
      </w:pPr>
    </w:p>
    <w:p w:rsidR="00C07134" w:rsidRPr="00074F91" w:rsidRDefault="00C07134" w:rsidP="00C07134">
      <w:pPr>
        <w:jc w:val="both"/>
      </w:pPr>
      <w:r w:rsidRPr="00074F91">
        <w:t>Reálná hodnota swapu reprezentuje závazek Společnosti. Reálná hodnota swapu je dána eurovou a korunovou výnosovou křivkou platnou v rozvahový den a je vypočtena metodou diskontovaných peněžních toků. Vstupy použité pro výpočet reálné hodnoty jsou dle IFRS 7 zařazeny do druhé úrovně hierarchie reálných hodnot.</w:t>
      </w:r>
    </w:p>
    <w:p w:rsidR="00C07134" w:rsidRPr="00074F91" w:rsidRDefault="00C07134" w:rsidP="00236FFC">
      <w:pPr>
        <w:jc w:val="both"/>
        <w:rPr>
          <w:b/>
        </w:rPr>
      </w:pPr>
    </w:p>
    <w:p w:rsidR="00C07134" w:rsidRPr="00074F91" w:rsidRDefault="00C07134" w:rsidP="00236FFC">
      <w:pPr>
        <w:jc w:val="both"/>
        <w:rPr>
          <w:b/>
        </w:rPr>
      </w:pPr>
    </w:p>
    <w:p w:rsidR="00236FFC" w:rsidRPr="00074F91" w:rsidRDefault="00236FFC" w:rsidP="00236FFC">
      <w:pPr>
        <w:jc w:val="both"/>
        <w:rPr>
          <w:b/>
        </w:rPr>
      </w:pPr>
      <w:r w:rsidRPr="00074F91">
        <w:rPr>
          <w:b/>
        </w:rPr>
        <w:t>Měnové forwardy</w:t>
      </w:r>
    </w:p>
    <w:p w:rsidR="00236FFC" w:rsidRPr="00074F91" w:rsidRDefault="00135DB6" w:rsidP="00C07134">
      <w:pPr>
        <w:jc w:val="both"/>
      </w:pPr>
      <w:r w:rsidRPr="00074F91">
        <w:rPr>
          <w:color w:val="000000"/>
        </w:rPr>
        <w:t xml:space="preserve">Společnost </w:t>
      </w:r>
      <w:r w:rsidR="00C07134" w:rsidRPr="00074F91">
        <w:rPr>
          <w:color w:val="000000"/>
        </w:rPr>
        <w:t>ne</w:t>
      </w:r>
      <w:r w:rsidRPr="00074F91">
        <w:rPr>
          <w:color w:val="000000"/>
        </w:rPr>
        <w:t>měla k 30</w:t>
      </w:r>
      <w:r w:rsidR="00236FFC" w:rsidRPr="00074F91">
        <w:rPr>
          <w:color w:val="000000"/>
        </w:rPr>
        <w:t xml:space="preserve">. </w:t>
      </w:r>
      <w:r w:rsidRPr="00074F91">
        <w:rPr>
          <w:color w:val="000000"/>
        </w:rPr>
        <w:t>červ</w:t>
      </w:r>
      <w:r w:rsidR="00236FFC" w:rsidRPr="00074F91">
        <w:rPr>
          <w:color w:val="000000"/>
        </w:rPr>
        <w:t>nu 201</w:t>
      </w:r>
      <w:r w:rsidR="00C07134" w:rsidRPr="00074F91">
        <w:rPr>
          <w:color w:val="000000"/>
        </w:rPr>
        <w:t>5</w:t>
      </w:r>
      <w:r w:rsidR="00236FFC" w:rsidRPr="00074F91">
        <w:rPr>
          <w:color w:val="000000"/>
        </w:rPr>
        <w:t xml:space="preserve"> otevřen</w:t>
      </w:r>
      <w:r w:rsidR="00C07134" w:rsidRPr="00074F91">
        <w:rPr>
          <w:color w:val="000000"/>
        </w:rPr>
        <w:t>y žádné měnové</w:t>
      </w:r>
      <w:r w:rsidR="00236FFC" w:rsidRPr="00074F91">
        <w:rPr>
          <w:color w:val="000000"/>
        </w:rPr>
        <w:t xml:space="preserve"> forward</w:t>
      </w:r>
      <w:r w:rsidR="00C07134" w:rsidRPr="00074F91">
        <w:rPr>
          <w:color w:val="000000"/>
        </w:rPr>
        <w:t>y.</w:t>
      </w:r>
    </w:p>
    <w:p w:rsidR="00236FFC" w:rsidRPr="00074F91" w:rsidRDefault="00236FFC" w:rsidP="00236FFC">
      <w:pPr>
        <w:jc w:val="both"/>
        <w:rPr>
          <w:color w:val="000000"/>
        </w:rPr>
      </w:pPr>
    </w:p>
    <w:p w:rsidR="00236FFC" w:rsidRPr="00074F91" w:rsidRDefault="00236FFC" w:rsidP="00236FFC">
      <w:pPr>
        <w:pStyle w:val="Odstavecseseznamem1"/>
        <w:numPr>
          <w:ilvl w:val="0"/>
          <w:numId w:val="30"/>
        </w:numPr>
        <w:rPr>
          <w:rFonts w:ascii="Times New Roman" w:hAnsi="Times New Roman"/>
          <w:i/>
          <w:color w:val="000000"/>
          <w:sz w:val="24"/>
          <w:szCs w:val="24"/>
        </w:rPr>
      </w:pPr>
      <w:r w:rsidRPr="00074F91">
        <w:rPr>
          <w:rFonts w:ascii="Times New Roman" w:hAnsi="Times New Roman"/>
          <w:i/>
          <w:color w:val="000000"/>
          <w:sz w:val="24"/>
          <w:szCs w:val="24"/>
        </w:rPr>
        <w:t>Zisk na akcii</w:t>
      </w:r>
    </w:p>
    <w:p w:rsidR="00236FFC" w:rsidRPr="00074F91" w:rsidRDefault="00236FFC" w:rsidP="00236FFC">
      <w:pPr>
        <w:jc w:val="both"/>
        <w:rPr>
          <w:color w:val="000000"/>
        </w:rPr>
      </w:pPr>
      <w:r w:rsidRPr="00074F91">
        <w:rPr>
          <w:color w:val="000000"/>
        </w:rPr>
        <w:t xml:space="preserve">Zisk na akcii je vypočítán jako čistý zisk v daném období přiřaditelný akcionářům Společnosti dělený váženým průměrem počtu kmenových akcií existujících každý den v daném období. </w:t>
      </w:r>
    </w:p>
    <w:p w:rsidR="00236FFC" w:rsidRPr="00074F91" w:rsidRDefault="00236FFC" w:rsidP="00236FFC">
      <w:pPr>
        <w:jc w:val="both"/>
        <w:rPr>
          <w:color w:val="000000"/>
        </w:rPr>
      </w:pPr>
    </w:p>
    <w:p w:rsidR="0064412E" w:rsidRPr="00074F91" w:rsidRDefault="0064412E" w:rsidP="0064412E">
      <w:pPr>
        <w:jc w:val="both"/>
        <w:rPr>
          <w:color w:val="000000"/>
        </w:rPr>
      </w:pPr>
      <w:r w:rsidRPr="00074F91">
        <w:rPr>
          <w:color w:val="000000"/>
        </w:rPr>
        <w:t>Plně zředěný zisk na akcii se vypočítá na základě váženého průměru počtu akcií v oběhu (stanoveného obdobně jako v případě základního zisku na akcii), upraveného o vliv předpokládané emise všech potenciálních ředicích cenných papírů, tj. v případě Skupiny o warranty. Úprava o potenciální efekt, kdy by byly uplatněny všechny warranty, je kalkulována za předpokladu, že se výnosy z warrantů rovnají průměrné tržní ceně kmenových akcií v průběhu daného období, tj. od data udělení warrantů v roce 2014.</w:t>
      </w:r>
    </w:p>
    <w:p w:rsidR="0064412E" w:rsidRPr="00074F91" w:rsidRDefault="0064412E" w:rsidP="0064412E">
      <w:pPr>
        <w:jc w:val="both"/>
        <w:rPr>
          <w:color w:val="000000"/>
        </w:rPr>
      </w:pPr>
    </w:p>
    <w:p w:rsidR="0064412E" w:rsidRPr="00074F91" w:rsidRDefault="0064412E" w:rsidP="0064412E">
      <w:pPr>
        <w:jc w:val="both"/>
        <w:rPr>
          <w:color w:val="000000"/>
        </w:rPr>
      </w:pPr>
      <w:r w:rsidRPr="00074F91">
        <w:rPr>
          <w:color w:val="000000"/>
        </w:rPr>
        <w:t>Základní a plně zředěný zisk na akcii k 30. červnu 2014 jsou si navzájem rovny, jelikož Skupina neměla v rozvahový den uzavřenu žádnou smlouvu, která by v budoucnu mohla způsobit potenciální emisi nových akcií. V důsledku změn v akciovém bonusovém programu byly stínové opce vydané v letech 2010-2013 konvertovány do 230 735 kusů warrantů a v roce 2014 bylo vydáno 230 735 nových warrantů. Všechny tyto warranty reprezentují nástroje, které můžou v budoucnu vést k potenciální emisi nových akcií. Základní a plně zředěný zisk na akcii k 30. červnu 2015 si tudíž nejsou rovny.</w:t>
      </w:r>
    </w:p>
    <w:p w:rsidR="00236FFC" w:rsidRPr="00074F91" w:rsidRDefault="00236FFC" w:rsidP="00236FFC">
      <w:pPr>
        <w:jc w:val="both"/>
        <w:rPr>
          <w:color w:val="000000"/>
        </w:rPr>
      </w:pPr>
    </w:p>
    <w:p w:rsidR="00236FFC" w:rsidRPr="00074F91" w:rsidRDefault="00236FFC" w:rsidP="00236FFC">
      <w:pPr>
        <w:jc w:val="both"/>
        <w:rPr>
          <w:color w:val="000000"/>
        </w:rPr>
      </w:pPr>
      <w:r w:rsidRPr="00074F91">
        <w:rPr>
          <w:color w:val="000000"/>
        </w:rPr>
        <w:t xml:space="preserve">V prvních </w:t>
      </w:r>
      <w:r w:rsidR="00EB48FC" w:rsidRPr="00074F91">
        <w:rPr>
          <w:color w:val="000000"/>
        </w:rPr>
        <w:t>šesti</w:t>
      </w:r>
      <w:r w:rsidRPr="00074F91">
        <w:rPr>
          <w:color w:val="000000"/>
        </w:rPr>
        <w:t xml:space="preserve"> měsících roku 201</w:t>
      </w:r>
      <w:r w:rsidR="0064412E" w:rsidRPr="00074F91">
        <w:rPr>
          <w:color w:val="000000"/>
        </w:rPr>
        <w:t>5</w:t>
      </w:r>
      <w:r w:rsidRPr="00074F91">
        <w:rPr>
          <w:color w:val="000000"/>
        </w:rPr>
        <w:t xml:space="preserve"> ani v prvních </w:t>
      </w:r>
      <w:r w:rsidR="00EB48FC" w:rsidRPr="00074F91">
        <w:rPr>
          <w:color w:val="000000"/>
        </w:rPr>
        <w:t>šesti</w:t>
      </w:r>
      <w:r w:rsidRPr="00074F91">
        <w:rPr>
          <w:color w:val="000000"/>
        </w:rPr>
        <w:t xml:space="preserve"> měsících roku 201</w:t>
      </w:r>
      <w:r w:rsidR="0064412E" w:rsidRPr="00074F91">
        <w:rPr>
          <w:color w:val="000000"/>
        </w:rPr>
        <w:t>4</w:t>
      </w:r>
      <w:r w:rsidRPr="00074F91">
        <w:rPr>
          <w:color w:val="000000"/>
        </w:rPr>
        <w:t xml:space="preserve"> nedošlo k žádné změně v počtu akcií vydaných Společností.</w:t>
      </w:r>
    </w:p>
    <w:p w:rsidR="00236FFC" w:rsidRPr="00074F91" w:rsidRDefault="00236FFC" w:rsidP="00236FFC">
      <w:pPr>
        <w:ind w:left="360"/>
        <w:jc w:val="both"/>
        <w:rPr>
          <w:b/>
          <w:i/>
          <w:color w:val="000000"/>
        </w:rPr>
      </w:pPr>
    </w:p>
    <w:p w:rsidR="00236FFC" w:rsidRPr="00074F91" w:rsidRDefault="00236FFC" w:rsidP="00236FFC">
      <w:pPr>
        <w:keepNext/>
        <w:jc w:val="both"/>
        <w:rPr>
          <w:b/>
          <w:i/>
          <w:color w:val="000000"/>
        </w:rPr>
      </w:pPr>
      <w:r w:rsidRPr="00074F91">
        <w:rPr>
          <w:b/>
          <w:i/>
          <w:color w:val="000000"/>
        </w:rPr>
        <w:t>Vážený průměr počtu kmenových akcií</w:t>
      </w:r>
    </w:p>
    <w:p w:rsidR="00236FFC" w:rsidRPr="00074F91" w:rsidRDefault="00236FFC" w:rsidP="00236FFC">
      <w:pPr>
        <w:keepNext/>
        <w:jc w:val="both"/>
        <w:rPr>
          <w:b/>
          <w:i/>
          <w:color w:val="000000"/>
        </w:rPr>
      </w:pPr>
    </w:p>
    <w:tbl>
      <w:tblPr>
        <w:tblW w:w="4968" w:type="pct"/>
        <w:tblLook w:val="01E0" w:firstRow="1" w:lastRow="1" w:firstColumn="1" w:lastColumn="1" w:noHBand="0" w:noVBand="0"/>
      </w:tblPr>
      <w:tblGrid>
        <w:gridCol w:w="4947"/>
        <w:gridCol w:w="2409"/>
        <w:gridCol w:w="1873"/>
      </w:tblGrid>
      <w:tr w:rsidR="00236FFC" w:rsidRPr="00441194" w:rsidTr="0062786B">
        <w:trPr>
          <w:trHeight w:val="240"/>
        </w:trPr>
        <w:tc>
          <w:tcPr>
            <w:tcW w:w="2679" w:type="pct"/>
            <w:tcBorders>
              <w:top w:val="single" w:sz="12" w:space="0" w:color="auto"/>
              <w:bottom w:val="single" w:sz="4" w:space="0" w:color="auto"/>
            </w:tcBorders>
            <w:vAlign w:val="bottom"/>
          </w:tcPr>
          <w:p w:rsidR="00236FFC" w:rsidRPr="0062786B" w:rsidRDefault="00236FFC" w:rsidP="006D3AE4">
            <w:pPr>
              <w:keepNext/>
              <w:jc w:val="right"/>
              <w:rPr>
                <w:color w:val="000000"/>
                <w:sz w:val="20"/>
                <w:szCs w:val="20"/>
              </w:rPr>
            </w:pPr>
          </w:p>
        </w:tc>
        <w:tc>
          <w:tcPr>
            <w:tcW w:w="1305" w:type="pct"/>
            <w:tcBorders>
              <w:top w:val="single" w:sz="12" w:space="0" w:color="auto"/>
              <w:bottom w:val="single" w:sz="4" w:space="0" w:color="auto"/>
            </w:tcBorders>
            <w:vAlign w:val="bottom"/>
          </w:tcPr>
          <w:p w:rsidR="00236FFC" w:rsidRPr="0062786B" w:rsidRDefault="00236FFC" w:rsidP="006D3AE4">
            <w:pPr>
              <w:keepNext/>
              <w:jc w:val="right"/>
              <w:rPr>
                <w:color w:val="000000"/>
                <w:sz w:val="20"/>
                <w:szCs w:val="20"/>
              </w:rPr>
            </w:pPr>
            <w:r w:rsidRPr="0062786B">
              <w:rPr>
                <w:color w:val="000000"/>
                <w:sz w:val="20"/>
                <w:szCs w:val="20"/>
              </w:rPr>
              <w:t>Počet vydaných akcií</w:t>
            </w:r>
          </w:p>
        </w:tc>
        <w:tc>
          <w:tcPr>
            <w:tcW w:w="1015" w:type="pct"/>
            <w:tcBorders>
              <w:top w:val="single" w:sz="12" w:space="0" w:color="auto"/>
              <w:bottom w:val="single" w:sz="4" w:space="0" w:color="auto"/>
            </w:tcBorders>
            <w:vAlign w:val="bottom"/>
          </w:tcPr>
          <w:p w:rsidR="00236FFC" w:rsidRPr="0062786B" w:rsidRDefault="00236FFC" w:rsidP="006D3AE4">
            <w:pPr>
              <w:keepNext/>
              <w:jc w:val="right"/>
              <w:rPr>
                <w:color w:val="000000"/>
                <w:sz w:val="20"/>
                <w:szCs w:val="20"/>
              </w:rPr>
            </w:pPr>
            <w:r w:rsidRPr="0062786B">
              <w:rPr>
                <w:color w:val="000000"/>
                <w:sz w:val="20"/>
                <w:szCs w:val="20"/>
              </w:rPr>
              <w:t>Vážený průměr</w:t>
            </w:r>
          </w:p>
        </w:tc>
      </w:tr>
      <w:tr w:rsidR="00441194" w:rsidRPr="00441194" w:rsidTr="0062786B">
        <w:trPr>
          <w:trHeight w:val="240"/>
        </w:trPr>
        <w:tc>
          <w:tcPr>
            <w:tcW w:w="2679" w:type="pct"/>
            <w:tcBorders>
              <w:top w:val="single" w:sz="4" w:space="0" w:color="auto"/>
              <w:bottom w:val="single" w:sz="8" w:space="0" w:color="auto"/>
            </w:tcBorders>
          </w:tcPr>
          <w:p w:rsidR="00441194" w:rsidRPr="0062786B" w:rsidRDefault="00441194" w:rsidP="004B12B9">
            <w:pPr>
              <w:keepNext/>
              <w:jc w:val="both"/>
              <w:rPr>
                <w:color w:val="000000"/>
                <w:sz w:val="20"/>
                <w:szCs w:val="20"/>
              </w:rPr>
            </w:pPr>
            <w:r w:rsidRPr="0062786B">
              <w:rPr>
                <w:color w:val="000000"/>
                <w:sz w:val="20"/>
                <w:szCs w:val="20"/>
              </w:rPr>
              <w:t>leden – červen 2014</w:t>
            </w:r>
          </w:p>
        </w:tc>
        <w:tc>
          <w:tcPr>
            <w:tcW w:w="1305" w:type="pct"/>
            <w:tcBorders>
              <w:top w:val="single" w:sz="4" w:space="0" w:color="auto"/>
              <w:bottom w:val="single" w:sz="8" w:space="0" w:color="auto"/>
            </w:tcBorders>
          </w:tcPr>
          <w:p w:rsidR="00441194" w:rsidRPr="0062786B" w:rsidRDefault="00441194" w:rsidP="004B12B9">
            <w:pPr>
              <w:keepNext/>
              <w:jc w:val="right"/>
              <w:rPr>
                <w:color w:val="000000"/>
                <w:sz w:val="20"/>
                <w:szCs w:val="20"/>
              </w:rPr>
            </w:pPr>
            <w:r w:rsidRPr="0062786B">
              <w:rPr>
                <w:color w:val="000000"/>
                <w:sz w:val="20"/>
                <w:szCs w:val="20"/>
              </w:rPr>
              <w:t xml:space="preserve">9 229 400 </w:t>
            </w:r>
          </w:p>
        </w:tc>
        <w:tc>
          <w:tcPr>
            <w:tcW w:w="1015" w:type="pct"/>
            <w:tcBorders>
              <w:top w:val="single" w:sz="4" w:space="0" w:color="auto"/>
              <w:bottom w:val="single" w:sz="8" w:space="0" w:color="auto"/>
            </w:tcBorders>
          </w:tcPr>
          <w:p w:rsidR="00441194" w:rsidRPr="0062786B" w:rsidRDefault="00441194" w:rsidP="004B12B9">
            <w:pPr>
              <w:keepNext/>
              <w:jc w:val="right"/>
              <w:rPr>
                <w:color w:val="000000"/>
                <w:sz w:val="20"/>
                <w:szCs w:val="20"/>
              </w:rPr>
            </w:pPr>
            <w:r w:rsidRPr="0062786B">
              <w:rPr>
                <w:color w:val="000000"/>
                <w:sz w:val="20"/>
                <w:szCs w:val="20"/>
              </w:rPr>
              <w:t>9 229 400</w:t>
            </w:r>
          </w:p>
        </w:tc>
      </w:tr>
      <w:tr w:rsidR="00236FFC" w:rsidRPr="00441194" w:rsidTr="0062786B">
        <w:trPr>
          <w:trHeight w:val="240"/>
        </w:trPr>
        <w:tc>
          <w:tcPr>
            <w:tcW w:w="2679" w:type="pct"/>
            <w:tcBorders>
              <w:top w:val="single" w:sz="8" w:space="0" w:color="auto"/>
              <w:bottom w:val="single" w:sz="12" w:space="0" w:color="auto"/>
            </w:tcBorders>
          </w:tcPr>
          <w:p w:rsidR="00236FFC" w:rsidRPr="0062786B" w:rsidRDefault="00236FFC" w:rsidP="00EB48FC">
            <w:pPr>
              <w:keepNext/>
              <w:jc w:val="both"/>
              <w:rPr>
                <w:color w:val="000000"/>
                <w:sz w:val="20"/>
                <w:szCs w:val="20"/>
              </w:rPr>
            </w:pPr>
            <w:r w:rsidRPr="0062786B">
              <w:rPr>
                <w:color w:val="000000"/>
                <w:sz w:val="20"/>
                <w:szCs w:val="20"/>
              </w:rPr>
              <w:t xml:space="preserve">leden – </w:t>
            </w:r>
            <w:r w:rsidR="00EB48FC" w:rsidRPr="0062786B">
              <w:rPr>
                <w:color w:val="000000"/>
                <w:sz w:val="20"/>
                <w:szCs w:val="20"/>
              </w:rPr>
              <w:t>červ</w:t>
            </w:r>
            <w:r w:rsidRPr="0062786B">
              <w:rPr>
                <w:color w:val="000000"/>
                <w:sz w:val="20"/>
                <w:szCs w:val="20"/>
              </w:rPr>
              <w:t>en</w:t>
            </w:r>
            <w:r w:rsidR="00441194" w:rsidRPr="0062786B">
              <w:rPr>
                <w:color w:val="000000"/>
                <w:sz w:val="20"/>
                <w:szCs w:val="20"/>
              </w:rPr>
              <w:t xml:space="preserve"> 2015</w:t>
            </w:r>
          </w:p>
        </w:tc>
        <w:tc>
          <w:tcPr>
            <w:tcW w:w="1305" w:type="pct"/>
            <w:tcBorders>
              <w:top w:val="single" w:sz="8" w:space="0" w:color="auto"/>
              <w:bottom w:val="single" w:sz="12" w:space="0" w:color="auto"/>
            </w:tcBorders>
          </w:tcPr>
          <w:p w:rsidR="00236FFC" w:rsidRPr="0062786B" w:rsidRDefault="00236FFC" w:rsidP="006D3AE4">
            <w:pPr>
              <w:keepNext/>
              <w:jc w:val="right"/>
              <w:rPr>
                <w:color w:val="000000"/>
                <w:sz w:val="20"/>
                <w:szCs w:val="20"/>
              </w:rPr>
            </w:pPr>
            <w:r w:rsidRPr="0062786B">
              <w:rPr>
                <w:color w:val="000000"/>
                <w:sz w:val="20"/>
                <w:szCs w:val="20"/>
              </w:rPr>
              <w:t xml:space="preserve">9 229 400 </w:t>
            </w:r>
          </w:p>
        </w:tc>
        <w:tc>
          <w:tcPr>
            <w:tcW w:w="1015" w:type="pct"/>
            <w:tcBorders>
              <w:top w:val="single" w:sz="8" w:space="0" w:color="auto"/>
              <w:bottom w:val="single" w:sz="12" w:space="0" w:color="auto"/>
            </w:tcBorders>
          </w:tcPr>
          <w:p w:rsidR="00236FFC" w:rsidRPr="0062786B" w:rsidRDefault="00236FFC" w:rsidP="006D3AE4">
            <w:pPr>
              <w:keepNext/>
              <w:jc w:val="right"/>
              <w:rPr>
                <w:color w:val="000000"/>
                <w:sz w:val="20"/>
                <w:szCs w:val="20"/>
              </w:rPr>
            </w:pPr>
            <w:r w:rsidRPr="0062786B">
              <w:rPr>
                <w:color w:val="000000"/>
                <w:sz w:val="20"/>
                <w:szCs w:val="20"/>
              </w:rPr>
              <w:t>9 229 400</w:t>
            </w:r>
          </w:p>
        </w:tc>
      </w:tr>
    </w:tbl>
    <w:p w:rsidR="00236FFC" w:rsidRPr="00074F91" w:rsidRDefault="00236FFC" w:rsidP="00236FFC">
      <w:pPr>
        <w:jc w:val="both"/>
        <w:rPr>
          <w:color w:val="000000"/>
        </w:rPr>
      </w:pPr>
    </w:p>
    <w:p w:rsidR="00236FFC" w:rsidRPr="00074F91" w:rsidRDefault="00236FFC" w:rsidP="00236FFC">
      <w:pPr>
        <w:jc w:val="both"/>
        <w:rPr>
          <w:b/>
          <w:i/>
          <w:color w:val="000000"/>
        </w:rPr>
      </w:pPr>
    </w:p>
    <w:p w:rsidR="001F390A" w:rsidRPr="0062786B" w:rsidRDefault="001F390A" w:rsidP="001F390A">
      <w:pPr>
        <w:keepNext/>
        <w:jc w:val="both"/>
        <w:rPr>
          <w:b/>
          <w:i/>
        </w:rPr>
      </w:pPr>
      <w:r w:rsidRPr="0062786B">
        <w:rPr>
          <w:b/>
          <w:i/>
        </w:rPr>
        <w:lastRenderedPageBreak/>
        <w:t>Základní ukazatel zisku na akcii</w:t>
      </w:r>
    </w:p>
    <w:p w:rsidR="001F390A" w:rsidRPr="00074F91" w:rsidRDefault="001F390A" w:rsidP="001F390A">
      <w:pPr>
        <w:keepNext/>
        <w:rPr>
          <w:b/>
          <w:i/>
          <w:sz w:val="20"/>
          <w:szCs w:val="20"/>
        </w:rPr>
      </w:pPr>
    </w:p>
    <w:tbl>
      <w:tblPr>
        <w:tblW w:w="4985" w:type="pct"/>
        <w:tblLayout w:type="fixed"/>
        <w:tblLook w:val="01E0" w:firstRow="1" w:lastRow="1" w:firstColumn="1" w:lastColumn="1" w:noHBand="0" w:noVBand="0"/>
      </w:tblPr>
      <w:tblGrid>
        <w:gridCol w:w="3588"/>
        <w:gridCol w:w="995"/>
        <w:gridCol w:w="1133"/>
        <w:gridCol w:w="1135"/>
        <w:gridCol w:w="1276"/>
        <w:gridCol w:w="1133"/>
      </w:tblGrid>
      <w:tr w:rsidR="001F390A" w:rsidRPr="00074F91" w:rsidTr="0062786B">
        <w:trPr>
          <w:trHeight w:val="240"/>
        </w:trPr>
        <w:tc>
          <w:tcPr>
            <w:tcW w:w="1937" w:type="pct"/>
            <w:tcBorders>
              <w:top w:val="single" w:sz="12" w:space="0" w:color="auto"/>
              <w:bottom w:val="single" w:sz="4" w:space="0" w:color="auto"/>
            </w:tcBorders>
            <w:vAlign w:val="bottom"/>
          </w:tcPr>
          <w:p w:rsidR="001F390A" w:rsidRPr="00074F91" w:rsidRDefault="001F390A" w:rsidP="0062786B">
            <w:pPr>
              <w:keepNext/>
              <w:jc w:val="right"/>
              <w:rPr>
                <w:sz w:val="20"/>
                <w:szCs w:val="20"/>
              </w:rPr>
            </w:pPr>
          </w:p>
        </w:tc>
        <w:tc>
          <w:tcPr>
            <w:tcW w:w="537" w:type="pct"/>
            <w:tcBorders>
              <w:top w:val="single" w:sz="12" w:space="0" w:color="auto"/>
              <w:bottom w:val="single" w:sz="4" w:space="0" w:color="auto"/>
            </w:tcBorders>
            <w:vAlign w:val="bottom"/>
          </w:tcPr>
          <w:p w:rsidR="001F390A" w:rsidRPr="00074F91" w:rsidRDefault="001F390A" w:rsidP="0062786B">
            <w:pPr>
              <w:keepNext/>
              <w:jc w:val="right"/>
              <w:rPr>
                <w:sz w:val="20"/>
                <w:szCs w:val="20"/>
              </w:rPr>
            </w:pPr>
          </w:p>
        </w:tc>
        <w:tc>
          <w:tcPr>
            <w:tcW w:w="1225" w:type="pct"/>
            <w:gridSpan w:val="2"/>
            <w:tcBorders>
              <w:top w:val="single" w:sz="12" w:space="0" w:color="auto"/>
              <w:bottom w:val="single" w:sz="4" w:space="0" w:color="auto"/>
            </w:tcBorders>
            <w:vAlign w:val="bottom"/>
          </w:tcPr>
          <w:p w:rsidR="001F390A" w:rsidRPr="00074F91" w:rsidRDefault="001F390A" w:rsidP="0062786B">
            <w:pPr>
              <w:keepNext/>
              <w:jc w:val="right"/>
              <w:rPr>
                <w:b/>
                <w:sz w:val="20"/>
                <w:szCs w:val="20"/>
              </w:rPr>
            </w:pPr>
            <w:r w:rsidRPr="00074F91">
              <w:rPr>
                <w:b/>
                <w:sz w:val="20"/>
                <w:szCs w:val="20"/>
              </w:rPr>
              <w:t>Za 3 měsíce končící</w:t>
            </w:r>
          </w:p>
        </w:tc>
        <w:tc>
          <w:tcPr>
            <w:tcW w:w="1301" w:type="pct"/>
            <w:gridSpan w:val="2"/>
            <w:tcBorders>
              <w:top w:val="single" w:sz="12" w:space="0" w:color="auto"/>
              <w:bottom w:val="single" w:sz="4" w:space="0" w:color="auto"/>
            </w:tcBorders>
          </w:tcPr>
          <w:p w:rsidR="001F390A" w:rsidRPr="00074F91" w:rsidRDefault="001F390A" w:rsidP="0062786B">
            <w:pPr>
              <w:keepNext/>
              <w:jc w:val="right"/>
              <w:rPr>
                <w:b/>
                <w:sz w:val="20"/>
                <w:szCs w:val="20"/>
              </w:rPr>
            </w:pPr>
            <w:r w:rsidRPr="00074F91">
              <w:rPr>
                <w:b/>
                <w:sz w:val="20"/>
                <w:szCs w:val="20"/>
              </w:rPr>
              <w:t>Za 6 měsíců končících</w:t>
            </w:r>
          </w:p>
        </w:tc>
      </w:tr>
      <w:tr w:rsidR="0064412E" w:rsidRPr="00074F91" w:rsidTr="0062786B">
        <w:trPr>
          <w:trHeight w:val="240"/>
        </w:trPr>
        <w:tc>
          <w:tcPr>
            <w:tcW w:w="1937" w:type="pct"/>
            <w:tcBorders>
              <w:top w:val="single" w:sz="12" w:space="0" w:color="auto"/>
              <w:bottom w:val="single" w:sz="4" w:space="0" w:color="auto"/>
            </w:tcBorders>
            <w:vAlign w:val="bottom"/>
          </w:tcPr>
          <w:p w:rsidR="0064412E" w:rsidRPr="00074F91" w:rsidRDefault="0064412E" w:rsidP="0062786B">
            <w:pPr>
              <w:keepNext/>
              <w:jc w:val="right"/>
              <w:rPr>
                <w:sz w:val="20"/>
                <w:szCs w:val="20"/>
              </w:rPr>
            </w:pPr>
          </w:p>
        </w:tc>
        <w:tc>
          <w:tcPr>
            <w:tcW w:w="537" w:type="pct"/>
            <w:tcBorders>
              <w:top w:val="single" w:sz="12" w:space="0" w:color="auto"/>
              <w:bottom w:val="single" w:sz="4" w:space="0" w:color="auto"/>
            </w:tcBorders>
            <w:vAlign w:val="bottom"/>
          </w:tcPr>
          <w:p w:rsidR="0064412E" w:rsidRPr="00074F91" w:rsidRDefault="0064412E" w:rsidP="0062786B">
            <w:pPr>
              <w:keepNext/>
              <w:jc w:val="right"/>
              <w:rPr>
                <w:sz w:val="20"/>
                <w:szCs w:val="20"/>
              </w:rPr>
            </w:pPr>
          </w:p>
        </w:tc>
        <w:tc>
          <w:tcPr>
            <w:tcW w:w="612" w:type="pct"/>
            <w:tcBorders>
              <w:top w:val="single" w:sz="12" w:space="0" w:color="auto"/>
              <w:bottom w:val="single" w:sz="4" w:space="0" w:color="auto"/>
            </w:tcBorders>
            <w:vAlign w:val="bottom"/>
          </w:tcPr>
          <w:p w:rsidR="0064412E" w:rsidRPr="00074F91" w:rsidRDefault="0064412E" w:rsidP="0062786B">
            <w:pPr>
              <w:keepNext/>
              <w:jc w:val="right"/>
              <w:rPr>
                <w:b/>
                <w:color w:val="000000"/>
                <w:sz w:val="20"/>
                <w:szCs w:val="20"/>
              </w:rPr>
            </w:pPr>
            <w:r w:rsidRPr="00074F91">
              <w:rPr>
                <w:b/>
                <w:color w:val="000000"/>
                <w:sz w:val="20"/>
                <w:szCs w:val="20"/>
              </w:rPr>
              <w:t>30/6/2014</w:t>
            </w:r>
          </w:p>
        </w:tc>
        <w:tc>
          <w:tcPr>
            <w:tcW w:w="613" w:type="pct"/>
            <w:tcBorders>
              <w:top w:val="single" w:sz="12" w:space="0" w:color="auto"/>
              <w:bottom w:val="single" w:sz="4" w:space="0" w:color="auto"/>
            </w:tcBorders>
            <w:vAlign w:val="bottom"/>
          </w:tcPr>
          <w:p w:rsidR="0064412E" w:rsidRPr="00074F91" w:rsidRDefault="0064412E" w:rsidP="0062786B">
            <w:pPr>
              <w:keepNext/>
              <w:jc w:val="right"/>
              <w:rPr>
                <w:b/>
                <w:color w:val="000000"/>
                <w:sz w:val="20"/>
                <w:szCs w:val="20"/>
              </w:rPr>
            </w:pPr>
            <w:r w:rsidRPr="00074F91">
              <w:rPr>
                <w:b/>
                <w:color w:val="000000"/>
                <w:sz w:val="20"/>
                <w:szCs w:val="20"/>
              </w:rPr>
              <w:t>30/6/2015</w:t>
            </w:r>
          </w:p>
        </w:tc>
        <w:tc>
          <w:tcPr>
            <w:tcW w:w="689" w:type="pct"/>
            <w:tcBorders>
              <w:top w:val="single" w:sz="12" w:space="0" w:color="auto"/>
              <w:bottom w:val="single" w:sz="4" w:space="0" w:color="auto"/>
            </w:tcBorders>
            <w:vAlign w:val="bottom"/>
          </w:tcPr>
          <w:p w:rsidR="0064412E" w:rsidRPr="00074F91" w:rsidRDefault="0064412E" w:rsidP="0062786B">
            <w:pPr>
              <w:keepNext/>
              <w:jc w:val="right"/>
              <w:rPr>
                <w:b/>
                <w:color w:val="000000"/>
                <w:sz w:val="20"/>
                <w:szCs w:val="20"/>
              </w:rPr>
            </w:pPr>
            <w:r w:rsidRPr="00074F91">
              <w:rPr>
                <w:b/>
                <w:color w:val="000000"/>
                <w:sz w:val="20"/>
                <w:szCs w:val="20"/>
              </w:rPr>
              <w:t>30/6/2014</w:t>
            </w:r>
          </w:p>
        </w:tc>
        <w:tc>
          <w:tcPr>
            <w:tcW w:w="612" w:type="pct"/>
            <w:tcBorders>
              <w:top w:val="single" w:sz="12" w:space="0" w:color="auto"/>
              <w:bottom w:val="single" w:sz="4" w:space="0" w:color="auto"/>
            </w:tcBorders>
            <w:vAlign w:val="bottom"/>
          </w:tcPr>
          <w:p w:rsidR="0064412E" w:rsidRPr="00074F91" w:rsidRDefault="0064412E" w:rsidP="0062786B">
            <w:pPr>
              <w:keepNext/>
              <w:jc w:val="right"/>
              <w:rPr>
                <w:b/>
                <w:color w:val="000000"/>
                <w:sz w:val="20"/>
                <w:szCs w:val="20"/>
              </w:rPr>
            </w:pPr>
            <w:r w:rsidRPr="00074F91">
              <w:rPr>
                <w:b/>
                <w:color w:val="000000"/>
                <w:sz w:val="20"/>
                <w:szCs w:val="20"/>
              </w:rPr>
              <w:t>30/6/2015</w:t>
            </w:r>
          </w:p>
        </w:tc>
      </w:tr>
      <w:tr w:rsidR="0064412E" w:rsidRPr="00074F91" w:rsidTr="0062786B">
        <w:trPr>
          <w:trHeight w:val="240"/>
        </w:trPr>
        <w:tc>
          <w:tcPr>
            <w:tcW w:w="1937" w:type="pct"/>
            <w:tcBorders>
              <w:top w:val="single" w:sz="4" w:space="0" w:color="auto"/>
            </w:tcBorders>
            <w:vAlign w:val="bottom"/>
          </w:tcPr>
          <w:p w:rsidR="0064412E" w:rsidRPr="00074F91" w:rsidRDefault="0064412E" w:rsidP="0062786B">
            <w:pPr>
              <w:keepNext/>
              <w:rPr>
                <w:sz w:val="20"/>
                <w:szCs w:val="20"/>
              </w:rPr>
            </w:pPr>
            <w:r w:rsidRPr="00074F91">
              <w:rPr>
                <w:sz w:val="20"/>
                <w:szCs w:val="20"/>
              </w:rPr>
              <w:t>Čistý zisk přiřaditelný akcionářům</w:t>
            </w:r>
          </w:p>
        </w:tc>
        <w:tc>
          <w:tcPr>
            <w:tcW w:w="537" w:type="pct"/>
            <w:tcBorders>
              <w:top w:val="single" w:sz="4" w:space="0" w:color="auto"/>
            </w:tcBorders>
            <w:vAlign w:val="bottom"/>
          </w:tcPr>
          <w:p w:rsidR="0064412E" w:rsidRPr="00074F91" w:rsidRDefault="0064412E" w:rsidP="0062786B">
            <w:pPr>
              <w:keepNext/>
              <w:jc w:val="right"/>
              <w:rPr>
                <w:sz w:val="20"/>
                <w:szCs w:val="20"/>
              </w:rPr>
            </w:pPr>
            <w:r w:rsidRPr="00074F91">
              <w:rPr>
                <w:sz w:val="20"/>
                <w:szCs w:val="20"/>
              </w:rPr>
              <w:t xml:space="preserve">tis. EUR </w:t>
            </w:r>
          </w:p>
        </w:tc>
        <w:tc>
          <w:tcPr>
            <w:tcW w:w="612" w:type="pct"/>
            <w:tcBorders>
              <w:top w:val="single" w:sz="4" w:space="0" w:color="auto"/>
            </w:tcBorders>
            <w:vAlign w:val="bottom"/>
          </w:tcPr>
          <w:p w:rsidR="0064412E" w:rsidRPr="00074F91" w:rsidRDefault="0064412E" w:rsidP="0062786B">
            <w:pPr>
              <w:keepNext/>
              <w:jc w:val="right"/>
              <w:rPr>
                <w:sz w:val="20"/>
                <w:szCs w:val="20"/>
              </w:rPr>
            </w:pPr>
            <w:r w:rsidRPr="00074F91">
              <w:rPr>
                <w:bCs/>
                <w:sz w:val="20"/>
                <w:szCs w:val="20"/>
              </w:rPr>
              <w:t>4 997</w:t>
            </w:r>
          </w:p>
        </w:tc>
        <w:tc>
          <w:tcPr>
            <w:tcW w:w="613" w:type="pct"/>
            <w:tcBorders>
              <w:top w:val="single" w:sz="4" w:space="0" w:color="auto"/>
            </w:tcBorders>
            <w:vAlign w:val="bottom"/>
          </w:tcPr>
          <w:p w:rsidR="0064412E" w:rsidRPr="00074F91" w:rsidRDefault="0047287C" w:rsidP="0062786B">
            <w:pPr>
              <w:keepNext/>
              <w:jc w:val="right"/>
              <w:rPr>
                <w:sz w:val="20"/>
                <w:szCs w:val="20"/>
              </w:rPr>
            </w:pPr>
            <w:r w:rsidRPr="00074F91">
              <w:rPr>
                <w:bCs/>
                <w:sz w:val="20"/>
                <w:szCs w:val="20"/>
              </w:rPr>
              <w:t>1 969</w:t>
            </w:r>
          </w:p>
        </w:tc>
        <w:tc>
          <w:tcPr>
            <w:tcW w:w="689" w:type="pct"/>
            <w:tcBorders>
              <w:top w:val="single" w:sz="4" w:space="0" w:color="auto"/>
            </w:tcBorders>
            <w:vAlign w:val="bottom"/>
          </w:tcPr>
          <w:p w:rsidR="0064412E" w:rsidRPr="00074F91" w:rsidRDefault="0064412E" w:rsidP="0062786B">
            <w:pPr>
              <w:keepNext/>
              <w:jc w:val="right"/>
              <w:rPr>
                <w:color w:val="000000"/>
                <w:sz w:val="20"/>
                <w:szCs w:val="20"/>
              </w:rPr>
            </w:pPr>
            <w:r w:rsidRPr="00074F91">
              <w:rPr>
                <w:color w:val="000000"/>
                <w:sz w:val="20"/>
                <w:szCs w:val="20"/>
              </w:rPr>
              <w:t>10 533</w:t>
            </w:r>
          </w:p>
        </w:tc>
        <w:tc>
          <w:tcPr>
            <w:tcW w:w="612" w:type="pct"/>
            <w:tcBorders>
              <w:top w:val="single" w:sz="4" w:space="0" w:color="auto"/>
            </w:tcBorders>
            <w:vAlign w:val="bottom"/>
          </w:tcPr>
          <w:p w:rsidR="0064412E" w:rsidRPr="00074F91" w:rsidRDefault="0047287C" w:rsidP="0062786B">
            <w:pPr>
              <w:keepNext/>
              <w:jc w:val="right"/>
              <w:rPr>
                <w:color w:val="000000"/>
                <w:sz w:val="20"/>
                <w:szCs w:val="20"/>
              </w:rPr>
            </w:pPr>
            <w:r w:rsidRPr="00074F91">
              <w:rPr>
                <w:color w:val="000000"/>
                <w:sz w:val="20"/>
                <w:szCs w:val="20"/>
              </w:rPr>
              <w:t>16 327</w:t>
            </w:r>
          </w:p>
        </w:tc>
      </w:tr>
      <w:tr w:rsidR="0064412E" w:rsidRPr="00074F91" w:rsidTr="0062786B">
        <w:trPr>
          <w:trHeight w:val="240"/>
        </w:trPr>
        <w:tc>
          <w:tcPr>
            <w:tcW w:w="1937" w:type="pct"/>
            <w:vAlign w:val="bottom"/>
          </w:tcPr>
          <w:p w:rsidR="0064412E" w:rsidRPr="00074F91" w:rsidRDefault="0064412E" w:rsidP="0062786B">
            <w:pPr>
              <w:keepNext/>
              <w:rPr>
                <w:sz w:val="20"/>
                <w:szCs w:val="20"/>
              </w:rPr>
            </w:pPr>
            <w:r w:rsidRPr="00074F91">
              <w:rPr>
                <w:sz w:val="20"/>
                <w:szCs w:val="20"/>
              </w:rPr>
              <w:t>Vážený průměr počtu kmenových akcií</w:t>
            </w:r>
          </w:p>
        </w:tc>
        <w:tc>
          <w:tcPr>
            <w:tcW w:w="537" w:type="pct"/>
            <w:vAlign w:val="bottom"/>
          </w:tcPr>
          <w:p w:rsidR="0064412E" w:rsidRPr="00074F91" w:rsidRDefault="0064412E" w:rsidP="0062786B">
            <w:pPr>
              <w:keepNext/>
              <w:jc w:val="right"/>
              <w:rPr>
                <w:sz w:val="20"/>
                <w:szCs w:val="20"/>
              </w:rPr>
            </w:pPr>
            <w:r w:rsidRPr="00074F91">
              <w:rPr>
                <w:sz w:val="20"/>
                <w:szCs w:val="20"/>
              </w:rPr>
              <w:t>počet</w:t>
            </w:r>
          </w:p>
        </w:tc>
        <w:tc>
          <w:tcPr>
            <w:tcW w:w="612" w:type="pct"/>
            <w:vAlign w:val="bottom"/>
          </w:tcPr>
          <w:p w:rsidR="0064412E" w:rsidRPr="00074F91" w:rsidRDefault="0064412E" w:rsidP="0062786B">
            <w:pPr>
              <w:keepNext/>
              <w:jc w:val="right"/>
              <w:rPr>
                <w:sz w:val="20"/>
                <w:szCs w:val="20"/>
              </w:rPr>
            </w:pPr>
            <w:r w:rsidRPr="00074F91">
              <w:rPr>
                <w:sz w:val="20"/>
                <w:szCs w:val="20"/>
              </w:rPr>
              <w:t xml:space="preserve">9 229 400 </w:t>
            </w:r>
          </w:p>
        </w:tc>
        <w:tc>
          <w:tcPr>
            <w:tcW w:w="613" w:type="pct"/>
            <w:vAlign w:val="bottom"/>
          </w:tcPr>
          <w:p w:rsidR="0064412E" w:rsidRPr="00074F91" w:rsidRDefault="0064412E" w:rsidP="0062786B">
            <w:pPr>
              <w:keepNext/>
              <w:jc w:val="right"/>
              <w:rPr>
                <w:sz w:val="20"/>
                <w:szCs w:val="20"/>
              </w:rPr>
            </w:pPr>
            <w:r w:rsidRPr="00074F91">
              <w:rPr>
                <w:sz w:val="20"/>
                <w:szCs w:val="20"/>
              </w:rPr>
              <w:t xml:space="preserve">9 229 400 </w:t>
            </w:r>
          </w:p>
        </w:tc>
        <w:tc>
          <w:tcPr>
            <w:tcW w:w="689" w:type="pct"/>
            <w:vAlign w:val="bottom"/>
          </w:tcPr>
          <w:p w:rsidR="0064412E" w:rsidRPr="00074F91" w:rsidRDefault="0064412E" w:rsidP="0062786B">
            <w:pPr>
              <w:keepNext/>
              <w:jc w:val="right"/>
              <w:rPr>
                <w:color w:val="000000"/>
                <w:sz w:val="20"/>
                <w:szCs w:val="20"/>
              </w:rPr>
            </w:pPr>
            <w:r w:rsidRPr="00074F91">
              <w:rPr>
                <w:color w:val="000000"/>
                <w:sz w:val="20"/>
                <w:szCs w:val="20"/>
              </w:rPr>
              <w:t xml:space="preserve">9 229 400 </w:t>
            </w:r>
          </w:p>
        </w:tc>
        <w:tc>
          <w:tcPr>
            <w:tcW w:w="612" w:type="pct"/>
            <w:vAlign w:val="bottom"/>
          </w:tcPr>
          <w:p w:rsidR="0064412E" w:rsidRPr="00074F91" w:rsidRDefault="0064412E" w:rsidP="0062786B">
            <w:pPr>
              <w:keepNext/>
              <w:jc w:val="right"/>
              <w:rPr>
                <w:color w:val="000000"/>
                <w:sz w:val="20"/>
                <w:szCs w:val="20"/>
              </w:rPr>
            </w:pPr>
            <w:r w:rsidRPr="00074F91">
              <w:rPr>
                <w:color w:val="000000"/>
                <w:sz w:val="20"/>
                <w:szCs w:val="20"/>
              </w:rPr>
              <w:t xml:space="preserve">9 229 400 </w:t>
            </w:r>
          </w:p>
        </w:tc>
      </w:tr>
      <w:tr w:rsidR="0064412E" w:rsidRPr="00074F91" w:rsidTr="0062786B">
        <w:trPr>
          <w:trHeight w:val="240"/>
        </w:trPr>
        <w:tc>
          <w:tcPr>
            <w:tcW w:w="1937" w:type="pct"/>
            <w:tcBorders>
              <w:bottom w:val="single" w:sz="12" w:space="0" w:color="auto"/>
            </w:tcBorders>
            <w:vAlign w:val="bottom"/>
          </w:tcPr>
          <w:p w:rsidR="0064412E" w:rsidRPr="00074F91" w:rsidRDefault="0064412E" w:rsidP="0062786B">
            <w:pPr>
              <w:keepNext/>
              <w:rPr>
                <w:b/>
                <w:sz w:val="20"/>
                <w:szCs w:val="20"/>
              </w:rPr>
            </w:pPr>
            <w:r w:rsidRPr="00074F91">
              <w:rPr>
                <w:b/>
                <w:sz w:val="20"/>
                <w:szCs w:val="20"/>
              </w:rPr>
              <w:t>Základní ukazatel zisku na akcii</w:t>
            </w:r>
          </w:p>
        </w:tc>
        <w:tc>
          <w:tcPr>
            <w:tcW w:w="537" w:type="pct"/>
            <w:tcBorders>
              <w:bottom w:val="single" w:sz="12" w:space="0" w:color="auto"/>
            </w:tcBorders>
            <w:vAlign w:val="bottom"/>
          </w:tcPr>
          <w:p w:rsidR="0064412E" w:rsidRPr="00074F91" w:rsidRDefault="0064412E" w:rsidP="0062786B">
            <w:pPr>
              <w:keepNext/>
              <w:jc w:val="right"/>
              <w:rPr>
                <w:b/>
                <w:sz w:val="20"/>
                <w:szCs w:val="20"/>
              </w:rPr>
            </w:pPr>
            <w:r w:rsidRPr="00074F91">
              <w:rPr>
                <w:b/>
                <w:sz w:val="20"/>
                <w:szCs w:val="20"/>
              </w:rPr>
              <w:t>EUR</w:t>
            </w:r>
          </w:p>
        </w:tc>
        <w:tc>
          <w:tcPr>
            <w:tcW w:w="612" w:type="pct"/>
            <w:tcBorders>
              <w:bottom w:val="single" w:sz="12" w:space="0" w:color="auto"/>
            </w:tcBorders>
            <w:vAlign w:val="bottom"/>
          </w:tcPr>
          <w:p w:rsidR="0064412E" w:rsidRPr="00074F91" w:rsidRDefault="0064412E" w:rsidP="0062786B">
            <w:pPr>
              <w:keepNext/>
              <w:jc w:val="right"/>
              <w:rPr>
                <w:b/>
                <w:sz w:val="20"/>
                <w:szCs w:val="20"/>
              </w:rPr>
            </w:pPr>
            <w:r w:rsidRPr="00074F91">
              <w:rPr>
                <w:b/>
                <w:sz w:val="20"/>
                <w:szCs w:val="20"/>
              </w:rPr>
              <w:t>0,54</w:t>
            </w:r>
          </w:p>
        </w:tc>
        <w:tc>
          <w:tcPr>
            <w:tcW w:w="613" w:type="pct"/>
            <w:tcBorders>
              <w:bottom w:val="single" w:sz="12" w:space="0" w:color="auto"/>
            </w:tcBorders>
            <w:vAlign w:val="bottom"/>
          </w:tcPr>
          <w:p w:rsidR="0064412E" w:rsidRPr="00074F91" w:rsidRDefault="008D1343" w:rsidP="0062786B">
            <w:pPr>
              <w:keepNext/>
              <w:jc w:val="right"/>
              <w:rPr>
                <w:b/>
                <w:sz w:val="20"/>
                <w:szCs w:val="20"/>
              </w:rPr>
            </w:pPr>
            <w:r w:rsidRPr="00074F91">
              <w:rPr>
                <w:b/>
                <w:sz w:val="20"/>
                <w:szCs w:val="20"/>
              </w:rPr>
              <w:t>0,21</w:t>
            </w:r>
          </w:p>
        </w:tc>
        <w:tc>
          <w:tcPr>
            <w:tcW w:w="689" w:type="pct"/>
            <w:tcBorders>
              <w:bottom w:val="single" w:sz="12" w:space="0" w:color="auto"/>
            </w:tcBorders>
            <w:vAlign w:val="bottom"/>
          </w:tcPr>
          <w:p w:rsidR="0064412E" w:rsidRPr="00074F91" w:rsidRDefault="0064412E" w:rsidP="0062786B">
            <w:pPr>
              <w:keepNext/>
              <w:jc w:val="right"/>
              <w:rPr>
                <w:b/>
                <w:color w:val="000000"/>
                <w:sz w:val="20"/>
                <w:szCs w:val="20"/>
              </w:rPr>
            </w:pPr>
            <w:r w:rsidRPr="00074F91">
              <w:rPr>
                <w:b/>
                <w:color w:val="000000"/>
                <w:sz w:val="20"/>
                <w:szCs w:val="20"/>
              </w:rPr>
              <w:t>1,14</w:t>
            </w:r>
          </w:p>
        </w:tc>
        <w:tc>
          <w:tcPr>
            <w:tcW w:w="612" w:type="pct"/>
            <w:tcBorders>
              <w:bottom w:val="single" w:sz="12" w:space="0" w:color="auto"/>
            </w:tcBorders>
            <w:vAlign w:val="bottom"/>
          </w:tcPr>
          <w:p w:rsidR="0064412E" w:rsidRPr="00074F91" w:rsidRDefault="0047287C" w:rsidP="0062786B">
            <w:pPr>
              <w:keepNext/>
              <w:jc w:val="right"/>
              <w:rPr>
                <w:b/>
                <w:color w:val="000000"/>
                <w:sz w:val="20"/>
                <w:szCs w:val="20"/>
              </w:rPr>
            </w:pPr>
            <w:r w:rsidRPr="00074F91">
              <w:rPr>
                <w:b/>
                <w:color w:val="000000"/>
                <w:sz w:val="20"/>
                <w:szCs w:val="20"/>
              </w:rPr>
              <w:t>1,77</w:t>
            </w:r>
          </w:p>
        </w:tc>
      </w:tr>
    </w:tbl>
    <w:p w:rsidR="00790A4E" w:rsidRDefault="00790A4E">
      <w:pPr>
        <w:rPr>
          <w:b/>
          <w:i/>
          <w:sz w:val="20"/>
          <w:szCs w:val="20"/>
        </w:rPr>
      </w:pPr>
    </w:p>
    <w:p w:rsidR="00603647" w:rsidRDefault="00603647">
      <w:pPr>
        <w:rPr>
          <w:b/>
          <w:i/>
          <w:sz w:val="20"/>
          <w:szCs w:val="20"/>
        </w:rPr>
      </w:pPr>
    </w:p>
    <w:p w:rsidR="001F390A" w:rsidRPr="0062786B" w:rsidRDefault="001F390A" w:rsidP="001F390A">
      <w:pPr>
        <w:keepNext/>
        <w:jc w:val="both"/>
        <w:rPr>
          <w:b/>
          <w:i/>
        </w:rPr>
      </w:pPr>
      <w:r w:rsidRPr="0062786B">
        <w:rPr>
          <w:b/>
          <w:i/>
        </w:rPr>
        <w:t>Zředěný ukazatel zisku na akcii</w:t>
      </w:r>
    </w:p>
    <w:p w:rsidR="001F390A" w:rsidRPr="00074F91" w:rsidRDefault="001F390A" w:rsidP="001F390A">
      <w:pPr>
        <w:keepNext/>
        <w:jc w:val="both"/>
        <w:rPr>
          <w:b/>
          <w:i/>
          <w:sz w:val="20"/>
          <w:szCs w:val="20"/>
        </w:rPr>
      </w:pPr>
    </w:p>
    <w:tbl>
      <w:tblPr>
        <w:tblW w:w="4984" w:type="pct"/>
        <w:tblLayout w:type="fixed"/>
        <w:tblLook w:val="01E0" w:firstRow="1" w:lastRow="1" w:firstColumn="1" w:lastColumn="1" w:noHBand="0" w:noVBand="0"/>
      </w:tblPr>
      <w:tblGrid>
        <w:gridCol w:w="3589"/>
        <w:gridCol w:w="994"/>
        <w:gridCol w:w="1133"/>
        <w:gridCol w:w="1135"/>
        <w:gridCol w:w="1276"/>
        <w:gridCol w:w="1131"/>
      </w:tblGrid>
      <w:tr w:rsidR="001F390A" w:rsidRPr="00074F91" w:rsidTr="0062786B">
        <w:trPr>
          <w:trHeight w:val="240"/>
        </w:trPr>
        <w:tc>
          <w:tcPr>
            <w:tcW w:w="1938" w:type="pct"/>
            <w:tcBorders>
              <w:top w:val="single" w:sz="12" w:space="0" w:color="auto"/>
              <w:bottom w:val="single" w:sz="4" w:space="0" w:color="auto"/>
            </w:tcBorders>
            <w:vAlign w:val="bottom"/>
          </w:tcPr>
          <w:p w:rsidR="001F390A" w:rsidRPr="00074F91" w:rsidRDefault="001F390A" w:rsidP="0022606E">
            <w:pPr>
              <w:jc w:val="right"/>
              <w:rPr>
                <w:sz w:val="20"/>
                <w:szCs w:val="20"/>
              </w:rPr>
            </w:pPr>
          </w:p>
        </w:tc>
        <w:tc>
          <w:tcPr>
            <w:tcW w:w="537" w:type="pct"/>
            <w:tcBorders>
              <w:top w:val="single" w:sz="12" w:space="0" w:color="auto"/>
              <w:bottom w:val="single" w:sz="4" w:space="0" w:color="auto"/>
            </w:tcBorders>
            <w:vAlign w:val="bottom"/>
          </w:tcPr>
          <w:p w:rsidR="001F390A" w:rsidRPr="00074F91" w:rsidRDefault="001F390A" w:rsidP="0022606E">
            <w:pPr>
              <w:jc w:val="right"/>
              <w:rPr>
                <w:sz w:val="20"/>
                <w:szCs w:val="20"/>
              </w:rPr>
            </w:pPr>
          </w:p>
        </w:tc>
        <w:tc>
          <w:tcPr>
            <w:tcW w:w="1225" w:type="pct"/>
            <w:gridSpan w:val="2"/>
            <w:tcBorders>
              <w:top w:val="single" w:sz="12" w:space="0" w:color="auto"/>
              <w:bottom w:val="single" w:sz="4" w:space="0" w:color="auto"/>
            </w:tcBorders>
            <w:vAlign w:val="bottom"/>
          </w:tcPr>
          <w:p w:rsidR="001F390A" w:rsidRPr="00074F91" w:rsidRDefault="001F390A" w:rsidP="0022606E">
            <w:pPr>
              <w:jc w:val="right"/>
              <w:rPr>
                <w:b/>
                <w:sz w:val="20"/>
                <w:szCs w:val="20"/>
              </w:rPr>
            </w:pPr>
            <w:r w:rsidRPr="00074F91">
              <w:rPr>
                <w:b/>
                <w:sz w:val="20"/>
                <w:szCs w:val="20"/>
              </w:rPr>
              <w:t>Za 3 měsíce končící</w:t>
            </w:r>
          </w:p>
        </w:tc>
        <w:tc>
          <w:tcPr>
            <w:tcW w:w="1300" w:type="pct"/>
            <w:gridSpan w:val="2"/>
            <w:tcBorders>
              <w:top w:val="single" w:sz="12" w:space="0" w:color="auto"/>
              <w:bottom w:val="single" w:sz="4" w:space="0" w:color="auto"/>
            </w:tcBorders>
          </w:tcPr>
          <w:p w:rsidR="001F390A" w:rsidRPr="00074F91" w:rsidRDefault="001F390A" w:rsidP="0022606E">
            <w:pPr>
              <w:jc w:val="right"/>
              <w:rPr>
                <w:b/>
                <w:sz w:val="20"/>
                <w:szCs w:val="20"/>
              </w:rPr>
            </w:pPr>
            <w:r w:rsidRPr="00074F91">
              <w:rPr>
                <w:b/>
                <w:sz w:val="20"/>
                <w:szCs w:val="20"/>
              </w:rPr>
              <w:t>Za 6 měsíců končících</w:t>
            </w:r>
          </w:p>
        </w:tc>
      </w:tr>
      <w:tr w:rsidR="00E3384A" w:rsidRPr="00074F91" w:rsidTr="0062786B">
        <w:trPr>
          <w:trHeight w:val="240"/>
        </w:trPr>
        <w:tc>
          <w:tcPr>
            <w:tcW w:w="1938" w:type="pct"/>
            <w:tcBorders>
              <w:top w:val="single" w:sz="12" w:space="0" w:color="auto"/>
              <w:bottom w:val="single" w:sz="4" w:space="0" w:color="auto"/>
            </w:tcBorders>
            <w:vAlign w:val="bottom"/>
          </w:tcPr>
          <w:p w:rsidR="00E3384A" w:rsidRPr="00074F91" w:rsidRDefault="00E3384A" w:rsidP="0022606E">
            <w:pPr>
              <w:jc w:val="right"/>
              <w:rPr>
                <w:sz w:val="20"/>
                <w:szCs w:val="20"/>
              </w:rPr>
            </w:pPr>
          </w:p>
        </w:tc>
        <w:tc>
          <w:tcPr>
            <w:tcW w:w="537" w:type="pct"/>
            <w:tcBorders>
              <w:top w:val="single" w:sz="12" w:space="0" w:color="auto"/>
              <w:bottom w:val="single" w:sz="4" w:space="0" w:color="auto"/>
            </w:tcBorders>
            <w:vAlign w:val="bottom"/>
          </w:tcPr>
          <w:p w:rsidR="00E3384A" w:rsidRPr="00074F91" w:rsidRDefault="00E3384A" w:rsidP="0022606E">
            <w:pPr>
              <w:jc w:val="right"/>
              <w:rPr>
                <w:sz w:val="20"/>
                <w:szCs w:val="20"/>
              </w:rPr>
            </w:pPr>
          </w:p>
        </w:tc>
        <w:tc>
          <w:tcPr>
            <w:tcW w:w="612" w:type="pct"/>
            <w:tcBorders>
              <w:top w:val="single" w:sz="12" w:space="0" w:color="auto"/>
              <w:bottom w:val="single" w:sz="4" w:space="0" w:color="auto"/>
            </w:tcBorders>
            <w:vAlign w:val="bottom"/>
          </w:tcPr>
          <w:p w:rsidR="00E3384A" w:rsidRPr="00074F91" w:rsidRDefault="00E3384A" w:rsidP="00EA6AA7">
            <w:pPr>
              <w:jc w:val="right"/>
              <w:rPr>
                <w:b/>
                <w:color w:val="000000"/>
                <w:sz w:val="20"/>
                <w:szCs w:val="20"/>
              </w:rPr>
            </w:pPr>
            <w:r w:rsidRPr="00074F91">
              <w:rPr>
                <w:b/>
                <w:color w:val="000000"/>
                <w:sz w:val="20"/>
                <w:szCs w:val="20"/>
              </w:rPr>
              <w:t>30/6/2014</w:t>
            </w:r>
          </w:p>
        </w:tc>
        <w:tc>
          <w:tcPr>
            <w:tcW w:w="613" w:type="pct"/>
            <w:tcBorders>
              <w:top w:val="single" w:sz="12" w:space="0" w:color="auto"/>
              <w:bottom w:val="single" w:sz="4" w:space="0" w:color="auto"/>
            </w:tcBorders>
            <w:vAlign w:val="bottom"/>
          </w:tcPr>
          <w:p w:rsidR="00E3384A" w:rsidRPr="00074F91" w:rsidRDefault="00E3384A" w:rsidP="0022606E">
            <w:pPr>
              <w:jc w:val="right"/>
              <w:rPr>
                <w:b/>
                <w:color w:val="000000"/>
                <w:sz w:val="20"/>
                <w:szCs w:val="20"/>
              </w:rPr>
            </w:pPr>
            <w:r w:rsidRPr="00074F91">
              <w:rPr>
                <w:b/>
                <w:color w:val="000000"/>
                <w:sz w:val="20"/>
                <w:szCs w:val="20"/>
              </w:rPr>
              <w:t>30/6/2015</w:t>
            </w:r>
          </w:p>
        </w:tc>
        <w:tc>
          <w:tcPr>
            <w:tcW w:w="689" w:type="pct"/>
            <w:tcBorders>
              <w:top w:val="single" w:sz="12" w:space="0" w:color="auto"/>
              <w:bottom w:val="single" w:sz="4" w:space="0" w:color="auto"/>
            </w:tcBorders>
            <w:vAlign w:val="bottom"/>
          </w:tcPr>
          <w:p w:rsidR="00E3384A" w:rsidRPr="00074F91" w:rsidRDefault="00E3384A" w:rsidP="00EA6AA7">
            <w:pPr>
              <w:jc w:val="right"/>
              <w:rPr>
                <w:b/>
                <w:color w:val="000000"/>
                <w:sz w:val="20"/>
                <w:szCs w:val="20"/>
              </w:rPr>
            </w:pPr>
            <w:r w:rsidRPr="00074F91">
              <w:rPr>
                <w:b/>
                <w:color w:val="000000"/>
                <w:sz w:val="20"/>
                <w:szCs w:val="20"/>
              </w:rPr>
              <w:t>30/6/2014</w:t>
            </w:r>
          </w:p>
        </w:tc>
        <w:tc>
          <w:tcPr>
            <w:tcW w:w="611" w:type="pct"/>
            <w:tcBorders>
              <w:top w:val="single" w:sz="12" w:space="0" w:color="auto"/>
              <w:bottom w:val="single" w:sz="4" w:space="0" w:color="auto"/>
            </w:tcBorders>
            <w:vAlign w:val="bottom"/>
          </w:tcPr>
          <w:p w:rsidR="00E3384A" w:rsidRPr="00074F91" w:rsidRDefault="00E3384A" w:rsidP="0022606E">
            <w:pPr>
              <w:jc w:val="right"/>
              <w:rPr>
                <w:b/>
                <w:color w:val="000000"/>
                <w:sz w:val="20"/>
                <w:szCs w:val="20"/>
              </w:rPr>
            </w:pPr>
            <w:r w:rsidRPr="00074F91">
              <w:rPr>
                <w:b/>
                <w:color w:val="000000"/>
                <w:sz w:val="20"/>
                <w:szCs w:val="20"/>
              </w:rPr>
              <w:t>30/6/2015</w:t>
            </w:r>
          </w:p>
        </w:tc>
      </w:tr>
      <w:tr w:rsidR="00E3384A" w:rsidRPr="00074F91" w:rsidTr="0062786B">
        <w:trPr>
          <w:trHeight w:val="240"/>
        </w:trPr>
        <w:tc>
          <w:tcPr>
            <w:tcW w:w="1938" w:type="pct"/>
            <w:tcBorders>
              <w:top w:val="single" w:sz="4" w:space="0" w:color="auto"/>
            </w:tcBorders>
            <w:vAlign w:val="bottom"/>
          </w:tcPr>
          <w:p w:rsidR="00E3384A" w:rsidRPr="00074F91" w:rsidRDefault="00E3384A" w:rsidP="0022606E">
            <w:pPr>
              <w:rPr>
                <w:sz w:val="20"/>
                <w:szCs w:val="20"/>
              </w:rPr>
            </w:pPr>
            <w:r w:rsidRPr="00074F91">
              <w:rPr>
                <w:sz w:val="20"/>
                <w:szCs w:val="20"/>
              </w:rPr>
              <w:t>Čistý zisk přiřaditelný akcionářům</w:t>
            </w:r>
          </w:p>
        </w:tc>
        <w:tc>
          <w:tcPr>
            <w:tcW w:w="537" w:type="pct"/>
            <w:tcBorders>
              <w:top w:val="single" w:sz="4" w:space="0" w:color="auto"/>
            </w:tcBorders>
            <w:vAlign w:val="bottom"/>
          </w:tcPr>
          <w:p w:rsidR="00E3384A" w:rsidRPr="00074F91" w:rsidRDefault="00E3384A" w:rsidP="0022606E">
            <w:pPr>
              <w:jc w:val="right"/>
              <w:rPr>
                <w:sz w:val="20"/>
                <w:szCs w:val="20"/>
              </w:rPr>
            </w:pPr>
            <w:r w:rsidRPr="00074F91">
              <w:rPr>
                <w:sz w:val="20"/>
                <w:szCs w:val="20"/>
              </w:rPr>
              <w:t xml:space="preserve">tis. EUR </w:t>
            </w:r>
          </w:p>
        </w:tc>
        <w:tc>
          <w:tcPr>
            <w:tcW w:w="612" w:type="pct"/>
            <w:tcBorders>
              <w:top w:val="single" w:sz="4" w:space="0" w:color="auto"/>
            </w:tcBorders>
            <w:vAlign w:val="bottom"/>
          </w:tcPr>
          <w:p w:rsidR="00E3384A" w:rsidRPr="00074F91" w:rsidRDefault="00E3384A" w:rsidP="00EA6AA7">
            <w:pPr>
              <w:jc w:val="right"/>
              <w:rPr>
                <w:sz w:val="20"/>
                <w:szCs w:val="20"/>
              </w:rPr>
            </w:pPr>
            <w:r w:rsidRPr="00074F91">
              <w:rPr>
                <w:bCs/>
                <w:sz w:val="20"/>
                <w:szCs w:val="20"/>
              </w:rPr>
              <w:t>4 997</w:t>
            </w:r>
          </w:p>
        </w:tc>
        <w:tc>
          <w:tcPr>
            <w:tcW w:w="613" w:type="pct"/>
            <w:tcBorders>
              <w:top w:val="single" w:sz="4" w:space="0" w:color="auto"/>
            </w:tcBorders>
            <w:vAlign w:val="bottom"/>
          </w:tcPr>
          <w:p w:rsidR="00E3384A" w:rsidRPr="00074F91" w:rsidRDefault="0047287C" w:rsidP="0022606E">
            <w:pPr>
              <w:jc w:val="right"/>
              <w:rPr>
                <w:sz w:val="20"/>
                <w:szCs w:val="20"/>
              </w:rPr>
            </w:pPr>
            <w:r w:rsidRPr="00074F91">
              <w:rPr>
                <w:bCs/>
                <w:sz w:val="20"/>
                <w:szCs w:val="20"/>
              </w:rPr>
              <w:t>1 969</w:t>
            </w:r>
          </w:p>
        </w:tc>
        <w:tc>
          <w:tcPr>
            <w:tcW w:w="689" w:type="pct"/>
            <w:tcBorders>
              <w:top w:val="single" w:sz="4" w:space="0" w:color="auto"/>
            </w:tcBorders>
            <w:vAlign w:val="bottom"/>
          </w:tcPr>
          <w:p w:rsidR="00E3384A" w:rsidRPr="00074F91" w:rsidRDefault="00E3384A" w:rsidP="00EA6AA7">
            <w:pPr>
              <w:jc w:val="right"/>
              <w:rPr>
                <w:color w:val="000000"/>
                <w:sz w:val="20"/>
                <w:szCs w:val="20"/>
              </w:rPr>
            </w:pPr>
            <w:r w:rsidRPr="00074F91">
              <w:rPr>
                <w:color w:val="000000"/>
                <w:sz w:val="20"/>
                <w:szCs w:val="20"/>
              </w:rPr>
              <w:t>10 533</w:t>
            </w:r>
          </w:p>
        </w:tc>
        <w:tc>
          <w:tcPr>
            <w:tcW w:w="611" w:type="pct"/>
            <w:tcBorders>
              <w:top w:val="single" w:sz="4" w:space="0" w:color="auto"/>
            </w:tcBorders>
            <w:vAlign w:val="bottom"/>
          </w:tcPr>
          <w:p w:rsidR="00E3384A" w:rsidRPr="00074F91" w:rsidRDefault="0047287C" w:rsidP="0022606E">
            <w:pPr>
              <w:jc w:val="right"/>
              <w:rPr>
                <w:color w:val="000000"/>
                <w:sz w:val="20"/>
                <w:szCs w:val="20"/>
              </w:rPr>
            </w:pPr>
            <w:r w:rsidRPr="00074F91">
              <w:rPr>
                <w:color w:val="000000"/>
                <w:sz w:val="20"/>
                <w:szCs w:val="20"/>
              </w:rPr>
              <w:t>16 327</w:t>
            </w:r>
          </w:p>
        </w:tc>
      </w:tr>
      <w:tr w:rsidR="00E3384A" w:rsidRPr="00074F91" w:rsidTr="0062786B">
        <w:trPr>
          <w:trHeight w:val="240"/>
        </w:trPr>
        <w:tc>
          <w:tcPr>
            <w:tcW w:w="1938" w:type="pct"/>
            <w:vAlign w:val="bottom"/>
          </w:tcPr>
          <w:p w:rsidR="00E3384A" w:rsidRPr="00074F91" w:rsidRDefault="00E3384A" w:rsidP="0022606E">
            <w:pPr>
              <w:rPr>
                <w:sz w:val="20"/>
                <w:szCs w:val="20"/>
              </w:rPr>
            </w:pPr>
            <w:r w:rsidRPr="00074F91">
              <w:rPr>
                <w:sz w:val="20"/>
                <w:szCs w:val="20"/>
              </w:rPr>
              <w:t>Vážený průměr počtu kmenových akcií</w:t>
            </w:r>
          </w:p>
        </w:tc>
        <w:tc>
          <w:tcPr>
            <w:tcW w:w="537" w:type="pct"/>
            <w:vAlign w:val="bottom"/>
          </w:tcPr>
          <w:p w:rsidR="00E3384A" w:rsidRPr="00074F91" w:rsidRDefault="00E3384A" w:rsidP="0022606E">
            <w:pPr>
              <w:jc w:val="right"/>
              <w:rPr>
                <w:sz w:val="20"/>
                <w:szCs w:val="20"/>
              </w:rPr>
            </w:pPr>
            <w:r w:rsidRPr="00074F91">
              <w:rPr>
                <w:sz w:val="20"/>
                <w:szCs w:val="20"/>
              </w:rPr>
              <w:t>počet</w:t>
            </w:r>
          </w:p>
        </w:tc>
        <w:tc>
          <w:tcPr>
            <w:tcW w:w="612" w:type="pct"/>
            <w:vAlign w:val="bottom"/>
          </w:tcPr>
          <w:p w:rsidR="00E3384A" w:rsidRPr="00074F91" w:rsidRDefault="00E3384A" w:rsidP="00EA6AA7">
            <w:pPr>
              <w:jc w:val="right"/>
              <w:rPr>
                <w:sz w:val="20"/>
                <w:szCs w:val="20"/>
              </w:rPr>
            </w:pPr>
            <w:r w:rsidRPr="00074F91">
              <w:rPr>
                <w:sz w:val="20"/>
                <w:szCs w:val="20"/>
              </w:rPr>
              <w:t xml:space="preserve">9 229 400 </w:t>
            </w:r>
          </w:p>
        </w:tc>
        <w:tc>
          <w:tcPr>
            <w:tcW w:w="613" w:type="pct"/>
            <w:vAlign w:val="bottom"/>
          </w:tcPr>
          <w:p w:rsidR="00E3384A" w:rsidRPr="00074F91" w:rsidRDefault="0047287C" w:rsidP="0022606E">
            <w:pPr>
              <w:jc w:val="right"/>
              <w:rPr>
                <w:sz w:val="20"/>
                <w:szCs w:val="20"/>
              </w:rPr>
            </w:pPr>
            <w:r w:rsidRPr="00074F91">
              <w:rPr>
                <w:sz w:val="20"/>
                <w:szCs w:val="20"/>
              </w:rPr>
              <w:t>9 371 673</w:t>
            </w:r>
          </w:p>
        </w:tc>
        <w:tc>
          <w:tcPr>
            <w:tcW w:w="689" w:type="pct"/>
            <w:vAlign w:val="bottom"/>
          </w:tcPr>
          <w:p w:rsidR="00E3384A" w:rsidRPr="00074F91" w:rsidRDefault="00E3384A" w:rsidP="00EA6AA7">
            <w:pPr>
              <w:jc w:val="right"/>
              <w:rPr>
                <w:color w:val="000000"/>
                <w:sz w:val="20"/>
                <w:szCs w:val="20"/>
              </w:rPr>
            </w:pPr>
            <w:r w:rsidRPr="00074F91">
              <w:rPr>
                <w:color w:val="000000"/>
                <w:sz w:val="20"/>
                <w:szCs w:val="20"/>
              </w:rPr>
              <w:t xml:space="preserve">9 229 400 </w:t>
            </w:r>
          </w:p>
        </w:tc>
        <w:tc>
          <w:tcPr>
            <w:tcW w:w="611" w:type="pct"/>
            <w:vAlign w:val="bottom"/>
          </w:tcPr>
          <w:p w:rsidR="00E3384A" w:rsidRPr="00074F91" w:rsidRDefault="0047287C" w:rsidP="0022606E">
            <w:pPr>
              <w:jc w:val="right"/>
              <w:rPr>
                <w:color w:val="000000"/>
                <w:sz w:val="20"/>
                <w:szCs w:val="20"/>
              </w:rPr>
            </w:pPr>
            <w:r w:rsidRPr="00074F91">
              <w:rPr>
                <w:color w:val="000000"/>
                <w:sz w:val="20"/>
                <w:szCs w:val="20"/>
              </w:rPr>
              <w:t>9 352 637</w:t>
            </w:r>
          </w:p>
        </w:tc>
      </w:tr>
      <w:tr w:rsidR="00E3384A" w:rsidRPr="00074F91" w:rsidTr="0062786B">
        <w:trPr>
          <w:trHeight w:val="240"/>
        </w:trPr>
        <w:tc>
          <w:tcPr>
            <w:tcW w:w="1938" w:type="pct"/>
            <w:tcBorders>
              <w:bottom w:val="single" w:sz="12" w:space="0" w:color="auto"/>
            </w:tcBorders>
            <w:vAlign w:val="bottom"/>
          </w:tcPr>
          <w:p w:rsidR="00E3384A" w:rsidRPr="00074F91" w:rsidRDefault="00E3384A" w:rsidP="0022606E">
            <w:pPr>
              <w:rPr>
                <w:b/>
                <w:sz w:val="20"/>
                <w:szCs w:val="20"/>
              </w:rPr>
            </w:pPr>
            <w:r w:rsidRPr="00074F91">
              <w:rPr>
                <w:b/>
                <w:sz w:val="20"/>
                <w:szCs w:val="20"/>
              </w:rPr>
              <w:t>Zředěný ukazatel zisku na akcii</w:t>
            </w:r>
          </w:p>
        </w:tc>
        <w:tc>
          <w:tcPr>
            <w:tcW w:w="537" w:type="pct"/>
            <w:tcBorders>
              <w:bottom w:val="single" w:sz="12" w:space="0" w:color="auto"/>
            </w:tcBorders>
            <w:vAlign w:val="bottom"/>
          </w:tcPr>
          <w:p w:rsidR="00E3384A" w:rsidRPr="00074F91" w:rsidRDefault="00E3384A" w:rsidP="0022606E">
            <w:pPr>
              <w:jc w:val="right"/>
              <w:rPr>
                <w:b/>
                <w:sz w:val="20"/>
                <w:szCs w:val="20"/>
              </w:rPr>
            </w:pPr>
            <w:r w:rsidRPr="00074F91">
              <w:rPr>
                <w:b/>
                <w:sz w:val="20"/>
                <w:szCs w:val="20"/>
              </w:rPr>
              <w:t>EUR</w:t>
            </w:r>
          </w:p>
        </w:tc>
        <w:tc>
          <w:tcPr>
            <w:tcW w:w="612" w:type="pct"/>
            <w:tcBorders>
              <w:bottom w:val="single" w:sz="12" w:space="0" w:color="auto"/>
            </w:tcBorders>
            <w:vAlign w:val="bottom"/>
          </w:tcPr>
          <w:p w:rsidR="00E3384A" w:rsidRPr="00074F91" w:rsidRDefault="00E3384A" w:rsidP="00EA6AA7">
            <w:pPr>
              <w:jc w:val="right"/>
              <w:rPr>
                <w:b/>
                <w:sz w:val="20"/>
                <w:szCs w:val="20"/>
              </w:rPr>
            </w:pPr>
            <w:r w:rsidRPr="00074F91">
              <w:rPr>
                <w:b/>
                <w:sz w:val="20"/>
                <w:szCs w:val="20"/>
              </w:rPr>
              <w:t>0,54</w:t>
            </w:r>
          </w:p>
        </w:tc>
        <w:tc>
          <w:tcPr>
            <w:tcW w:w="613" w:type="pct"/>
            <w:tcBorders>
              <w:bottom w:val="single" w:sz="12" w:space="0" w:color="auto"/>
            </w:tcBorders>
            <w:vAlign w:val="bottom"/>
          </w:tcPr>
          <w:p w:rsidR="00E3384A" w:rsidRPr="00074F91" w:rsidRDefault="0047287C" w:rsidP="001F390A">
            <w:pPr>
              <w:jc w:val="right"/>
              <w:rPr>
                <w:b/>
                <w:sz w:val="20"/>
                <w:szCs w:val="20"/>
              </w:rPr>
            </w:pPr>
            <w:r w:rsidRPr="00074F91">
              <w:rPr>
                <w:b/>
                <w:sz w:val="20"/>
                <w:szCs w:val="20"/>
              </w:rPr>
              <w:t>0,21</w:t>
            </w:r>
          </w:p>
        </w:tc>
        <w:tc>
          <w:tcPr>
            <w:tcW w:w="689" w:type="pct"/>
            <w:tcBorders>
              <w:bottom w:val="single" w:sz="12" w:space="0" w:color="auto"/>
            </w:tcBorders>
            <w:vAlign w:val="bottom"/>
          </w:tcPr>
          <w:p w:rsidR="00E3384A" w:rsidRPr="00074F91" w:rsidRDefault="00E3384A" w:rsidP="00EA6AA7">
            <w:pPr>
              <w:jc w:val="right"/>
              <w:rPr>
                <w:b/>
                <w:color w:val="000000"/>
                <w:sz w:val="20"/>
                <w:szCs w:val="20"/>
              </w:rPr>
            </w:pPr>
            <w:r w:rsidRPr="00074F91">
              <w:rPr>
                <w:b/>
                <w:color w:val="000000"/>
                <w:sz w:val="20"/>
                <w:szCs w:val="20"/>
              </w:rPr>
              <w:t>1,14</w:t>
            </w:r>
          </w:p>
        </w:tc>
        <w:tc>
          <w:tcPr>
            <w:tcW w:w="611" w:type="pct"/>
            <w:tcBorders>
              <w:bottom w:val="single" w:sz="12" w:space="0" w:color="auto"/>
            </w:tcBorders>
            <w:vAlign w:val="bottom"/>
          </w:tcPr>
          <w:p w:rsidR="00E3384A" w:rsidRPr="00074F91" w:rsidRDefault="0047287C" w:rsidP="0022606E">
            <w:pPr>
              <w:jc w:val="right"/>
              <w:rPr>
                <w:b/>
                <w:color w:val="000000"/>
                <w:sz w:val="20"/>
                <w:szCs w:val="20"/>
              </w:rPr>
            </w:pPr>
            <w:r w:rsidRPr="00074F91">
              <w:rPr>
                <w:b/>
                <w:color w:val="000000"/>
                <w:sz w:val="20"/>
                <w:szCs w:val="20"/>
              </w:rPr>
              <w:t>1,75</w:t>
            </w:r>
          </w:p>
        </w:tc>
      </w:tr>
    </w:tbl>
    <w:p w:rsidR="001F390A" w:rsidRPr="00074F91" w:rsidRDefault="001F390A" w:rsidP="00236FFC">
      <w:pPr>
        <w:keepNext/>
        <w:jc w:val="both"/>
        <w:rPr>
          <w:b/>
          <w:i/>
          <w:color w:val="000000"/>
        </w:rPr>
      </w:pPr>
    </w:p>
    <w:p w:rsidR="00236FFC" w:rsidRPr="00074F91" w:rsidRDefault="00236FFC" w:rsidP="00236FFC">
      <w:pPr>
        <w:pStyle w:val="Odstavecseseznamem1"/>
        <w:numPr>
          <w:ilvl w:val="0"/>
          <w:numId w:val="30"/>
        </w:numPr>
        <w:rPr>
          <w:rFonts w:ascii="Times New Roman" w:hAnsi="Times New Roman"/>
          <w:i/>
          <w:color w:val="000000"/>
          <w:sz w:val="24"/>
          <w:szCs w:val="24"/>
        </w:rPr>
      </w:pPr>
      <w:r w:rsidRPr="00074F91">
        <w:rPr>
          <w:rFonts w:ascii="Times New Roman" w:hAnsi="Times New Roman"/>
          <w:i/>
          <w:color w:val="000000"/>
          <w:sz w:val="24"/>
          <w:szCs w:val="24"/>
        </w:rPr>
        <w:t>Zpráva o vztazích</w:t>
      </w:r>
    </w:p>
    <w:p w:rsidR="00236FFC" w:rsidRPr="00074F91" w:rsidRDefault="00236FFC" w:rsidP="00236FFC">
      <w:pPr>
        <w:autoSpaceDE w:val="0"/>
        <w:autoSpaceDN w:val="0"/>
        <w:adjustRightInd w:val="0"/>
        <w:jc w:val="both"/>
        <w:rPr>
          <w:color w:val="000000"/>
          <w:szCs w:val="20"/>
        </w:rPr>
      </w:pPr>
      <w:r w:rsidRPr="00074F91">
        <w:rPr>
          <w:color w:val="000000"/>
          <w:szCs w:val="20"/>
        </w:rPr>
        <w:t>Kromě výše uvedených informací neexistovaly žádné další nové transakce mezi Skupinou a exekutivním managementem či neexekutivními ř</w:t>
      </w:r>
      <w:r w:rsidR="001F390A" w:rsidRPr="00074F91">
        <w:rPr>
          <w:color w:val="000000"/>
          <w:szCs w:val="20"/>
        </w:rPr>
        <w:t>editeli uzavřené v prvních šesti</w:t>
      </w:r>
      <w:r w:rsidRPr="00074F91">
        <w:rPr>
          <w:color w:val="000000"/>
          <w:szCs w:val="20"/>
        </w:rPr>
        <w:t xml:space="preserve"> měsících roku 201</w:t>
      </w:r>
      <w:r w:rsidR="00E3384A" w:rsidRPr="00074F91">
        <w:rPr>
          <w:color w:val="000000"/>
          <w:szCs w:val="20"/>
        </w:rPr>
        <w:t>5</w:t>
      </w:r>
      <w:r w:rsidRPr="00074F91">
        <w:rPr>
          <w:color w:val="000000"/>
          <w:szCs w:val="20"/>
        </w:rPr>
        <w:t>.</w:t>
      </w:r>
    </w:p>
    <w:p w:rsidR="00236FFC" w:rsidRPr="00074F91" w:rsidRDefault="00236FFC" w:rsidP="00236FFC">
      <w:pPr>
        <w:autoSpaceDE w:val="0"/>
        <w:autoSpaceDN w:val="0"/>
        <w:adjustRightInd w:val="0"/>
        <w:jc w:val="both"/>
        <w:rPr>
          <w:i/>
          <w:color w:val="000000"/>
          <w:lang w:eastAsia="en-US"/>
        </w:rPr>
      </w:pPr>
    </w:p>
    <w:p w:rsidR="00236FFC" w:rsidRPr="00074F91" w:rsidRDefault="00236FFC" w:rsidP="00236FFC">
      <w:pPr>
        <w:pStyle w:val="Odstavecseseznamem1"/>
        <w:numPr>
          <w:ilvl w:val="0"/>
          <w:numId w:val="30"/>
        </w:numPr>
        <w:rPr>
          <w:rFonts w:ascii="Times New Roman" w:hAnsi="Times New Roman"/>
          <w:i/>
          <w:color w:val="000000"/>
          <w:sz w:val="24"/>
          <w:szCs w:val="24"/>
        </w:rPr>
      </w:pPr>
      <w:r w:rsidRPr="00074F91">
        <w:rPr>
          <w:rFonts w:ascii="Times New Roman" w:hAnsi="Times New Roman"/>
          <w:i/>
          <w:color w:val="000000"/>
          <w:sz w:val="24"/>
          <w:szCs w:val="24"/>
        </w:rPr>
        <w:t>Schválení mezitímních účetních výkazů</w:t>
      </w:r>
    </w:p>
    <w:p w:rsidR="00236FFC" w:rsidRPr="00074F91" w:rsidRDefault="00236FFC" w:rsidP="00236FFC">
      <w:pPr>
        <w:autoSpaceDE w:val="0"/>
        <w:autoSpaceDN w:val="0"/>
        <w:adjustRightInd w:val="0"/>
        <w:jc w:val="both"/>
        <w:rPr>
          <w:color w:val="000000"/>
          <w:szCs w:val="20"/>
        </w:rPr>
      </w:pPr>
      <w:r w:rsidRPr="00074F91">
        <w:rPr>
          <w:color w:val="000000"/>
          <w:szCs w:val="20"/>
        </w:rPr>
        <w:t xml:space="preserve">Mezitímní účetní výkazy byly schváleny představenstvem Společnosti dne </w:t>
      </w:r>
      <w:r w:rsidRPr="004B12B9">
        <w:rPr>
          <w:color w:val="000000"/>
          <w:szCs w:val="20"/>
        </w:rPr>
        <w:t>2</w:t>
      </w:r>
      <w:r w:rsidR="004B12B9" w:rsidRPr="004B12B9">
        <w:rPr>
          <w:color w:val="000000"/>
          <w:szCs w:val="20"/>
        </w:rPr>
        <w:t>6</w:t>
      </w:r>
      <w:r w:rsidRPr="004B12B9">
        <w:rPr>
          <w:color w:val="000000"/>
          <w:szCs w:val="20"/>
        </w:rPr>
        <w:t xml:space="preserve">. </w:t>
      </w:r>
      <w:r w:rsidR="00C0551F" w:rsidRPr="004B12B9">
        <w:rPr>
          <w:color w:val="000000"/>
          <w:szCs w:val="20"/>
        </w:rPr>
        <w:t xml:space="preserve">srpna </w:t>
      </w:r>
      <w:r w:rsidRPr="004B12B9">
        <w:rPr>
          <w:color w:val="000000"/>
          <w:szCs w:val="20"/>
        </w:rPr>
        <w:t>201</w:t>
      </w:r>
      <w:r w:rsidR="00E3384A" w:rsidRPr="004B12B9">
        <w:rPr>
          <w:color w:val="000000"/>
          <w:szCs w:val="20"/>
        </w:rPr>
        <w:t>5</w:t>
      </w:r>
      <w:r w:rsidRPr="004B12B9">
        <w:rPr>
          <w:color w:val="000000"/>
          <w:szCs w:val="20"/>
        </w:rPr>
        <w:t>.</w:t>
      </w:r>
    </w:p>
    <w:p w:rsidR="00236FFC" w:rsidRPr="00074F91" w:rsidRDefault="00236FFC" w:rsidP="00236FFC"/>
    <w:p w:rsidR="00236FFC" w:rsidRPr="00074F91" w:rsidRDefault="00236FFC" w:rsidP="00236FFC"/>
    <w:p w:rsidR="00236FFC" w:rsidRPr="00074F91" w:rsidRDefault="00236FFC" w:rsidP="00236FFC"/>
    <w:p w:rsidR="00236FFC" w:rsidRPr="00074F91" w:rsidRDefault="00236FFC" w:rsidP="00236FFC"/>
    <w:p w:rsidR="00236FFC" w:rsidRPr="00074F91" w:rsidRDefault="00236FFC" w:rsidP="00236FFC"/>
    <w:p w:rsidR="00236FFC" w:rsidRPr="00074F91" w:rsidRDefault="00236FFC" w:rsidP="00236FFC"/>
    <w:p w:rsidR="00236FFC" w:rsidRPr="00074F91" w:rsidRDefault="00236FFC" w:rsidP="00236FFC"/>
    <w:p w:rsidR="00236FFC" w:rsidRPr="00074F91" w:rsidRDefault="00236FFC" w:rsidP="00236FFC"/>
    <w:tbl>
      <w:tblPr>
        <w:tblW w:w="0" w:type="auto"/>
        <w:jc w:val="center"/>
        <w:tblLook w:val="01E0" w:firstRow="1" w:lastRow="1" w:firstColumn="1" w:lastColumn="1" w:noHBand="0" w:noVBand="0"/>
      </w:tblPr>
      <w:tblGrid>
        <w:gridCol w:w="4606"/>
        <w:gridCol w:w="4606"/>
      </w:tblGrid>
      <w:tr w:rsidR="00236FFC" w:rsidRPr="00074F91" w:rsidTr="006D3AE4">
        <w:trPr>
          <w:jc w:val="center"/>
        </w:trPr>
        <w:tc>
          <w:tcPr>
            <w:tcW w:w="4606" w:type="dxa"/>
          </w:tcPr>
          <w:p w:rsidR="00236FFC" w:rsidRPr="00074F91" w:rsidRDefault="00236FFC" w:rsidP="006D3AE4">
            <w:pPr>
              <w:jc w:val="center"/>
              <w:rPr>
                <w:b/>
                <w:sz w:val="20"/>
                <w:szCs w:val="20"/>
              </w:rPr>
            </w:pPr>
            <w:r w:rsidRPr="00074F91">
              <w:rPr>
                <w:b/>
                <w:sz w:val="20"/>
                <w:szCs w:val="20"/>
              </w:rPr>
              <w:t>Marek Modecki</w:t>
            </w:r>
            <w:r w:rsidRPr="00074F91">
              <w:rPr>
                <w:b/>
                <w:sz w:val="20"/>
                <w:szCs w:val="20"/>
              </w:rPr>
              <w:br/>
              <w:t xml:space="preserve">předseda představenstva </w:t>
            </w:r>
            <w:r w:rsidRPr="00074F91">
              <w:rPr>
                <w:b/>
                <w:sz w:val="20"/>
                <w:szCs w:val="20"/>
              </w:rPr>
              <w:br/>
              <w:t>PEGAS NONWOVENS SA</w:t>
            </w:r>
          </w:p>
          <w:p w:rsidR="00236FFC" w:rsidRPr="00074F91" w:rsidRDefault="00236FFC" w:rsidP="006D3AE4">
            <w:pPr>
              <w:rPr>
                <w:b/>
                <w:sz w:val="20"/>
                <w:szCs w:val="20"/>
              </w:rPr>
            </w:pPr>
          </w:p>
        </w:tc>
        <w:tc>
          <w:tcPr>
            <w:tcW w:w="4606" w:type="dxa"/>
          </w:tcPr>
          <w:p w:rsidR="00236FFC" w:rsidRPr="00074F91" w:rsidRDefault="00236FFC" w:rsidP="006D3AE4">
            <w:pPr>
              <w:jc w:val="center"/>
              <w:rPr>
                <w:b/>
                <w:sz w:val="20"/>
                <w:szCs w:val="20"/>
              </w:rPr>
            </w:pPr>
            <w:r w:rsidRPr="00074F91">
              <w:rPr>
                <w:b/>
                <w:sz w:val="20"/>
                <w:szCs w:val="20"/>
              </w:rPr>
              <w:t>František Řezáč</w:t>
            </w:r>
            <w:r w:rsidRPr="00074F91">
              <w:rPr>
                <w:b/>
                <w:sz w:val="20"/>
                <w:szCs w:val="20"/>
              </w:rPr>
              <w:br/>
              <w:t xml:space="preserve">člen představenstva </w:t>
            </w:r>
            <w:r w:rsidRPr="00074F91">
              <w:rPr>
                <w:b/>
                <w:sz w:val="20"/>
                <w:szCs w:val="20"/>
              </w:rPr>
              <w:br/>
              <w:t>PEGAS NONWOVENS SA</w:t>
            </w:r>
          </w:p>
        </w:tc>
      </w:tr>
    </w:tbl>
    <w:p w:rsidR="00236FFC" w:rsidRPr="00074F91" w:rsidRDefault="00236FFC" w:rsidP="00236FFC"/>
    <w:p w:rsidR="00236FFC" w:rsidRPr="00074F91" w:rsidRDefault="00236FFC" w:rsidP="00236FFC">
      <w:pPr>
        <w:spacing w:line="120" w:lineRule="auto"/>
      </w:pPr>
    </w:p>
    <w:p w:rsidR="0020605C" w:rsidRPr="00074F91" w:rsidRDefault="0020605C" w:rsidP="0020605C"/>
    <w:p w:rsidR="000B06C8" w:rsidRPr="00074F91" w:rsidRDefault="00337DFB" w:rsidP="00C1072E">
      <w:pPr>
        <w:pStyle w:val="Heading1"/>
        <w:tabs>
          <w:tab w:val="num" w:pos="720"/>
        </w:tabs>
        <w:ind w:left="720" w:hanging="720"/>
        <w:rPr>
          <w:rFonts w:ascii="Times New Roman" w:hAnsi="Times New Roman" w:cs="Times New Roman"/>
        </w:rPr>
      </w:pPr>
      <w:r w:rsidRPr="00074F91">
        <w:rPr>
          <w:rFonts w:ascii="Times New Roman" w:hAnsi="Times New Roman" w:cs="Times New Roman"/>
        </w:rPr>
        <w:br w:type="page"/>
      </w:r>
      <w:bookmarkStart w:id="111" w:name="_Toc269907504"/>
      <w:bookmarkStart w:id="112" w:name="_Toc427918126"/>
      <w:r w:rsidR="00156755" w:rsidRPr="00074F91">
        <w:rPr>
          <w:rFonts w:ascii="Times New Roman" w:hAnsi="Times New Roman" w:cs="Times New Roman"/>
        </w:rPr>
        <w:lastRenderedPageBreak/>
        <w:t>Prohlášení</w:t>
      </w:r>
      <w:bookmarkEnd w:id="111"/>
      <w:bookmarkEnd w:id="112"/>
    </w:p>
    <w:p w:rsidR="008F42BE" w:rsidRPr="00074F91" w:rsidRDefault="008F42BE" w:rsidP="008F42BE"/>
    <w:p w:rsidR="00336F2D" w:rsidRPr="00074F91" w:rsidRDefault="004C285E" w:rsidP="00336F2D">
      <w:pPr>
        <w:jc w:val="both"/>
      </w:pPr>
      <w:r w:rsidRPr="00074F91">
        <w:t>Marek Modecki</w:t>
      </w:r>
      <w:r w:rsidR="00336F2D" w:rsidRPr="00074F91">
        <w:t xml:space="preserve">, </w:t>
      </w:r>
      <w:r w:rsidR="00DB5BE3" w:rsidRPr="00074F91">
        <w:t>předseda</w:t>
      </w:r>
      <w:r w:rsidR="00156755" w:rsidRPr="00074F91">
        <w:t xml:space="preserve"> představenstva </w:t>
      </w:r>
      <w:r w:rsidR="00DB5BE3" w:rsidRPr="00074F91">
        <w:t>PEGAS NONWOVENS SA a</w:t>
      </w:r>
    </w:p>
    <w:p w:rsidR="00336F2D" w:rsidRPr="00074F91" w:rsidRDefault="00336F2D" w:rsidP="00336F2D">
      <w:pPr>
        <w:jc w:val="both"/>
      </w:pPr>
    </w:p>
    <w:p w:rsidR="00DB5BE3" w:rsidRPr="00074F91" w:rsidRDefault="00DB5BE3" w:rsidP="00DB5BE3">
      <w:pPr>
        <w:jc w:val="both"/>
      </w:pPr>
      <w:r w:rsidRPr="00074F91">
        <w:t>František Řezáč, člen představenstva PEGAS NONWOVENS SA,</w:t>
      </w:r>
    </w:p>
    <w:p w:rsidR="00336F2D" w:rsidRPr="00074F91" w:rsidRDefault="00336F2D" w:rsidP="00336F2D">
      <w:pPr>
        <w:jc w:val="both"/>
      </w:pPr>
    </w:p>
    <w:p w:rsidR="00336F2D" w:rsidRPr="00074F91" w:rsidRDefault="00BF256B" w:rsidP="00336F2D">
      <w:pPr>
        <w:jc w:val="both"/>
      </w:pPr>
      <w:r w:rsidRPr="00074F91">
        <w:t>prohlašují, že dle jejich nejlepšího vědomí podávají finanční výkazy připravené v</w:t>
      </w:r>
      <w:r w:rsidR="007C2508" w:rsidRPr="00074F91">
        <w:t> </w:t>
      </w:r>
      <w:r w:rsidRPr="00074F91">
        <w:t>souladu</w:t>
      </w:r>
      <w:r w:rsidR="007C2508" w:rsidRPr="00074F91">
        <w:t xml:space="preserve"> </w:t>
      </w:r>
      <w:r w:rsidRPr="00074F91">
        <w:t>s účetními standardy pravdivý obraz o aktivech, závazcích, finanční pozici a zisku a ztrátě</w:t>
      </w:r>
      <w:r w:rsidR="007C2508" w:rsidRPr="00074F91">
        <w:t xml:space="preserve"> </w:t>
      </w:r>
      <w:r w:rsidRPr="00074F91">
        <w:t>Společnosti a o údajích zahrnutých v konsolidaci jako celku</w:t>
      </w:r>
      <w:r w:rsidR="00004F0D" w:rsidRPr="00074F91">
        <w:t xml:space="preserve"> </w:t>
      </w:r>
      <w:r w:rsidRPr="00074F91">
        <w:t xml:space="preserve">a že </w:t>
      </w:r>
      <w:r w:rsidR="005F25E4" w:rsidRPr="00074F91">
        <w:t xml:space="preserve">mezitímní </w:t>
      </w:r>
      <w:r w:rsidRPr="00074F91">
        <w:t>zpráva představenstva o obchodní činnosti uvádí pravdivé informace o rozvoji, obchodní výkonnosti, pozici Společnosti a o údajích zahrnutých v konsolidaci jako celku a také popisuje hlavní rizikové faktory a nejistoty, kterým je Společnost vystavena.</w:t>
      </w:r>
      <w:r w:rsidRPr="00074F91" w:rsidDel="00BF256B">
        <w:t xml:space="preserve"> </w:t>
      </w:r>
    </w:p>
    <w:p w:rsidR="00336F2D" w:rsidRPr="00074F91" w:rsidRDefault="00336F2D" w:rsidP="00336F2D">
      <w:pPr>
        <w:jc w:val="both"/>
      </w:pPr>
    </w:p>
    <w:p w:rsidR="00336F2D" w:rsidRPr="00074F91" w:rsidRDefault="00336F2D" w:rsidP="00336F2D">
      <w:pPr>
        <w:jc w:val="both"/>
      </w:pPr>
    </w:p>
    <w:p w:rsidR="00E43EBA" w:rsidRPr="00074F91" w:rsidRDefault="00C7777E" w:rsidP="00E43EBA">
      <w:pPr>
        <w:jc w:val="both"/>
      </w:pPr>
      <w:r w:rsidRPr="004B12B9">
        <w:t>2</w:t>
      </w:r>
      <w:r w:rsidR="004B12B9" w:rsidRPr="004B12B9">
        <w:t>6</w:t>
      </w:r>
      <w:r w:rsidR="00E3384A" w:rsidRPr="004B12B9">
        <w:t>. srpna 2015</w:t>
      </w:r>
    </w:p>
    <w:p w:rsidR="00D04E18" w:rsidRPr="00074F91" w:rsidRDefault="00D04E18" w:rsidP="00336F2D">
      <w:pPr>
        <w:jc w:val="both"/>
      </w:pPr>
    </w:p>
    <w:p w:rsidR="00E67E65" w:rsidRPr="00074F91" w:rsidRDefault="00E67E65" w:rsidP="00336F2D">
      <w:pPr>
        <w:jc w:val="both"/>
      </w:pPr>
    </w:p>
    <w:p w:rsidR="00D04E18" w:rsidRPr="00074F91" w:rsidRDefault="00D04E18" w:rsidP="00336F2D">
      <w:pPr>
        <w:jc w:val="both"/>
      </w:pPr>
    </w:p>
    <w:p w:rsidR="00E43EBA" w:rsidRPr="00074F91" w:rsidRDefault="00E43EBA" w:rsidP="00336F2D">
      <w:pPr>
        <w:jc w:val="both"/>
      </w:pPr>
    </w:p>
    <w:p w:rsidR="00E43EBA" w:rsidRPr="00074F91" w:rsidRDefault="00E43EBA" w:rsidP="00336F2D">
      <w:pPr>
        <w:jc w:val="both"/>
      </w:pPr>
    </w:p>
    <w:p w:rsidR="00BF256B" w:rsidRPr="00074F91" w:rsidRDefault="00BF256B" w:rsidP="00336F2D">
      <w:pPr>
        <w:jc w:val="both"/>
      </w:pPr>
    </w:p>
    <w:p w:rsidR="00336F2D" w:rsidRPr="00074F91" w:rsidRDefault="00336F2D" w:rsidP="00336F2D">
      <w:pPr>
        <w:jc w:val="both"/>
      </w:pPr>
    </w:p>
    <w:tbl>
      <w:tblPr>
        <w:tblW w:w="0" w:type="auto"/>
        <w:jc w:val="center"/>
        <w:tblLook w:val="01E0" w:firstRow="1" w:lastRow="1" w:firstColumn="1" w:lastColumn="1" w:noHBand="0" w:noVBand="0"/>
      </w:tblPr>
      <w:tblGrid>
        <w:gridCol w:w="4606"/>
        <w:gridCol w:w="4606"/>
      </w:tblGrid>
      <w:tr w:rsidR="00336F2D" w:rsidRPr="00074F91" w:rsidTr="00F86F85">
        <w:trPr>
          <w:jc w:val="center"/>
        </w:trPr>
        <w:tc>
          <w:tcPr>
            <w:tcW w:w="4606" w:type="dxa"/>
          </w:tcPr>
          <w:p w:rsidR="00336F2D" w:rsidRPr="00074F91" w:rsidRDefault="004C285E" w:rsidP="00F86F85">
            <w:pPr>
              <w:jc w:val="center"/>
              <w:rPr>
                <w:b/>
                <w:sz w:val="20"/>
                <w:szCs w:val="20"/>
              </w:rPr>
            </w:pPr>
            <w:r w:rsidRPr="00074F91">
              <w:rPr>
                <w:b/>
                <w:sz w:val="20"/>
                <w:szCs w:val="20"/>
              </w:rPr>
              <w:t>Marek Modecki</w:t>
            </w:r>
            <w:r w:rsidR="00336F2D" w:rsidRPr="00074F91">
              <w:rPr>
                <w:b/>
                <w:sz w:val="20"/>
                <w:szCs w:val="20"/>
              </w:rPr>
              <w:br/>
            </w:r>
            <w:r w:rsidR="00DB5BE3" w:rsidRPr="00074F91">
              <w:rPr>
                <w:b/>
                <w:sz w:val="20"/>
                <w:szCs w:val="20"/>
              </w:rPr>
              <w:t>Předseda</w:t>
            </w:r>
            <w:r w:rsidR="00552703" w:rsidRPr="00074F91">
              <w:rPr>
                <w:b/>
                <w:sz w:val="20"/>
                <w:szCs w:val="20"/>
              </w:rPr>
              <w:t xml:space="preserve"> představenstva</w:t>
            </w:r>
            <w:r w:rsidR="00336F2D" w:rsidRPr="00074F91">
              <w:rPr>
                <w:b/>
                <w:sz w:val="20"/>
                <w:szCs w:val="20"/>
              </w:rPr>
              <w:t xml:space="preserve"> </w:t>
            </w:r>
            <w:r w:rsidR="001E48CA" w:rsidRPr="00074F91">
              <w:rPr>
                <w:b/>
                <w:sz w:val="20"/>
                <w:szCs w:val="20"/>
              </w:rPr>
              <w:br/>
            </w:r>
            <w:r w:rsidR="00336F2D" w:rsidRPr="00074F91">
              <w:rPr>
                <w:b/>
                <w:sz w:val="20"/>
                <w:szCs w:val="20"/>
              </w:rPr>
              <w:t>PEGAS NONWOVENS SA</w:t>
            </w:r>
          </w:p>
          <w:p w:rsidR="00336F2D" w:rsidRPr="00074F91" w:rsidRDefault="00336F2D" w:rsidP="005D5701">
            <w:pPr>
              <w:rPr>
                <w:b/>
                <w:sz w:val="20"/>
                <w:szCs w:val="20"/>
              </w:rPr>
            </w:pPr>
          </w:p>
        </w:tc>
        <w:tc>
          <w:tcPr>
            <w:tcW w:w="4606" w:type="dxa"/>
          </w:tcPr>
          <w:p w:rsidR="00DB5BE3" w:rsidRPr="00074F91" w:rsidRDefault="00DB5BE3" w:rsidP="00DB5BE3">
            <w:pPr>
              <w:jc w:val="center"/>
              <w:rPr>
                <w:b/>
                <w:sz w:val="20"/>
                <w:szCs w:val="20"/>
              </w:rPr>
            </w:pPr>
            <w:r w:rsidRPr="00074F91">
              <w:rPr>
                <w:b/>
                <w:sz w:val="20"/>
                <w:szCs w:val="20"/>
              </w:rPr>
              <w:t>František Řezáč</w:t>
            </w:r>
            <w:r w:rsidRPr="00074F91">
              <w:rPr>
                <w:b/>
                <w:sz w:val="20"/>
                <w:szCs w:val="20"/>
              </w:rPr>
              <w:br/>
              <w:t xml:space="preserve">Člen představenstva </w:t>
            </w:r>
            <w:r w:rsidR="001E48CA" w:rsidRPr="00074F91">
              <w:rPr>
                <w:b/>
                <w:sz w:val="20"/>
                <w:szCs w:val="20"/>
              </w:rPr>
              <w:br/>
            </w:r>
            <w:r w:rsidRPr="00074F91">
              <w:rPr>
                <w:b/>
                <w:sz w:val="20"/>
                <w:szCs w:val="20"/>
              </w:rPr>
              <w:t>PEGAS NONWOVENS SA</w:t>
            </w:r>
          </w:p>
          <w:p w:rsidR="00336F2D" w:rsidRPr="00074F91" w:rsidRDefault="00336F2D" w:rsidP="00F86F85">
            <w:pPr>
              <w:jc w:val="center"/>
              <w:rPr>
                <w:b/>
                <w:sz w:val="20"/>
                <w:szCs w:val="20"/>
              </w:rPr>
            </w:pPr>
          </w:p>
        </w:tc>
      </w:tr>
    </w:tbl>
    <w:p w:rsidR="008F42BE" w:rsidRPr="00074F91" w:rsidRDefault="008F42BE" w:rsidP="008F42BE"/>
    <w:p w:rsidR="00F43D1F" w:rsidRPr="00074F91" w:rsidRDefault="00F43D1F" w:rsidP="00E20AE3">
      <w:pPr>
        <w:jc w:val="both"/>
      </w:pPr>
    </w:p>
    <w:p w:rsidR="00F43D1F" w:rsidRPr="00074F91" w:rsidRDefault="00F43D1F" w:rsidP="00E20AE3">
      <w:pPr>
        <w:jc w:val="both"/>
      </w:pPr>
    </w:p>
    <w:p w:rsidR="00F43D1F" w:rsidRPr="00074F91" w:rsidRDefault="00F43D1F" w:rsidP="00F43D1F">
      <w:pPr>
        <w:autoSpaceDE w:val="0"/>
        <w:autoSpaceDN w:val="0"/>
        <w:adjustRightInd w:val="0"/>
        <w:rPr>
          <w:sz w:val="17"/>
          <w:szCs w:val="17"/>
        </w:rPr>
        <w:sectPr w:rsidR="00F43D1F" w:rsidRPr="00074F91" w:rsidSect="00B520ED">
          <w:pgSz w:w="11906" w:h="16838"/>
          <w:pgMar w:top="1417" w:right="1417" w:bottom="1417" w:left="1417" w:header="708" w:footer="708" w:gutter="0"/>
          <w:cols w:space="708"/>
          <w:docGrid w:linePitch="360"/>
        </w:sectPr>
      </w:pPr>
    </w:p>
    <w:p w:rsidR="00F43D1F" w:rsidRPr="00074F91" w:rsidRDefault="00F43D1F" w:rsidP="00F43D1F">
      <w:pPr>
        <w:autoSpaceDE w:val="0"/>
        <w:autoSpaceDN w:val="0"/>
        <w:adjustRightInd w:val="0"/>
        <w:jc w:val="right"/>
        <w:rPr>
          <w:sz w:val="20"/>
          <w:szCs w:val="20"/>
        </w:rPr>
      </w:pPr>
      <w:r w:rsidRPr="00074F91">
        <w:rPr>
          <w:sz w:val="17"/>
          <w:szCs w:val="17"/>
        </w:rPr>
        <w:lastRenderedPageBreak/>
        <w:tab/>
      </w:r>
    </w:p>
    <w:p w:rsidR="00136A1A" w:rsidRPr="00074F91" w:rsidRDefault="00136A1A" w:rsidP="00136A1A">
      <w:pPr>
        <w:pStyle w:val="Heading1"/>
        <w:tabs>
          <w:tab w:val="num" w:pos="720"/>
        </w:tabs>
        <w:ind w:left="720" w:hanging="720"/>
        <w:rPr>
          <w:rFonts w:ascii="Times New Roman" w:hAnsi="Times New Roman" w:cs="Times New Roman"/>
        </w:rPr>
        <w:sectPr w:rsidR="00136A1A" w:rsidRPr="00074F91" w:rsidSect="00F43D1F">
          <w:type w:val="continuous"/>
          <w:pgSz w:w="11906" w:h="16838"/>
          <w:pgMar w:top="1417" w:right="1417" w:bottom="1417" w:left="1417" w:header="708" w:footer="708" w:gutter="0"/>
          <w:cols w:space="708"/>
          <w:docGrid w:linePitch="360"/>
        </w:sectPr>
      </w:pPr>
    </w:p>
    <w:p w:rsidR="007C6DCC" w:rsidRPr="00074F91" w:rsidRDefault="00552703" w:rsidP="00136A1A">
      <w:pPr>
        <w:pStyle w:val="Heading1"/>
        <w:tabs>
          <w:tab w:val="num" w:pos="720"/>
        </w:tabs>
        <w:ind w:left="720" w:hanging="720"/>
        <w:rPr>
          <w:rFonts w:ascii="Times New Roman" w:hAnsi="Times New Roman" w:cs="Times New Roman"/>
        </w:rPr>
      </w:pPr>
      <w:bookmarkStart w:id="113" w:name="_Toc269907505"/>
      <w:bookmarkStart w:id="114" w:name="_Toc427918127"/>
      <w:r w:rsidRPr="00074F91">
        <w:rPr>
          <w:rFonts w:ascii="Times New Roman" w:hAnsi="Times New Roman" w:cs="Times New Roman"/>
        </w:rPr>
        <w:lastRenderedPageBreak/>
        <w:t>Kontakty</w:t>
      </w:r>
      <w:bookmarkEnd w:id="113"/>
      <w:bookmarkEnd w:id="114"/>
    </w:p>
    <w:p w:rsidR="004A6A89" w:rsidRPr="00074F91" w:rsidRDefault="004A6A89" w:rsidP="004A6A89">
      <w:pPr>
        <w:rPr>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606"/>
        <w:gridCol w:w="4606"/>
      </w:tblGrid>
      <w:tr w:rsidR="0092001F" w:rsidRPr="00074F91" w:rsidTr="00F86F85">
        <w:tc>
          <w:tcPr>
            <w:tcW w:w="4606" w:type="dxa"/>
            <w:tcBorders>
              <w:top w:val="nil"/>
              <w:left w:val="nil"/>
              <w:right w:val="nil"/>
            </w:tcBorders>
          </w:tcPr>
          <w:p w:rsidR="0092001F" w:rsidRPr="00074F91" w:rsidRDefault="0092001F" w:rsidP="0089016E"/>
        </w:tc>
        <w:tc>
          <w:tcPr>
            <w:tcW w:w="4606" w:type="dxa"/>
            <w:tcBorders>
              <w:top w:val="nil"/>
              <w:left w:val="nil"/>
              <w:right w:val="nil"/>
            </w:tcBorders>
          </w:tcPr>
          <w:p w:rsidR="0092001F" w:rsidRPr="00074F91" w:rsidRDefault="0092001F" w:rsidP="004A6A89"/>
        </w:tc>
      </w:tr>
      <w:tr w:rsidR="0092001F" w:rsidRPr="00074F91" w:rsidTr="00F86F85">
        <w:tc>
          <w:tcPr>
            <w:tcW w:w="4606" w:type="dxa"/>
            <w:tcBorders>
              <w:top w:val="nil"/>
              <w:left w:val="nil"/>
              <w:right w:val="nil"/>
            </w:tcBorders>
          </w:tcPr>
          <w:p w:rsidR="0092001F" w:rsidRPr="00074F91" w:rsidRDefault="00FF1FB9" w:rsidP="0089016E">
            <w:r w:rsidRPr="00074F91">
              <w:t>PR/</w:t>
            </w:r>
            <w:r w:rsidR="00B81CE7" w:rsidRPr="00074F91">
              <w:t>IR Offi</w:t>
            </w:r>
            <w:r w:rsidR="0092001F" w:rsidRPr="00074F91">
              <w:t>cer</w:t>
            </w:r>
          </w:p>
          <w:p w:rsidR="0092001F" w:rsidRPr="00074F91" w:rsidRDefault="0092001F" w:rsidP="0089016E">
            <w:pPr>
              <w:rPr>
                <w:caps/>
              </w:rPr>
            </w:pPr>
            <w:r w:rsidRPr="00074F91">
              <w:rPr>
                <w:caps/>
              </w:rPr>
              <w:t>Pegas Nonwovens</w:t>
            </w:r>
          </w:p>
          <w:p w:rsidR="0092001F" w:rsidRPr="00074F91" w:rsidRDefault="00552703" w:rsidP="0089016E">
            <w:r w:rsidRPr="00074F91">
              <w:t>Tel.</w:t>
            </w:r>
            <w:r w:rsidR="0092001F" w:rsidRPr="00074F91">
              <w:t>: +420 515 262 4</w:t>
            </w:r>
            <w:r w:rsidR="001E48CA" w:rsidRPr="00074F91">
              <w:t>08</w:t>
            </w:r>
          </w:p>
          <w:p w:rsidR="0092001F" w:rsidRPr="00074F91" w:rsidRDefault="0092001F" w:rsidP="0089016E">
            <w:r w:rsidRPr="00074F91">
              <w:t xml:space="preserve">GSM: +420 </w:t>
            </w:r>
            <w:r w:rsidR="008821EF">
              <w:t>727 964 218</w:t>
            </w:r>
          </w:p>
          <w:p w:rsidR="0092001F" w:rsidRPr="00074F91" w:rsidRDefault="00E12826" w:rsidP="0089016E">
            <w:hyperlink r:id="rId14" w:history="1">
              <w:r w:rsidR="0092001F" w:rsidRPr="00074F91">
                <w:rPr>
                  <w:rStyle w:val="Hyperlink"/>
                </w:rPr>
                <w:t>iro@pegas.cz</w:t>
              </w:r>
            </w:hyperlink>
          </w:p>
        </w:tc>
        <w:tc>
          <w:tcPr>
            <w:tcW w:w="4606" w:type="dxa"/>
            <w:tcBorders>
              <w:top w:val="nil"/>
              <w:left w:val="nil"/>
              <w:right w:val="nil"/>
            </w:tcBorders>
          </w:tcPr>
          <w:p w:rsidR="0092001F" w:rsidRPr="00074F91" w:rsidRDefault="0092001F" w:rsidP="004A6A89"/>
        </w:tc>
      </w:tr>
      <w:tr w:rsidR="0092001F" w:rsidRPr="00074F91" w:rsidTr="00F86F85">
        <w:trPr>
          <w:trHeight w:val="903"/>
        </w:trPr>
        <w:tc>
          <w:tcPr>
            <w:tcW w:w="4606" w:type="dxa"/>
            <w:tcBorders>
              <w:top w:val="nil"/>
              <w:left w:val="nil"/>
              <w:right w:val="nil"/>
            </w:tcBorders>
          </w:tcPr>
          <w:p w:rsidR="0092001F" w:rsidRPr="00074F91" w:rsidRDefault="0092001F" w:rsidP="004A6A89"/>
        </w:tc>
        <w:tc>
          <w:tcPr>
            <w:tcW w:w="4606" w:type="dxa"/>
            <w:tcBorders>
              <w:top w:val="nil"/>
              <w:left w:val="nil"/>
              <w:right w:val="nil"/>
            </w:tcBorders>
          </w:tcPr>
          <w:p w:rsidR="0092001F" w:rsidRPr="00074F91" w:rsidRDefault="0092001F" w:rsidP="004A6A89"/>
        </w:tc>
      </w:tr>
      <w:tr w:rsidR="0092001F" w:rsidRPr="00074F91" w:rsidTr="00F86F85">
        <w:tc>
          <w:tcPr>
            <w:tcW w:w="4606" w:type="dxa"/>
            <w:tcBorders>
              <w:top w:val="nil"/>
              <w:left w:val="nil"/>
              <w:bottom w:val="nil"/>
              <w:right w:val="nil"/>
            </w:tcBorders>
          </w:tcPr>
          <w:p w:rsidR="0092001F" w:rsidRPr="00074F91" w:rsidRDefault="0092001F" w:rsidP="004A6A89"/>
          <w:p w:rsidR="0092001F" w:rsidRPr="00074F91" w:rsidRDefault="0092001F" w:rsidP="004A6A89"/>
          <w:p w:rsidR="0092001F" w:rsidRPr="00074F91" w:rsidRDefault="0092001F" w:rsidP="004A6A89"/>
        </w:tc>
        <w:tc>
          <w:tcPr>
            <w:tcW w:w="4606" w:type="dxa"/>
            <w:tcBorders>
              <w:top w:val="nil"/>
              <w:left w:val="nil"/>
              <w:bottom w:val="nil"/>
              <w:right w:val="nil"/>
            </w:tcBorders>
          </w:tcPr>
          <w:p w:rsidR="0092001F" w:rsidRPr="00074F91" w:rsidRDefault="0092001F" w:rsidP="004A6A89"/>
        </w:tc>
      </w:tr>
    </w:tbl>
    <w:p w:rsidR="004A6A89" w:rsidRPr="00074F91" w:rsidRDefault="004A6A89" w:rsidP="004A6A89">
      <w:pPr>
        <w:rPr>
          <w:b/>
        </w:rPr>
      </w:pPr>
    </w:p>
    <w:p w:rsidR="0039712B" w:rsidRPr="00074F91" w:rsidRDefault="0039712B" w:rsidP="00271B5F">
      <w:pPr>
        <w:sectPr w:rsidR="0039712B" w:rsidRPr="00074F91" w:rsidSect="00136A1A">
          <w:pgSz w:w="11906" w:h="16838"/>
          <w:pgMar w:top="1417" w:right="1417" w:bottom="1417" w:left="1417" w:header="708" w:footer="708" w:gutter="0"/>
          <w:cols w:space="708"/>
          <w:docGrid w:linePitch="360"/>
        </w:sectPr>
      </w:pPr>
    </w:p>
    <w:p w:rsidR="00153CF7" w:rsidRPr="00074F91" w:rsidRDefault="00AF4A0B" w:rsidP="006B723D">
      <w:pPr>
        <w:pStyle w:val="Heading1"/>
        <w:tabs>
          <w:tab w:val="num" w:pos="0"/>
        </w:tabs>
        <w:ind w:left="851" w:hanging="709"/>
        <w:rPr>
          <w:rFonts w:ascii="Times New Roman" w:hAnsi="Times New Roman" w:cs="Times New Roman"/>
        </w:rPr>
      </w:pPr>
      <w:bookmarkStart w:id="115" w:name="_Toc269907506"/>
      <w:bookmarkStart w:id="116" w:name="_Toc427918128"/>
      <w:r w:rsidRPr="00074F91">
        <w:rPr>
          <w:rFonts w:ascii="Times New Roman" w:hAnsi="Times New Roman" w:cs="Times New Roman"/>
        </w:rPr>
        <w:lastRenderedPageBreak/>
        <w:t>Výklad</w:t>
      </w:r>
      <w:r w:rsidR="00552703" w:rsidRPr="00074F91">
        <w:rPr>
          <w:rFonts w:ascii="Times New Roman" w:hAnsi="Times New Roman" w:cs="Times New Roman"/>
        </w:rPr>
        <w:t xml:space="preserve"> pojmů a zkratek</w:t>
      </w:r>
      <w:bookmarkEnd w:id="115"/>
      <w:bookmarkEnd w:id="116"/>
    </w:p>
    <w:p w:rsidR="0051790A" w:rsidRPr="00074F91" w:rsidRDefault="0051790A" w:rsidP="0051790A">
      <w:pPr>
        <w:autoSpaceDE w:val="0"/>
        <w:autoSpaceDN w:val="0"/>
        <w:adjustRightInd w:val="0"/>
        <w:spacing w:line="240" w:lineRule="atLeast"/>
        <w:jc w:val="both"/>
      </w:pPr>
    </w:p>
    <w:p w:rsidR="00A46311" w:rsidRPr="00074F91" w:rsidRDefault="00A46311" w:rsidP="00A46311">
      <w:pPr>
        <w:autoSpaceDE w:val="0"/>
        <w:autoSpaceDN w:val="0"/>
        <w:adjustRightInd w:val="0"/>
        <w:spacing w:line="240" w:lineRule="atLeast"/>
        <w:jc w:val="both"/>
        <w:rPr>
          <w:color w:val="000000"/>
        </w:rPr>
      </w:pPr>
      <w:r w:rsidRPr="00074F91">
        <w:rPr>
          <w:b/>
          <w:color w:val="000000"/>
        </w:rPr>
        <w:t xml:space="preserve">6th October City </w:t>
      </w:r>
      <w:r w:rsidRPr="00074F91">
        <w:rPr>
          <w:color w:val="000000"/>
        </w:rPr>
        <w:t>– je satelitní město u Káhiry v Egyptě. Město má zhruba půl milionu obyvatel a je regionálním sídlem mnoha firem.</w:t>
      </w:r>
    </w:p>
    <w:p w:rsidR="00A46311" w:rsidRPr="00074F91" w:rsidRDefault="00A46311" w:rsidP="00A46311">
      <w:pPr>
        <w:autoSpaceDE w:val="0"/>
        <w:autoSpaceDN w:val="0"/>
        <w:adjustRightInd w:val="0"/>
        <w:spacing w:line="240" w:lineRule="atLeast"/>
        <w:jc w:val="both"/>
        <w:rPr>
          <w:b/>
          <w:color w:val="000000"/>
        </w:rPr>
      </w:pPr>
    </w:p>
    <w:p w:rsidR="00A46311" w:rsidRPr="00074F91" w:rsidRDefault="00A46311" w:rsidP="00A46311">
      <w:pPr>
        <w:autoSpaceDE w:val="0"/>
        <w:autoSpaceDN w:val="0"/>
        <w:adjustRightInd w:val="0"/>
        <w:spacing w:line="240" w:lineRule="atLeast"/>
        <w:jc w:val="both"/>
        <w:rPr>
          <w:color w:val="000000"/>
        </w:rPr>
      </w:pPr>
      <w:r w:rsidRPr="00074F91">
        <w:rPr>
          <w:b/>
          <w:color w:val="000000"/>
        </w:rPr>
        <w:t>BCPP (PSE)</w:t>
      </w:r>
      <w:r w:rsidRPr="00074F91">
        <w:rPr>
          <w:color w:val="000000"/>
        </w:rPr>
        <w:t xml:space="preserve"> – Burza cenných papírů v Praze, regulovaný trh pro obchody s cennými papíry v České Republice.</w:t>
      </w:r>
    </w:p>
    <w:p w:rsidR="00A46311" w:rsidRPr="00074F91" w:rsidRDefault="00A46311" w:rsidP="00A46311">
      <w:pPr>
        <w:autoSpaceDE w:val="0"/>
        <w:autoSpaceDN w:val="0"/>
        <w:adjustRightInd w:val="0"/>
        <w:jc w:val="both"/>
        <w:rPr>
          <w:b/>
          <w:bCs/>
          <w:sz w:val="20"/>
          <w:szCs w:val="20"/>
        </w:rPr>
      </w:pPr>
    </w:p>
    <w:p w:rsidR="00A46311" w:rsidRPr="00074F91" w:rsidRDefault="00A46311" w:rsidP="00A46311">
      <w:pPr>
        <w:autoSpaceDE w:val="0"/>
        <w:autoSpaceDN w:val="0"/>
        <w:adjustRightInd w:val="0"/>
        <w:spacing w:line="240" w:lineRule="atLeast"/>
        <w:jc w:val="both"/>
        <w:rPr>
          <w:bCs/>
          <w:color w:val="000000"/>
        </w:rPr>
      </w:pPr>
      <w:r w:rsidRPr="00074F91">
        <w:rPr>
          <w:b/>
          <w:bCs/>
          <w:color w:val="000000"/>
        </w:rPr>
        <w:t>Bikomponentní vlákno (Bi-co)</w:t>
      </w:r>
      <w:r w:rsidRPr="00074F91">
        <w:rPr>
          <w:bCs/>
          <w:color w:val="000000"/>
        </w:rPr>
        <w:t xml:space="preserve"> – textilní vlákno obsahující dvě nebo více základní komponenty (polymery). Typické průřezy vláken jsou například „strana/strana“, „jádro/plášť“, „ostrůvky v matrici“.</w:t>
      </w:r>
    </w:p>
    <w:p w:rsidR="00A46311" w:rsidRPr="00074F91" w:rsidRDefault="00A46311" w:rsidP="00A46311">
      <w:pPr>
        <w:autoSpaceDE w:val="0"/>
        <w:autoSpaceDN w:val="0"/>
        <w:adjustRightInd w:val="0"/>
        <w:jc w:val="both"/>
        <w:rPr>
          <w:b/>
          <w:bCs/>
          <w:color w:val="808000"/>
          <w:sz w:val="20"/>
          <w:szCs w:val="20"/>
        </w:rPr>
      </w:pPr>
    </w:p>
    <w:p w:rsidR="00A46311" w:rsidRPr="00074F91" w:rsidRDefault="00A46311" w:rsidP="00A46311">
      <w:pPr>
        <w:autoSpaceDE w:val="0"/>
        <w:autoSpaceDN w:val="0"/>
        <w:adjustRightInd w:val="0"/>
        <w:jc w:val="both"/>
        <w:rPr>
          <w:b/>
          <w:bCs/>
        </w:rPr>
      </w:pPr>
      <w:r w:rsidRPr="00074F91">
        <w:rPr>
          <w:b/>
          <w:bCs/>
        </w:rPr>
        <w:t xml:space="preserve">Bučovice – </w:t>
      </w:r>
      <w:r w:rsidRPr="00074F91">
        <w:rPr>
          <w:bCs/>
        </w:rPr>
        <w:t xml:space="preserve">město na Moravě v okrese Vyškov s přibližně 6 500 obyvateli. PEGAS zde provozuje tři výrobní linky. </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jc w:val="both"/>
        <w:rPr>
          <w:color w:val="000000"/>
        </w:rPr>
      </w:pPr>
      <w:r w:rsidRPr="00074F91">
        <w:rPr>
          <w:b/>
          <w:bCs/>
        </w:rPr>
        <w:t>Clearstream Bank</w:t>
      </w:r>
      <w:r w:rsidRPr="00074F91">
        <w:rPr>
          <w:color w:val="000000"/>
        </w:rPr>
        <w:t xml:space="preserve"> - Clearstream je předním poskytovatelem služeb následujících po obchodování s cennými papíry v Evropě. Je dceřinou společností Deutsche Börse. Clearstream International vznikl v lednu 2000 spojením Cedel International a Deutsche Börse Clearing.</w:t>
      </w:r>
    </w:p>
    <w:p w:rsidR="00A46311" w:rsidRPr="00074F91" w:rsidRDefault="00A46311" w:rsidP="00A46311">
      <w:pPr>
        <w:autoSpaceDE w:val="0"/>
        <w:autoSpaceDN w:val="0"/>
        <w:adjustRightInd w:val="0"/>
        <w:jc w:val="both"/>
        <w:rPr>
          <w:b/>
          <w:bCs/>
          <w:color w:val="808000"/>
          <w:sz w:val="20"/>
          <w:szCs w:val="20"/>
        </w:rPr>
      </w:pPr>
    </w:p>
    <w:p w:rsidR="00A46311" w:rsidRPr="00074F91" w:rsidRDefault="00A46311" w:rsidP="00A46311">
      <w:pPr>
        <w:autoSpaceDE w:val="0"/>
        <w:autoSpaceDN w:val="0"/>
        <w:adjustRightInd w:val="0"/>
        <w:spacing w:line="240" w:lineRule="atLeast"/>
        <w:jc w:val="both"/>
        <w:rPr>
          <w:color w:val="000000"/>
        </w:rPr>
      </w:pPr>
      <w:r w:rsidRPr="00074F91">
        <w:rPr>
          <w:b/>
          <w:bCs/>
          <w:color w:val="000000"/>
        </w:rPr>
        <w:t>EBIT</w:t>
      </w:r>
      <w:r w:rsidRPr="00074F91">
        <w:rPr>
          <w:bCs/>
          <w:color w:val="000000"/>
        </w:rPr>
        <w:t xml:space="preserve"> – zisk </w:t>
      </w:r>
      <w:r w:rsidRPr="00074F91">
        <w:rPr>
          <w:color w:val="000000"/>
        </w:rPr>
        <w:t>zahrnující tržby za prodané výrobky, spotřebu materiálu a ostatní spotřebu, osobní náklady, ostatní provozní výnosy/náklady</w:t>
      </w:r>
      <w:r w:rsidR="00BF256B" w:rsidRPr="00074F91">
        <w:rPr>
          <w:color w:val="000000"/>
        </w:rPr>
        <w:t xml:space="preserve"> a</w:t>
      </w:r>
      <w:r w:rsidRPr="00074F91">
        <w:rPr>
          <w:color w:val="000000"/>
        </w:rPr>
        <w:t xml:space="preserve"> odpisy (před odečtením úroků a daní).</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spacing w:line="240" w:lineRule="atLeast"/>
        <w:jc w:val="both"/>
        <w:rPr>
          <w:bCs/>
          <w:color w:val="000000"/>
        </w:rPr>
      </w:pPr>
      <w:r w:rsidRPr="00074F91">
        <w:rPr>
          <w:b/>
          <w:bCs/>
          <w:color w:val="000000"/>
        </w:rPr>
        <w:t>EBITDA</w:t>
      </w:r>
      <w:r w:rsidRPr="00074F91">
        <w:rPr>
          <w:color w:val="000000"/>
        </w:rPr>
        <w:t xml:space="preserve"> </w:t>
      </w:r>
      <w:r w:rsidRPr="00074F91">
        <w:rPr>
          <w:bCs/>
          <w:color w:val="000000"/>
        </w:rPr>
        <w:t xml:space="preserve">- zisk </w:t>
      </w:r>
      <w:r w:rsidRPr="00074F91">
        <w:rPr>
          <w:color w:val="000000"/>
        </w:rPr>
        <w:t>zahrnující tržby za prodané výrobky, spotřebu materiálu a ostatní spotřebu, osobní náklady a ostatní provozní výnosy/náklady (</w:t>
      </w:r>
      <w:r w:rsidRPr="00074F91">
        <w:rPr>
          <w:bCs/>
          <w:color w:val="000000"/>
        </w:rPr>
        <w:t>před odečtením úroků, daní</w:t>
      </w:r>
      <w:r w:rsidR="00BF256B" w:rsidRPr="00074F91">
        <w:rPr>
          <w:bCs/>
          <w:color w:val="000000"/>
        </w:rPr>
        <w:t xml:space="preserve"> a</w:t>
      </w:r>
      <w:r w:rsidRPr="00074F91">
        <w:rPr>
          <w:bCs/>
          <w:color w:val="000000"/>
        </w:rPr>
        <w:t xml:space="preserve"> odpisů).</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jc w:val="both"/>
        <w:rPr>
          <w:bCs/>
          <w:color w:val="000000"/>
        </w:rPr>
      </w:pPr>
      <w:r w:rsidRPr="00074F91">
        <w:rPr>
          <w:b/>
          <w:color w:val="000000"/>
        </w:rPr>
        <w:t>EDANA</w:t>
      </w:r>
      <w:r w:rsidRPr="00074F91">
        <w:rPr>
          <w:color w:val="000000"/>
        </w:rPr>
        <w:t xml:space="preserve"> – European Disposables and Nonwovens Association je evropská obchodní asociace výrobců netkaných textilií a výrobců hygienických výrobků, jejímiž členy je přibližně </w:t>
      </w:r>
      <w:r w:rsidRPr="00074F91">
        <w:rPr>
          <w:bCs/>
          <w:color w:val="000000"/>
        </w:rPr>
        <w:t xml:space="preserve">200 společností z 28 zemí. </w:t>
      </w:r>
    </w:p>
    <w:p w:rsidR="00F85969" w:rsidRPr="00074F91" w:rsidRDefault="00F85969" w:rsidP="00A46311">
      <w:pPr>
        <w:autoSpaceDE w:val="0"/>
        <w:autoSpaceDN w:val="0"/>
        <w:adjustRightInd w:val="0"/>
        <w:jc w:val="both"/>
        <w:rPr>
          <w:bCs/>
          <w:color w:val="000000"/>
        </w:rPr>
      </w:pPr>
    </w:p>
    <w:p w:rsidR="00F85969" w:rsidRPr="00074F91" w:rsidRDefault="00F85969" w:rsidP="00F85969">
      <w:pPr>
        <w:autoSpaceDE w:val="0"/>
        <w:autoSpaceDN w:val="0"/>
        <w:adjustRightInd w:val="0"/>
        <w:jc w:val="both"/>
        <w:rPr>
          <w:color w:val="000000"/>
          <w:sz w:val="20"/>
          <w:szCs w:val="20"/>
        </w:rPr>
      </w:pPr>
      <w:r w:rsidRPr="00074F91">
        <w:rPr>
          <w:b/>
          <w:color w:val="000000"/>
        </w:rPr>
        <w:t xml:space="preserve">EGAP </w:t>
      </w:r>
      <w:r w:rsidRPr="00074F91">
        <w:rPr>
          <w:b/>
          <w:color w:val="000000"/>
          <w:sz w:val="20"/>
          <w:szCs w:val="20"/>
        </w:rPr>
        <w:t xml:space="preserve">– </w:t>
      </w:r>
      <w:r w:rsidRPr="00074F91">
        <w:rPr>
          <w:color w:val="000000"/>
        </w:rPr>
        <w:t>Exportní garanční a pojišťovací společnost, a.s. (EGAP) založená v červnu 1992 jako státní úvěrová pojišťovna se zaměřením na pojišťování vývozních úvěrů proti teritoriálním a tržně nepojistitelným komerčním rizikům spojeným s vývozem zboží a služeb z České republiky. Společnost EGAP se stala součástí systému státní podpory exportu a poskytuje pojišťovací služby všem vývozcům českého zboží, služeb a investic.</w:t>
      </w:r>
    </w:p>
    <w:p w:rsidR="00A46311" w:rsidRPr="00074F91" w:rsidRDefault="00A46311" w:rsidP="00A46311">
      <w:pPr>
        <w:autoSpaceDE w:val="0"/>
        <w:autoSpaceDN w:val="0"/>
        <w:adjustRightInd w:val="0"/>
        <w:jc w:val="both"/>
        <w:rPr>
          <w:b/>
          <w:color w:val="000000"/>
          <w:sz w:val="20"/>
          <w:szCs w:val="20"/>
        </w:rPr>
      </w:pPr>
    </w:p>
    <w:p w:rsidR="00A46311" w:rsidRPr="00074F91" w:rsidRDefault="00A46311" w:rsidP="00A46311">
      <w:pPr>
        <w:autoSpaceDE w:val="0"/>
        <w:autoSpaceDN w:val="0"/>
        <w:adjustRightInd w:val="0"/>
        <w:spacing w:line="240" w:lineRule="atLeast"/>
        <w:jc w:val="both"/>
        <w:rPr>
          <w:color w:val="000000"/>
        </w:rPr>
      </w:pPr>
      <w:r w:rsidRPr="00074F91">
        <w:rPr>
          <w:b/>
          <w:bCs/>
          <w:color w:val="000000"/>
        </w:rPr>
        <w:t>IFRS</w:t>
      </w:r>
      <w:r w:rsidRPr="00074F91">
        <w:rPr>
          <w:bCs/>
          <w:color w:val="000000"/>
        </w:rPr>
        <w:t xml:space="preserve"> </w:t>
      </w:r>
      <w:r w:rsidRPr="00074F91">
        <w:rPr>
          <w:color w:val="000000"/>
        </w:rPr>
        <w:t>– Mezinárodní standardy účetního výkaznictví.</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spacing w:line="240" w:lineRule="atLeast"/>
        <w:jc w:val="both"/>
        <w:rPr>
          <w:color w:val="000000"/>
        </w:rPr>
      </w:pPr>
      <w:r w:rsidRPr="00074F91">
        <w:rPr>
          <w:b/>
          <w:bCs/>
          <w:color w:val="000000"/>
        </w:rPr>
        <w:t>IPO</w:t>
      </w:r>
      <w:r w:rsidRPr="00074F91">
        <w:rPr>
          <w:color w:val="000000"/>
        </w:rPr>
        <w:t xml:space="preserve"> – primární emise akcií.</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spacing w:line="240" w:lineRule="atLeast"/>
        <w:jc w:val="both"/>
        <w:rPr>
          <w:color w:val="000000"/>
        </w:rPr>
      </w:pPr>
      <w:r w:rsidRPr="00074F91">
        <w:rPr>
          <w:b/>
          <w:bCs/>
          <w:color w:val="000000"/>
        </w:rPr>
        <w:t>IRS</w:t>
      </w:r>
      <w:r w:rsidRPr="00074F91">
        <w:rPr>
          <w:color w:val="000000"/>
        </w:rPr>
        <w:t xml:space="preserve"> – úrokový swap, finanční instrument sloužící k zajištění úrokového rizika.</w:t>
      </w:r>
    </w:p>
    <w:p w:rsidR="00A46311" w:rsidRPr="00074F91" w:rsidRDefault="00A46311" w:rsidP="00A46311">
      <w:pPr>
        <w:autoSpaceDE w:val="0"/>
        <w:autoSpaceDN w:val="0"/>
        <w:adjustRightInd w:val="0"/>
        <w:spacing w:line="240" w:lineRule="atLeast"/>
        <w:jc w:val="both"/>
        <w:rPr>
          <w:color w:val="000000"/>
        </w:rPr>
      </w:pPr>
    </w:p>
    <w:p w:rsidR="00A46311" w:rsidRPr="00074F91" w:rsidRDefault="00A46311" w:rsidP="00A46311">
      <w:pPr>
        <w:autoSpaceDE w:val="0"/>
        <w:autoSpaceDN w:val="0"/>
        <w:adjustRightInd w:val="0"/>
        <w:jc w:val="both"/>
        <w:rPr>
          <w:color w:val="000000"/>
          <w:sz w:val="20"/>
          <w:szCs w:val="20"/>
        </w:rPr>
      </w:pPr>
      <w:r w:rsidRPr="00074F91">
        <w:rPr>
          <w:b/>
          <w:bCs/>
          <w:color w:val="000000"/>
        </w:rPr>
        <w:t>John R. Starr</w:t>
      </w:r>
      <w:r w:rsidRPr="00074F91">
        <w:t xml:space="preserve"> – poradenská firma specializující se na oblast hygienických absorpčních produktů, netkané textilie a základní suroviny. </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spacing w:line="240" w:lineRule="atLeast"/>
        <w:jc w:val="both"/>
        <w:rPr>
          <w:color w:val="000000"/>
        </w:rPr>
      </w:pPr>
      <w:r w:rsidRPr="00074F91">
        <w:rPr>
          <w:b/>
          <w:bCs/>
          <w:color w:val="000000"/>
        </w:rPr>
        <w:t>Marže EBIT</w:t>
      </w:r>
      <w:r w:rsidRPr="00074F91">
        <w:rPr>
          <w:bCs/>
          <w:color w:val="000000"/>
        </w:rPr>
        <w:t xml:space="preserve"> </w:t>
      </w:r>
      <w:r w:rsidRPr="00074F91">
        <w:rPr>
          <w:color w:val="000000"/>
        </w:rPr>
        <w:t>– procentní marže počítána jako EBIT/celkové tržby.</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spacing w:line="240" w:lineRule="atLeast"/>
        <w:jc w:val="both"/>
        <w:rPr>
          <w:color w:val="000000"/>
        </w:rPr>
      </w:pPr>
      <w:r w:rsidRPr="00074F91">
        <w:rPr>
          <w:b/>
          <w:bCs/>
          <w:color w:val="000000"/>
        </w:rPr>
        <w:t>Marže EBITDA</w:t>
      </w:r>
      <w:r w:rsidRPr="00074F91">
        <w:rPr>
          <w:color w:val="000000"/>
        </w:rPr>
        <w:t xml:space="preserve"> – procentní marže počítána jako EBITDA/celkové tržby.</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spacing w:line="240" w:lineRule="atLeast"/>
        <w:jc w:val="both"/>
        <w:rPr>
          <w:color w:val="000000"/>
        </w:rPr>
      </w:pPr>
      <w:r w:rsidRPr="00074F91">
        <w:rPr>
          <w:b/>
          <w:color w:val="000000"/>
        </w:rPr>
        <w:t>Marže čistého zisku</w:t>
      </w:r>
      <w:r w:rsidRPr="00074F91">
        <w:rPr>
          <w:color w:val="000000"/>
        </w:rPr>
        <w:t xml:space="preserve"> – procentní marže počítána jako čistý zisk po zdanění a před rozdělením akcionářů/celkové tržby. </w:t>
      </w:r>
    </w:p>
    <w:p w:rsidR="00A46311" w:rsidRPr="00074F91" w:rsidRDefault="00A46311" w:rsidP="00A46311">
      <w:pPr>
        <w:autoSpaceDE w:val="0"/>
        <w:autoSpaceDN w:val="0"/>
        <w:adjustRightInd w:val="0"/>
        <w:jc w:val="both"/>
        <w:rPr>
          <w:b/>
          <w:bCs/>
          <w:color w:val="808000"/>
          <w:sz w:val="20"/>
          <w:szCs w:val="20"/>
        </w:rPr>
      </w:pPr>
    </w:p>
    <w:p w:rsidR="00A46311" w:rsidRPr="00074F91" w:rsidRDefault="00A46311" w:rsidP="00A46311">
      <w:pPr>
        <w:autoSpaceDE w:val="0"/>
        <w:autoSpaceDN w:val="0"/>
        <w:adjustRightInd w:val="0"/>
        <w:spacing w:line="240" w:lineRule="atLeast"/>
        <w:jc w:val="both"/>
        <w:rPr>
          <w:bCs/>
          <w:color w:val="000000"/>
        </w:rPr>
      </w:pPr>
      <w:r w:rsidRPr="00074F91">
        <w:rPr>
          <w:b/>
          <w:bCs/>
          <w:color w:val="000000"/>
        </w:rPr>
        <w:t>Meltblownová textilie</w:t>
      </w:r>
      <w:r w:rsidRPr="00074F91">
        <w:rPr>
          <w:bCs/>
          <w:color w:val="000000"/>
        </w:rPr>
        <w:t xml:space="preserve"> – textilie vyrobená technologií Meltblown.</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spacing w:line="240" w:lineRule="atLeast"/>
        <w:jc w:val="both"/>
        <w:rPr>
          <w:color w:val="000000"/>
        </w:rPr>
      </w:pPr>
      <w:r w:rsidRPr="00074F91">
        <w:rPr>
          <w:b/>
          <w:color w:val="000000"/>
        </w:rPr>
        <w:t>Netkaná textilie</w:t>
      </w:r>
      <w:r w:rsidRPr="00074F91">
        <w:rPr>
          <w:color w:val="000000"/>
        </w:rPr>
        <w:t xml:space="preserve"> – plošný textilní útvar vyrobený z přírodních či syntetických vláken pojený mechanicky, chemicky nebo tepelně (nejedná se při tom o výrobu papíru).</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jc w:val="both"/>
      </w:pPr>
      <w:r w:rsidRPr="00074F91">
        <w:rPr>
          <w:b/>
          <w:bCs/>
        </w:rPr>
        <w:t xml:space="preserve">Plánovaná EBITDA </w:t>
      </w:r>
      <w:r w:rsidRPr="00074F91">
        <w:rPr>
          <w:bCs/>
        </w:rPr>
        <w:t>–</w:t>
      </w:r>
      <w:r w:rsidRPr="00074F91">
        <w:rPr>
          <w:b/>
          <w:bCs/>
        </w:rPr>
        <w:t xml:space="preserve"> </w:t>
      </w:r>
      <w:r w:rsidRPr="00074F91">
        <w:rPr>
          <w:bCs/>
        </w:rPr>
        <w:t>finanční ukazatel definovaný jako výnosy minus náklady na prodané zboží a ostatní prodejní a administrativní náklady použitá v obchodním plánu Společnosti jako benchmarková hodnota pro ohodnocení výkonnosti v manažerském bonusovém plánu.</w:t>
      </w:r>
      <w:r w:rsidRPr="00074F91">
        <w:rPr>
          <w:b/>
          <w:bCs/>
        </w:rPr>
        <w:t xml:space="preserve"> </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spacing w:line="240" w:lineRule="atLeast"/>
        <w:jc w:val="both"/>
        <w:rPr>
          <w:bCs/>
          <w:color w:val="000000"/>
        </w:rPr>
      </w:pPr>
      <w:r w:rsidRPr="00074F91">
        <w:rPr>
          <w:b/>
          <w:bCs/>
          <w:color w:val="000000"/>
        </w:rPr>
        <w:t xml:space="preserve">Polymer </w:t>
      </w:r>
      <w:r w:rsidRPr="00074F91">
        <w:rPr>
          <w:bCs/>
          <w:color w:val="000000"/>
        </w:rPr>
        <w:t>– látka složená z molekul (monomerů) pojených kovalentní vazbou do velice dlouhých řetězců.</w:t>
      </w:r>
    </w:p>
    <w:p w:rsidR="00A46311" w:rsidRPr="00074F91" w:rsidRDefault="00A46311" w:rsidP="00A46311">
      <w:pPr>
        <w:autoSpaceDE w:val="0"/>
        <w:autoSpaceDN w:val="0"/>
        <w:adjustRightInd w:val="0"/>
        <w:jc w:val="both"/>
        <w:rPr>
          <w:b/>
          <w:bCs/>
          <w:color w:val="FF0000"/>
          <w:sz w:val="20"/>
          <w:szCs w:val="20"/>
        </w:rPr>
      </w:pPr>
    </w:p>
    <w:p w:rsidR="00A46311" w:rsidRPr="00074F91" w:rsidRDefault="00A46311" w:rsidP="00A46311">
      <w:pPr>
        <w:autoSpaceDE w:val="0"/>
        <w:autoSpaceDN w:val="0"/>
        <w:adjustRightInd w:val="0"/>
        <w:spacing w:line="240" w:lineRule="atLeast"/>
        <w:jc w:val="both"/>
        <w:rPr>
          <w:bCs/>
          <w:color w:val="000000"/>
        </w:rPr>
      </w:pPr>
      <w:r w:rsidRPr="00074F91">
        <w:rPr>
          <w:b/>
          <w:bCs/>
          <w:color w:val="000000"/>
        </w:rPr>
        <w:t>Polypropylen/polyetylen</w:t>
      </w:r>
      <w:r w:rsidRPr="00074F91">
        <w:rPr>
          <w:bCs/>
          <w:color w:val="000000"/>
        </w:rPr>
        <w:t xml:space="preserve"> – termoplastický polymer skládající se z dlouhých řetězců monomerů (propylen, etylen). Přirozenou vlastností je vodoodpudivost, odolnost vůči chemickým rozpouštědlům, alkáliím a kyselinám.</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jc w:val="both"/>
        <w:rPr>
          <w:color w:val="000000"/>
        </w:rPr>
      </w:pPr>
      <w:r w:rsidRPr="00074F91">
        <w:rPr>
          <w:b/>
          <w:bCs/>
        </w:rPr>
        <w:t>Přímětice</w:t>
      </w:r>
      <w:r w:rsidRPr="00074F91">
        <w:rPr>
          <w:color w:val="000000"/>
        </w:rPr>
        <w:t xml:space="preserve"> – </w:t>
      </w:r>
      <w:r w:rsidR="004F0AE6" w:rsidRPr="00074F91">
        <w:rPr>
          <w:color w:val="000000"/>
        </w:rPr>
        <w:t>d</w:t>
      </w:r>
      <w:r w:rsidRPr="00074F91">
        <w:rPr>
          <w:color w:val="000000"/>
        </w:rPr>
        <w:t>říve samosprávn</w:t>
      </w:r>
      <w:r w:rsidR="00502DC2" w:rsidRPr="00074F91">
        <w:rPr>
          <w:color w:val="000000"/>
        </w:rPr>
        <w:t>á</w:t>
      </w:r>
      <w:r w:rsidRPr="00074F91">
        <w:rPr>
          <w:color w:val="000000"/>
        </w:rPr>
        <w:t xml:space="preserve"> jednotka, nyní součást předměstí Znojma. PEGAS zde provozuje </w:t>
      </w:r>
      <w:r w:rsidR="007E0668" w:rsidRPr="00074F91">
        <w:rPr>
          <w:color w:val="000000"/>
        </w:rPr>
        <w:t xml:space="preserve">šest </w:t>
      </w:r>
      <w:r w:rsidRPr="00074F91">
        <w:rPr>
          <w:color w:val="000000"/>
        </w:rPr>
        <w:t>výrobních linek.</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spacing w:line="240" w:lineRule="atLeast"/>
        <w:jc w:val="both"/>
        <w:rPr>
          <w:color w:val="000000"/>
        </w:rPr>
      </w:pPr>
      <w:r w:rsidRPr="00074F91">
        <w:rPr>
          <w:b/>
          <w:bCs/>
          <w:color w:val="000000"/>
        </w:rPr>
        <w:t>PX</w:t>
      </w:r>
      <w:r w:rsidRPr="00074F91">
        <w:rPr>
          <w:bCs/>
          <w:color w:val="000000"/>
        </w:rPr>
        <w:t xml:space="preserve"> – </w:t>
      </w:r>
      <w:r w:rsidRPr="00074F91">
        <w:rPr>
          <w:color w:val="000000"/>
        </w:rPr>
        <w:t>oficiální index významných emisí (blue chips) kótovaných na Burze cenných papírů v Praze.</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jc w:val="both"/>
        <w:rPr>
          <w:color w:val="000000"/>
        </w:rPr>
      </w:pPr>
      <w:r w:rsidRPr="00074F91">
        <w:rPr>
          <w:b/>
          <w:color w:val="000000"/>
        </w:rPr>
        <w:t>Reicofil</w:t>
      </w:r>
      <w:r w:rsidRPr="00074F91">
        <w:rPr>
          <w:color w:val="000000"/>
        </w:rPr>
        <w:t xml:space="preserve"> – přední výrobce zařízení na výrobu netkaných textilií.</w:t>
      </w:r>
    </w:p>
    <w:p w:rsidR="00A46311" w:rsidRPr="00074F91" w:rsidRDefault="00A46311" w:rsidP="00A46311">
      <w:pPr>
        <w:autoSpaceDE w:val="0"/>
        <w:autoSpaceDN w:val="0"/>
        <w:adjustRightInd w:val="0"/>
        <w:jc w:val="both"/>
        <w:rPr>
          <w:sz w:val="20"/>
          <w:szCs w:val="20"/>
        </w:rPr>
      </w:pPr>
    </w:p>
    <w:p w:rsidR="00A46311" w:rsidRPr="00074F91" w:rsidRDefault="00A46311" w:rsidP="00A46311">
      <w:pPr>
        <w:autoSpaceDE w:val="0"/>
        <w:autoSpaceDN w:val="0"/>
        <w:adjustRightInd w:val="0"/>
        <w:spacing w:line="240" w:lineRule="atLeast"/>
        <w:jc w:val="both"/>
        <w:rPr>
          <w:bCs/>
          <w:color w:val="000000"/>
        </w:rPr>
      </w:pPr>
      <w:r w:rsidRPr="00074F91">
        <w:rPr>
          <w:b/>
          <w:bCs/>
          <w:color w:val="000000"/>
        </w:rPr>
        <w:t>Regranulace</w:t>
      </w:r>
      <w:r w:rsidRPr="00074F91">
        <w:rPr>
          <w:bCs/>
          <w:color w:val="000000"/>
        </w:rPr>
        <w:t xml:space="preserve"> – metoda recyklace zbytkových textilií do formy granulí, které mohou být vráceny do výrobního procesu.</w:t>
      </w:r>
    </w:p>
    <w:p w:rsidR="00A46311" w:rsidRPr="00074F91" w:rsidRDefault="00A46311" w:rsidP="00A46311">
      <w:pPr>
        <w:autoSpaceDE w:val="0"/>
        <w:autoSpaceDN w:val="0"/>
        <w:adjustRightInd w:val="0"/>
        <w:jc w:val="both"/>
        <w:rPr>
          <w:b/>
          <w:bCs/>
          <w:color w:val="808000"/>
          <w:sz w:val="20"/>
          <w:szCs w:val="20"/>
        </w:rPr>
      </w:pPr>
    </w:p>
    <w:p w:rsidR="00A46311" w:rsidRPr="00074F91" w:rsidRDefault="00A46311" w:rsidP="00A46311">
      <w:pPr>
        <w:autoSpaceDE w:val="0"/>
        <w:autoSpaceDN w:val="0"/>
        <w:adjustRightInd w:val="0"/>
        <w:spacing w:line="240" w:lineRule="atLeast"/>
        <w:jc w:val="both"/>
        <w:rPr>
          <w:color w:val="000000"/>
        </w:rPr>
      </w:pPr>
      <w:r w:rsidRPr="00074F91">
        <w:rPr>
          <w:b/>
          <w:bCs/>
          <w:color w:val="000000"/>
        </w:rPr>
        <w:t>SAP</w:t>
      </w:r>
      <w:r w:rsidRPr="00074F91">
        <w:rPr>
          <w:color w:val="000000"/>
        </w:rPr>
        <w:t xml:space="preserve"> – informační systém sloužící pro řízení podniku.</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jc w:val="both"/>
        <w:rPr>
          <w:bCs/>
          <w:color w:val="000000"/>
        </w:rPr>
      </w:pPr>
      <w:r w:rsidRPr="00074F91">
        <w:rPr>
          <w:b/>
          <w:bCs/>
          <w:color w:val="000000"/>
        </w:rPr>
        <w:t>Spunbondová textilie</w:t>
      </w:r>
      <w:r w:rsidRPr="00074F91">
        <w:rPr>
          <w:bCs/>
          <w:color w:val="000000"/>
        </w:rPr>
        <w:t xml:space="preserve"> – textilie vyrobená technologií Spunbond/Spunmelt.</w:t>
      </w:r>
    </w:p>
    <w:p w:rsidR="00A46311" w:rsidRPr="00074F91" w:rsidRDefault="00A46311" w:rsidP="00A46311">
      <w:pPr>
        <w:autoSpaceDE w:val="0"/>
        <w:autoSpaceDN w:val="0"/>
        <w:adjustRightInd w:val="0"/>
        <w:jc w:val="both"/>
        <w:rPr>
          <w:color w:val="000000"/>
          <w:sz w:val="20"/>
          <w:szCs w:val="20"/>
        </w:rPr>
      </w:pPr>
    </w:p>
    <w:p w:rsidR="00A46311" w:rsidRPr="00074F91" w:rsidRDefault="00A46311" w:rsidP="00A46311">
      <w:pPr>
        <w:autoSpaceDE w:val="0"/>
        <w:autoSpaceDN w:val="0"/>
        <w:adjustRightInd w:val="0"/>
        <w:spacing w:line="240" w:lineRule="atLeast"/>
        <w:jc w:val="both"/>
        <w:rPr>
          <w:bCs/>
          <w:color w:val="000000"/>
        </w:rPr>
      </w:pPr>
      <w:r w:rsidRPr="00074F91">
        <w:rPr>
          <w:b/>
          <w:bCs/>
          <w:color w:val="000000"/>
        </w:rPr>
        <w:t>Spunmelt/technologie Spunmelt</w:t>
      </w:r>
      <w:r w:rsidRPr="00074F91">
        <w:rPr>
          <w:bCs/>
          <w:color w:val="000000"/>
        </w:rPr>
        <w:t xml:space="preserve"> – technologie výroby netkané textilie. Tavenina polymeru je vytlačována do dloužícího kanálu, dloužena chladným vzduchem do požadovaného průměru vláken a ukládána na pás.</w:t>
      </w:r>
    </w:p>
    <w:p w:rsidR="00A46311" w:rsidRPr="00074F91" w:rsidRDefault="00A46311" w:rsidP="00A46311">
      <w:pPr>
        <w:autoSpaceDE w:val="0"/>
        <w:autoSpaceDN w:val="0"/>
        <w:adjustRightInd w:val="0"/>
        <w:rPr>
          <w:color w:val="000000"/>
          <w:sz w:val="20"/>
          <w:szCs w:val="20"/>
        </w:rPr>
      </w:pPr>
    </w:p>
    <w:p w:rsidR="00A46311" w:rsidRPr="00074F91" w:rsidRDefault="00A46311" w:rsidP="00A46311">
      <w:pPr>
        <w:autoSpaceDE w:val="0"/>
        <w:autoSpaceDN w:val="0"/>
        <w:adjustRightInd w:val="0"/>
        <w:spacing w:line="240" w:lineRule="atLeast"/>
        <w:jc w:val="both"/>
        <w:rPr>
          <w:bCs/>
          <w:color w:val="000000"/>
        </w:rPr>
      </w:pPr>
      <w:r w:rsidRPr="00074F91">
        <w:rPr>
          <w:b/>
          <w:bCs/>
          <w:color w:val="000000"/>
        </w:rPr>
        <w:t>Technologie Meltblown</w:t>
      </w:r>
      <w:r w:rsidRPr="00074F91">
        <w:rPr>
          <w:bCs/>
          <w:color w:val="000000"/>
        </w:rPr>
        <w:t xml:space="preserve"> – technologie výroby netkané textilie, kdy polymer je vytlačován z kapilár, dloužen horkým vzduchem na velmi jemná vlákna (1-10 mikrometrů) a ukládán na pás.</w:t>
      </w:r>
    </w:p>
    <w:p w:rsidR="00A46311" w:rsidRPr="00074F91" w:rsidRDefault="00A46311" w:rsidP="00A46311">
      <w:pPr>
        <w:autoSpaceDE w:val="0"/>
        <w:autoSpaceDN w:val="0"/>
        <w:adjustRightInd w:val="0"/>
        <w:rPr>
          <w:color w:val="000000"/>
          <w:sz w:val="20"/>
          <w:szCs w:val="20"/>
        </w:rPr>
      </w:pPr>
    </w:p>
    <w:p w:rsidR="0023384D" w:rsidRPr="00074F91" w:rsidRDefault="0023384D" w:rsidP="00A46311">
      <w:pPr>
        <w:autoSpaceDE w:val="0"/>
        <w:autoSpaceDN w:val="0"/>
        <w:adjustRightInd w:val="0"/>
        <w:spacing w:line="240" w:lineRule="atLeast"/>
        <w:rPr>
          <w:bCs/>
          <w:color w:val="000000"/>
        </w:rPr>
      </w:pPr>
      <w:r w:rsidRPr="00074F91">
        <w:rPr>
          <w:b/>
          <w:bCs/>
          <w:color w:val="000000"/>
        </w:rPr>
        <w:t xml:space="preserve">Warranty – </w:t>
      </w:r>
      <w:r w:rsidRPr="00074F91">
        <w:rPr>
          <w:bCs/>
          <w:color w:val="000000"/>
        </w:rPr>
        <w:t>cenné papíry, které představují právo koupit nebo prodat předem dohodnuté množství podkladového aktiva za dopředu určenou realizační cenu v pevně stanoveném termínu.</w:t>
      </w:r>
    </w:p>
    <w:p w:rsidR="0023384D" w:rsidRPr="00074F91" w:rsidRDefault="0023384D" w:rsidP="00A46311">
      <w:pPr>
        <w:autoSpaceDE w:val="0"/>
        <w:autoSpaceDN w:val="0"/>
        <w:adjustRightInd w:val="0"/>
        <w:spacing w:line="240" w:lineRule="atLeast"/>
        <w:rPr>
          <w:b/>
          <w:bCs/>
          <w:color w:val="000000"/>
        </w:rPr>
      </w:pPr>
      <w:r w:rsidRPr="00074F91">
        <w:rPr>
          <w:bCs/>
          <w:color w:val="000000"/>
        </w:rPr>
        <w:t xml:space="preserve"> </w:t>
      </w:r>
    </w:p>
    <w:p w:rsidR="0051790A" w:rsidRPr="00074F91" w:rsidRDefault="00A46311" w:rsidP="00A46311">
      <w:pPr>
        <w:autoSpaceDE w:val="0"/>
        <w:autoSpaceDN w:val="0"/>
        <w:adjustRightInd w:val="0"/>
        <w:spacing w:line="240" w:lineRule="atLeast"/>
        <w:sectPr w:rsidR="0051790A" w:rsidRPr="00074F91">
          <w:pgSz w:w="11906" w:h="16838"/>
          <w:pgMar w:top="1417" w:right="1417" w:bottom="1417" w:left="1417" w:header="720" w:footer="720" w:gutter="0"/>
          <w:cols w:space="720"/>
          <w:docGrid w:linePitch="360"/>
        </w:sectPr>
      </w:pPr>
      <w:r w:rsidRPr="00074F91">
        <w:rPr>
          <w:b/>
          <w:bCs/>
          <w:color w:val="000000"/>
        </w:rPr>
        <w:t>WSE</w:t>
      </w:r>
      <w:r w:rsidRPr="00074F91">
        <w:rPr>
          <w:color w:val="000000"/>
        </w:rPr>
        <w:t xml:space="preserve"> – Burza cenných papírů ve Varšavě, regulovaný trh pro obchody s cennými papíry v Polsku.</w:t>
      </w:r>
    </w:p>
    <w:p w:rsidR="00271B5F" w:rsidRPr="00074F91" w:rsidRDefault="00271B5F" w:rsidP="00271B5F"/>
    <w:p w:rsidR="009B0EE0" w:rsidRPr="00074F91" w:rsidRDefault="009B0EE0" w:rsidP="000C1BD0">
      <w:pPr>
        <w:pStyle w:val="Heading1"/>
        <w:tabs>
          <w:tab w:val="num" w:pos="0"/>
        </w:tabs>
        <w:ind w:left="1418" w:hanging="1418"/>
        <w:rPr>
          <w:rFonts w:ascii="Times New Roman" w:hAnsi="Times New Roman" w:cs="Times New Roman"/>
        </w:rPr>
      </w:pPr>
      <w:bookmarkStart w:id="117" w:name="_Toc269907507"/>
      <w:bookmarkStart w:id="118" w:name="_Toc427918129"/>
      <w:bookmarkStart w:id="119" w:name="_Toc165188467"/>
      <w:r w:rsidRPr="00074F91">
        <w:rPr>
          <w:rFonts w:ascii="Times New Roman" w:hAnsi="Times New Roman" w:cs="Times New Roman"/>
        </w:rPr>
        <w:t>O</w:t>
      </w:r>
      <w:r w:rsidR="00AA27DA" w:rsidRPr="00074F91">
        <w:rPr>
          <w:rFonts w:ascii="Times New Roman" w:hAnsi="Times New Roman" w:cs="Times New Roman"/>
        </w:rPr>
        <w:t>statní informace</w:t>
      </w:r>
      <w:bookmarkEnd w:id="117"/>
      <w:bookmarkEnd w:id="118"/>
    </w:p>
    <w:p w:rsidR="00184203" w:rsidRPr="00074F91" w:rsidRDefault="00AA27DA" w:rsidP="009B0EE0">
      <w:pPr>
        <w:pStyle w:val="NormalWeb"/>
        <w:rPr>
          <w:b/>
          <w:bCs/>
        </w:rPr>
      </w:pPr>
      <w:r w:rsidRPr="00074F91">
        <w:rPr>
          <w:b/>
          <w:bCs/>
        </w:rPr>
        <w:t>Základní údaje o společnosti</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53029" w:rsidRPr="00074F91" w:rsidTr="00F86F85">
        <w:tc>
          <w:tcPr>
            <w:tcW w:w="9212" w:type="dxa"/>
          </w:tcPr>
          <w:p w:rsidR="00353029" w:rsidRPr="00074F91" w:rsidRDefault="00AA27DA" w:rsidP="00F86F85">
            <w:pPr>
              <w:pStyle w:val="AODocTxt"/>
              <w:numPr>
                <w:ilvl w:val="0"/>
                <w:numId w:val="2"/>
              </w:numPr>
              <w:rPr>
                <w:b/>
                <w:lang w:val="cs-CZ"/>
              </w:rPr>
            </w:pPr>
            <w:r w:rsidRPr="00074F91">
              <w:rPr>
                <w:b/>
                <w:lang w:val="cs-CZ"/>
              </w:rPr>
              <w:t>Obchodní firma:</w:t>
            </w:r>
          </w:p>
        </w:tc>
      </w:tr>
      <w:tr w:rsidR="00353029" w:rsidRPr="00074F91" w:rsidTr="00F86F85">
        <w:tc>
          <w:tcPr>
            <w:tcW w:w="9212" w:type="dxa"/>
          </w:tcPr>
          <w:p w:rsidR="00353029" w:rsidRPr="00074F91" w:rsidRDefault="00353029" w:rsidP="00F86F85">
            <w:pPr>
              <w:pStyle w:val="AODocTxt"/>
              <w:numPr>
                <w:ilvl w:val="0"/>
                <w:numId w:val="2"/>
              </w:numPr>
              <w:rPr>
                <w:lang w:val="cs-CZ"/>
              </w:rPr>
            </w:pPr>
            <w:r w:rsidRPr="00074F91">
              <w:rPr>
                <w:lang w:val="cs-CZ"/>
              </w:rPr>
              <w:t>PEGAS NONWOVENS SA</w:t>
            </w:r>
          </w:p>
        </w:tc>
      </w:tr>
      <w:tr w:rsidR="00353029" w:rsidRPr="00074F91" w:rsidTr="00F86F85">
        <w:tc>
          <w:tcPr>
            <w:tcW w:w="9212" w:type="dxa"/>
          </w:tcPr>
          <w:p w:rsidR="00353029" w:rsidRPr="00074F91" w:rsidRDefault="00353029" w:rsidP="00F86F85">
            <w:pPr>
              <w:pStyle w:val="AODocTxt"/>
              <w:numPr>
                <w:ilvl w:val="0"/>
                <w:numId w:val="2"/>
              </w:numPr>
              <w:rPr>
                <w:lang w:val="cs-CZ"/>
              </w:rPr>
            </w:pPr>
          </w:p>
        </w:tc>
      </w:tr>
      <w:tr w:rsidR="00353029" w:rsidRPr="00074F91" w:rsidTr="00F86F85">
        <w:tc>
          <w:tcPr>
            <w:tcW w:w="9212" w:type="dxa"/>
          </w:tcPr>
          <w:p w:rsidR="00353029" w:rsidRPr="00074F91" w:rsidRDefault="00AA27DA" w:rsidP="00F86F85">
            <w:pPr>
              <w:pStyle w:val="AODocTxt"/>
              <w:numPr>
                <w:ilvl w:val="0"/>
                <w:numId w:val="2"/>
              </w:numPr>
              <w:rPr>
                <w:b/>
                <w:lang w:val="cs-CZ"/>
              </w:rPr>
            </w:pPr>
            <w:r w:rsidRPr="00074F91">
              <w:rPr>
                <w:b/>
                <w:lang w:val="cs-CZ"/>
              </w:rPr>
              <w:t>Sídlo</w:t>
            </w:r>
            <w:r w:rsidR="00353029" w:rsidRPr="00074F91">
              <w:rPr>
                <w:b/>
                <w:lang w:val="cs-CZ"/>
              </w:rPr>
              <w:t>:</w:t>
            </w:r>
          </w:p>
        </w:tc>
      </w:tr>
      <w:tr w:rsidR="00353029" w:rsidRPr="00074F91" w:rsidTr="00F86F85">
        <w:tc>
          <w:tcPr>
            <w:tcW w:w="9212" w:type="dxa"/>
          </w:tcPr>
          <w:p w:rsidR="00353029" w:rsidRPr="00074F91" w:rsidRDefault="00353029" w:rsidP="00F86F85">
            <w:pPr>
              <w:pStyle w:val="AODocTxt"/>
              <w:numPr>
                <w:ilvl w:val="0"/>
                <w:numId w:val="2"/>
              </w:numPr>
              <w:rPr>
                <w:lang w:val="cs-CZ"/>
              </w:rPr>
            </w:pPr>
            <w:r w:rsidRPr="00074F91">
              <w:rPr>
                <w:lang w:val="cs-CZ"/>
              </w:rPr>
              <w:t>68−70, boulevard de la Pétrusse</w:t>
            </w:r>
          </w:p>
        </w:tc>
      </w:tr>
      <w:tr w:rsidR="00353029" w:rsidRPr="00074F91" w:rsidTr="00F86F85">
        <w:tc>
          <w:tcPr>
            <w:tcW w:w="9212" w:type="dxa"/>
          </w:tcPr>
          <w:p w:rsidR="00353029" w:rsidRPr="00074F91" w:rsidRDefault="00353029" w:rsidP="00F86F85">
            <w:pPr>
              <w:pStyle w:val="AODocTxt"/>
              <w:numPr>
                <w:ilvl w:val="0"/>
                <w:numId w:val="2"/>
              </w:numPr>
              <w:rPr>
                <w:lang w:val="cs-CZ"/>
              </w:rPr>
            </w:pPr>
            <w:r w:rsidRPr="00074F91">
              <w:rPr>
                <w:lang w:val="cs-CZ"/>
              </w:rPr>
              <w:t xml:space="preserve">L-2320 </w:t>
            </w:r>
            <w:r w:rsidR="00730E23" w:rsidRPr="00074F91">
              <w:rPr>
                <w:lang w:val="cs-CZ"/>
              </w:rPr>
              <w:t>Luxemburg</w:t>
            </w:r>
          </w:p>
        </w:tc>
      </w:tr>
      <w:tr w:rsidR="00353029" w:rsidRPr="00074F91" w:rsidTr="00F86F85">
        <w:tc>
          <w:tcPr>
            <w:tcW w:w="9212" w:type="dxa"/>
          </w:tcPr>
          <w:p w:rsidR="00353029" w:rsidRPr="00074F91" w:rsidRDefault="00353029" w:rsidP="00F86F85">
            <w:pPr>
              <w:pStyle w:val="AODocTxt"/>
              <w:numPr>
                <w:ilvl w:val="0"/>
                <w:numId w:val="2"/>
              </w:numPr>
              <w:rPr>
                <w:lang w:val="cs-CZ"/>
              </w:rPr>
            </w:pPr>
            <w:r w:rsidRPr="00074F91">
              <w:rPr>
                <w:lang w:val="cs-CZ"/>
              </w:rPr>
              <w:t>Lu</w:t>
            </w:r>
            <w:r w:rsidR="00AA27DA" w:rsidRPr="00074F91">
              <w:rPr>
                <w:lang w:val="cs-CZ"/>
              </w:rPr>
              <w:t>cemb</w:t>
            </w:r>
            <w:r w:rsidRPr="00074F91">
              <w:rPr>
                <w:lang w:val="cs-CZ"/>
              </w:rPr>
              <w:t>ur</w:t>
            </w:r>
            <w:r w:rsidR="00AA27DA" w:rsidRPr="00074F91">
              <w:rPr>
                <w:lang w:val="cs-CZ"/>
              </w:rPr>
              <w:t>sko</w:t>
            </w:r>
          </w:p>
        </w:tc>
      </w:tr>
      <w:tr w:rsidR="00353029" w:rsidRPr="00074F91" w:rsidTr="00F86F85">
        <w:tc>
          <w:tcPr>
            <w:tcW w:w="9212" w:type="dxa"/>
          </w:tcPr>
          <w:p w:rsidR="00353029" w:rsidRPr="00074F91" w:rsidRDefault="00353029" w:rsidP="00F86F85">
            <w:pPr>
              <w:pStyle w:val="AODocTxt"/>
              <w:numPr>
                <w:ilvl w:val="0"/>
                <w:numId w:val="2"/>
              </w:numPr>
              <w:rPr>
                <w:lang w:val="cs-CZ"/>
              </w:rPr>
            </w:pPr>
            <w:r w:rsidRPr="00074F91">
              <w:rPr>
                <w:lang w:val="cs-CZ"/>
              </w:rPr>
              <w:t>Tel: (+352) 26 49 65 27</w:t>
            </w:r>
          </w:p>
        </w:tc>
      </w:tr>
      <w:tr w:rsidR="00353029" w:rsidRPr="00074F91" w:rsidTr="00F86F85">
        <w:tc>
          <w:tcPr>
            <w:tcW w:w="9212" w:type="dxa"/>
          </w:tcPr>
          <w:p w:rsidR="00353029" w:rsidRPr="00074F91" w:rsidRDefault="00353029" w:rsidP="00F86F85">
            <w:pPr>
              <w:pStyle w:val="AODocTxt"/>
              <w:numPr>
                <w:ilvl w:val="0"/>
                <w:numId w:val="2"/>
              </w:numPr>
              <w:rPr>
                <w:lang w:val="cs-CZ"/>
              </w:rPr>
            </w:pPr>
            <w:r w:rsidRPr="00074F91">
              <w:rPr>
                <w:lang w:val="cs-CZ"/>
              </w:rPr>
              <w:t>Fax: (+352) 26 49 65 64</w:t>
            </w:r>
          </w:p>
        </w:tc>
      </w:tr>
      <w:tr w:rsidR="00353029" w:rsidRPr="00074F91" w:rsidTr="00F86F85">
        <w:tc>
          <w:tcPr>
            <w:tcW w:w="9212" w:type="dxa"/>
          </w:tcPr>
          <w:p w:rsidR="00353029" w:rsidRPr="00074F91" w:rsidRDefault="00353029" w:rsidP="00F86F85">
            <w:pPr>
              <w:pStyle w:val="AODocTxt"/>
              <w:numPr>
                <w:ilvl w:val="0"/>
                <w:numId w:val="2"/>
              </w:numPr>
              <w:rPr>
                <w:lang w:val="cs-CZ"/>
              </w:rPr>
            </w:pPr>
          </w:p>
        </w:tc>
      </w:tr>
      <w:tr w:rsidR="00353029" w:rsidRPr="00074F91" w:rsidTr="00F86F85">
        <w:tc>
          <w:tcPr>
            <w:tcW w:w="9212" w:type="dxa"/>
          </w:tcPr>
          <w:p w:rsidR="00353029" w:rsidRPr="00074F91" w:rsidRDefault="00AA27DA" w:rsidP="00F86F85">
            <w:pPr>
              <w:pStyle w:val="AODocTxt"/>
              <w:numPr>
                <w:ilvl w:val="0"/>
                <w:numId w:val="2"/>
              </w:numPr>
              <w:rPr>
                <w:b/>
                <w:lang w:val="cs-CZ"/>
              </w:rPr>
            </w:pPr>
            <w:r w:rsidRPr="00074F91">
              <w:rPr>
                <w:b/>
                <w:lang w:val="cs-CZ"/>
              </w:rPr>
              <w:t>Rejstřík a registrační číslo:</w:t>
            </w:r>
          </w:p>
        </w:tc>
      </w:tr>
      <w:tr w:rsidR="00353029" w:rsidRPr="00074F91" w:rsidTr="00F86F85">
        <w:tc>
          <w:tcPr>
            <w:tcW w:w="9212" w:type="dxa"/>
          </w:tcPr>
          <w:p w:rsidR="00353029" w:rsidRPr="00074F91" w:rsidRDefault="00AA27DA" w:rsidP="00F86F85">
            <w:pPr>
              <w:pStyle w:val="AODocTxt"/>
              <w:numPr>
                <w:ilvl w:val="0"/>
                <w:numId w:val="2"/>
              </w:numPr>
              <w:rPr>
                <w:lang w:val="cs-CZ"/>
              </w:rPr>
            </w:pPr>
            <w:r w:rsidRPr="00074F91">
              <w:rPr>
                <w:lang w:val="cs-CZ"/>
              </w:rPr>
              <w:t>Společnost je zapsána v rejstříku obchodu a společnost</w:t>
            </w:r>
            <w:r w:rsidR="002D7BE4" w:rsidRPr="00074F91">
              <w:rPr>
                <w:lang w:val="cs-CZ"/>
              </w:rPr>
              <w:t>í v Lucembursku pod číslem B 112.</w:t>
            </w:r>
            <w:r w:rsidRPr="00074F91">
              <w:rPr>
                <w:lang w:val="cs-CZ"/>
              </w:rPr>
              <w:t>044</w:t>
            </w:r>
          </w:p>
        </w:tc>
      </w:tr>
      <w:tr w:rsidR="00353029" w:rsidRPr="00074F91" w:rsidTr="00F86F85">
        <w:tc>
          <w:tcPr>
            <w:tcW w:w="9212" w:type="dxa"/>
          </w:tcPr>
          <w:p w:rsidR="00353029" w:rsidRPr="00074F91" w:rsidRDefault="00353029" w:rsidP="00F86F85">
            <w:pPr>
              <w:pStyle w:val="AODocTxt"/>
              <w:numPr>
                <w:ilvl w:val="0"/>
                <w:numId w:val="2"/>
              </w:numPr>
              <w:rPr>
                <w:lang w:val="cs-CZ"/>
              </w:rPr>
            </w:pPr>
          </w:p>
        </w:tc>
      </w:tr>
      <w:tr w:rsidR="00353029" w:rsidRPr="00074F91" w:rsidTr="00F86F85">
        <w:tc>
          <w:tcPr>
            <w:tcW w:w="9212" w:type="dxa"/>
          </w:tcPr>
          <w:p w:rsidR="00353029" w:rsidRPr="00074F91" w:rsidRDefault="00AA27DA" w:rsidP="00F86F85">
            <w:pPr>
              <w:pStyle w:val="AODocTxt"/>
              <w:numPr>
                <w:ilvl w:val="0"/>
                <w:numId w:val="2"/>
              </w:numPr>
              <w:rPr>
                <w:b/>
                <w:lang w:val="cs-CZ"/>
              </w:rPr>
            </w:pPr>
            <w:r w:rsidRPr="00074F91">
              <w:rPr>
                <w:b/>
                <w:lang w:val="cs-CZ"/>
              </w:rPr>
              <w:t>Vznik</w:t>
            </w:r>
            <w:r w:rsidR="00353029" w:rsidRPr="00074F91">
              <w:rPr>
                <w:b/>
                <w:lang w:val="cs-CZ"/>
              </w:rPr>
              <w:t>:</w:t>
            </w:r>
          </w:p>
        </w:tc>
      </w:tr>
      <w:tr w:rsidR="00353029" w:rsidRPr="00074F91" w:rsidTr="00F86F85">
        <w:tc>
          <w:tcPr>
            <w:tcW w:w="9212" w:type="dxa"/>
          </w:tcPr>
          <w:p w:rsidR="00353029" w:rsidRPr="00074F91" w:rsidRDefault="00AA27DA" w:rsidP="00F86F85">
            <w:pPr>
              <w:pStyle w:val="AODocTxt"/>
              <w:numPr>
                <w:ilvl w:val="0"/>
                <w:numId w:val="2"/>
              </w:numPr>
              <w:rPr>
                <w:lang w:val="cs-CZ"/>
              </w:rPr>
            </w:pPr>
            <w:r w:rsidRPr="00074F91">
              <w:rPr>
                <w:lang w:val="cs-CZ"/>
              </w:rPr>
              <w:t xml:space="preserve">18. listopadu 2005, pod původním jménem </w:t>
            </w:r>
            <w:r w:rsidR="00353029" w:rsidRPr="00074F91">
              <w:rPr>
                <w:lang w:val="cs-CZ"/>
              </w:rPr>
              <w:t>Pamplona PE Holdco 2 S.A</w:t>
            </w:r>
            <w:r w:rsidR="002910D6" w:rsidRPr="00074F91">
              <w:rPr>
                <w:lang w:val="cs-CZ"/>
              </w:rPr>
              <w:t>.</w:t>
            </w:r>
          </w:p>
        </w:tc>
      </w:tr>
      <w:tr w:rsidR="00353029" w:rsidRPr="00074F91" w:rsidTr="00F86F85">
        <w:tc>
          <w:tcPr>
            <w:tcW w:w="9212" w:type="dxa"/>
          </w:tcPr>
          <w:p w:rsidR="00353029" w:rsidRPr="00074F91" w:rsidRDefault="00353029" w:rsidP="00F86F85">
            <w:pPr>
              <w:pStyle w:val="AODocTxt"/>
              <w:numPr>
                <w:ilvl w:val="0"/>
                <w:numId w:val="2"/>
              </w:numPr>
              <w:rPr>
                <w:lang w:val="cs-CZ"/>
              </w:rPr>
            </w:pPr>
          </w:p>
        </w:tc>
      </w:tr>
      <w:tr w:rsidR="00353029" w:rsidRPr="00074F91" w:rsidTr="00F86F85">
        <w:tc>
          <w:tcPr>
            <w:tcW w:w="9212" w:type="dxa"/>
          </w:tcPr>
          <w:p w:rsidR="00353029" w:rsidRPr="00074F91" w:rsidRDefault="00353029" w:rsidP="00F86F85">
            <w:pPr>
              <w:pStyle w:val="AODocTxt"/>
              <w:numPr>
                <w:ilvl w:val="0"/>
                <w:numId w:val="2"/>
              </w:numPr>
              <w:rPr>
                <w:lang w:val="cs-CZ"/>
              </w:rPr>
            </w:pPr>
            <w:r w:rsidRPr="00074F91">
              <w:rPr>
                <w:b/>
                <w:lang w:val="cs-CZ"/>
              </w:rPr>
              <w:t>Jurisdi</w:t>
            </w:r>
            <w:r w:rsidR="001A4DE1" w:rsidRPr="00074F91">
              <w:rPr>
                <w:b/>
                <w:lang w:val="cs-CZ"/>
              </w:rPr>
              <w:t>k</w:t>
            </w:r>
            <w:r w:rsidRPr="00074F91">
              <w:rPr>
                <w:b/>
                <w:lang w:val="cs-CZ"/>
              </w:rPr>
              <w:t>c</w:t>
            </w:r>
            <w:r w:rsidR="001A4DE1" w:rsidRPr="00074F91">
              <w:rPr>
                <w:b/>
                <w:lang w:val="cs-CZ"/>
              </w:rPr>
              <w:t>e</w:t>
            </w:r>
            <w:r w:rsidRPr="00074F91">
              <w:rPr>
                <w:b/>
                <w:lang w:val="cs-CZ"/>
              </w:rPr>
              <w:t>:</w:t>
            </w:r>
          </w:p>
        </w:tc>
      </w:tr>
      <w:tr w:rsidR="00353029" w:rsidRPr="00074F91" w:rsidTr="00F86F85">
        <w:tc>
          <w:tcPr>
            <w:tcW w:w="9212" w:type="dxa"/>
          </w:tcPr>
          <w:p w:rsidR="00353029" w:rsidRPr="00074F91" w:rsidRDefault="001A4DE1" w:rsidP="00F86F85">
            <w:pPr>
              <w:pStyle w:val="AODocTxt"/>
              <w:numPr>
                <w:ilvl w:val="0"/>
                <w:numId w:val="2"/>
              </w:numPr>
              <w:rPr>
                <w:lang w:val="cs-CZ"/>
              </w:rPr>
            </w:pPr>
            <w:r w:rsidRPr="00074F91">
              <w:rPr>
                <w:lang w:val="cs-CZ"/>
              </w:rPr>
              <w:t>Luc</w:t>
            </w:r>
            <w:r w:rsidR="00353029" w:rsidRPr="00074F91">
              <w:rPr>
                <w:lang w:val="cs-CZ"/>
              </w:rPr>
              <w:t>embur</w:t>
            </w:r>
            <w:r w:rsidRPr="00074F91">
              <w:rPr>
                <w:lang w:val="cs-CZ"/>
              </w:rPr>
              <w:t>sko</w:t>
            </w:r>
          </w:p>
        </w:tc>
      </w:tr>
    </w:tbl>
    <w:p w:rsidR="001B2469" w:rsidRPr="00074F91" w:rsidRDefault="001A4DE1" w:rsidP="00E6305E">
      <w:pPr>
        <w:pStyle w:val="NormalWeb"/>
        <w:jc w:val="both"/>
      </w:pPr>
      <w:r w:rsidRPr="00074F91">
        <w:t>Holdingová společnost Skupiny PEGAS</w:t>
      </w:r>
      <w:r w:rsidR="00B81CE7" w:rsidRPr="00074F91">
        <w:t xml:space="preserve"> </w:t>
      </w:r>
      <w:r w:rsidRPr="00074F91">
        <w:t xml:space="preserve">NONWOVENS SA byla založena v Lucembursku jako </w:t>
      </w:r>
      <w:r w:rsidR="0023384D" w:rsidRPr="00074F91">
        <w:t xml:space="preserve">akciová </w:t>
      </w:r>
      <w:r w:rsidRPr="00074F91">
        <w:t xml:space="preserve">společnost </w:t>
      </w:r>
      <w:r w:rsidR="001B2469" w:rsidRPr="00074F91">
        <w:t xml:space="preserve">(société anonyme) </w:t>
      </w:r>
      <w:r w:rsidRPr="00074F91">
        <w:t xml:space="preserve">na dobu neurčitou 18. listopadu 2005 jako </w:t>
      </w:r>
      <w:r w:rsidR="00B81CE7" w:rsidRPr="00074F91">
        <w:t xml:space="preserve">Pamplona PE Holdco </w:t>
      </w:r>
      <w:r w:rsidR="001B2469" w:rsidRPr="00074F91">
        <w:t xml:space="preserve">2 S.A. </w:t>
      </w:r>
      <w:r w:rsidRPr="00074F91">
        <w:t xml:space="preserve">a je zapsána v rejstříku obchodu a společností v Lucembursku pod číslem </w:t>
      </w:r>
      <w:r w:rsidR="001B2469" w:rsidRPr="00074F91">
        <w:t xml:space="preserve">B 112.044. </w:t>
      </w:r>
      <w:r w:rsidRPr="00074F91">
        <w:t xml:space="preserve">Stanovy Společnosti byly uveřejněny v </w:t>
      </w:r>
      <w:r w:rsidR="001B2469" w:rsidRPr="00074F91">
        <w:t xml:space="preserve">Mémorial, Recueil des Sociétés et Associations </w:t>
      </w:r>
      <w:r w:rsidRPr="00074F91">
        <w:t>pod číslem</w:t>
      </w:r>
      <w:r w:rsidR="001B2469" w:rsidRPr="00074F91">
        <w:t xml:space="preserve"> C 440 </w:t>
      </w:r>
      <w:r w:rsidRPr="00074F91">
        <w:t xml:space="preserve">1. března 2006. Sídlo Společnosti je 68-70, </w:t>
      </w:r>
      <w:r w:rsidR="001B2469" w:rsidRPr="00074F91">
        <w:t>boulevard de la Pétrusse</w:t>
      </w:r>
      <w:r w:rsidRPr="00074F91">
        <w:t xml:space="preserve">, L-2320 </w:t>
      </w:r>
      <w:r w:rsidR="00EE3094" w:rsidRPr="00074F91">
        <w:t>Luc</w:t>
      </w:r>
      <w:r w:rsidR="00A60081" w:rsidRPr="00074F91">
        <w:t>emburk</w:t>
      </w:r>
      <w:r w:rsidRPr="00074F91">
        <w:t>, Luc</w:t>
      </w:r>
      <w:r w:rsidR="001B2469" w:rsidRPr="00074F91">
        <w:t>embur</w:t>
      </w:r>
      <w:r w:rsidRPr="00074F91">
        <w:t>sko</w:t>
      </w:r>
      <w:r w:rsidR="001B2469" w:rsidRPr="00074F91">
        <w:t>.</w:t>
      </w:r>
      <w:r w:rsidRPr="00074F91">
        <w:t xml:space="preserve"> Sídlo a místo podnikání hlavní provozní entity </w:t>
      </w:r>
      <w:r w:rsidR="00353029" w:rsidRPr="00074F91">
        <w:t>PEGAS NON</w:t>
      </w:r>
      <w:r w:rsidRPr="00074F91">
        <w:t>WOVEN</w:t>
      </w:r>
      <w:r w:rsidR="001B2469" w:rsidRPr="00074F91">
        <w:t xml:space="preserve">S s.r.o. </w:t>
      </w:r>
      <w:r w:rsidRPr="00074F91">
        <w:t>je</w:t>
      </w:r>
      <w:r w:rsidR="001B2469" w:rsidRPr="00074F91">
        <w:t xml:space="preserve"> Přímětická</w:t>
      </w:r>
      <w:r w:rsidR="00531A02" w:rsidRPr="00074F91">
        <w:t xml:space="preserve"> </w:t>
      </w:r>
      <w:r w:rsidRPr="00074F91">
        <w:t>3623/</w:t>
      </w:r>
      <w:r w:rsidR="00531A02" w:rsidRPr="00074F91">
        <w:t xml:space="preserve">86, </w:t>
      </w:r>
      <w:r w:rsidR="001B2469" w:rsidRPr="00074F91">
        <w:t xml:space="preserve">669 04 Znojmo, </w:t>
      </w:r>
      <w:r w:rsidRPr="00074F91">
        <w:t>Česká republika</w:t>
      </w:r>
      <w:r w:rsidR="001B2469" w:rsidRPr="00074F91">
        <w:t>.</w:t>
      </w:r>
    </w:p>
    <w:p w:rsidR="00F06832" w:rsidRPr="00074F91" w:rsidRDefault="00F06832">
      <w:pPr>
        <w:rPr>
          <w:b/>
          <w:bCs/>
          <w:color w:val="000000"/>
        </w:rPr>
      </w:pPr>
      <w:r w:rsidRPr="00074F91">
        <w:rPr>
          <w:b/>
          <w:bCs/>
          <w:color w:val="000000"/>
        </w:rPr>
        <w:br w:type="page"/>
      </w:r>
    </w:p>
    <w:p w:rsidR="001B2469" w:rsidRPr="00074F91" w:rsidRDefault="001A4DE1" w:rsidP="001B2469">
      <w:pPr>
        <w:autoSpaceDE w:val="0"/>
        <w:autoSpaceDN w:val="0"/>
        <w:adjustRightInd w:val="0"/>
        <w:rPr>
          <w:b/>
          <w:bCs/>
          <w:color w:val="000000"/>
        </w:rPr>
      </w:pPr>
      <w:r w:rsidRPr="00074F91">
        <w:rPr>
          <w:b/>
          <w:bCs/>
          <w:color w:val="000000"/>
        </w:rPr>
        <w:lastRenderedPageBreak/>
        <w:t>Předmět podnikání (článek 3 Stanov)</w:t>
      </w:r>
      <w:r w:rsidR="001B2469" w:rsidRPr="00074F91">
        <w:rPr>
          <w:b/>
          <w:bCs/>
          <w:color w:val="000000"/>
        </w:rPr>
        <w:t>:</w:t>
      </w:r>
    </w:p>
    <w:p w:rsidR="00B31D67" w:rsidRPr="00074F91" w:rsidRDefault="00B31D67" w:rsidP="001B2469">
      <w:pPr>
        <w:autoSpaceDE w:val="0"/>
        <w:autoSpaceDN w:val="0"/>
        <w:adjustRightInd w:val="0"/>
        <w:rPr>
          <w:b/>
          <w:bCs/>
          <w:color w:val="000000"/>
        </w:rPr>
      </w:pPr>
    </w:p>
    <w:p w:rsidR="00386745" w:rsidRPr="00074F91" w:rsidRDefault="00386745" w:rsidP="008D6A40">
      <w:pPr>
        <w:jc w:val="both"/>
      </w:pPr>
      <w:r w:rsidRPr="00074F91">
        <w:t>Předmětem Společnosti je:</w:t>
      </w:r>
    </w:p>
    <w:p w:rsidR="00386745" w:rsidRPr="00074F91" w:rsidRDefault="00386745" w:rsidP="000C1BD0">
      <w:pPr>
        <w:spacing w:before="240"/>
        <w:jc w:val="both"/>
      </w:pPr>
      <w:r w:rsidRPr="00074F91">
        <w:t>a) nabývání podílů a majetkových účastí v jakékoliv formě v obchodních, průmyslových,</w:t>
      </w:r>
      <w:r w:rsidR="000C1BD0" w:rsidRPr="00074F91">
        <w:t xml:space="preserve"> </w:t>
      </w:r>
      <w:r w:rsidRPr="00074F91">
        <w:t>finančních a jiných entitách se sídlem v Lucembursku nebo v zahraničí;</w:t>
      </w:r>
    </w:p>
    <w:p w:rsidR="00386745" w:rsidRPr="00074F91" w:rsidRDefault="00386745" w:rsidP="000C1BD0">
      <w:pPr>
        <w:spacing w:before="240"/>
        <w:jc w:val="both"/>
      </w:pPr>
      <w:r w:rsidRPr="00074F91">
        <w:t>b) nabývání cenných papírů a práv prostřednictvím podílů a účastí, upisování nákupu</w:t>
      </w:r>
      <w:r w:rsidR="000C1BD0" w:rsidRPr="00074F91">
        <w:t xml:space="preserve"> </w:t>
      </w:r>
      <w:r w:rsidRPr="00074F91">
        <w:t>opcí, vyjednávání a zejména získávání patentů, licencí a ostatních majetků, práv a</w:t>
      </w:r>
      <w:r w:rsidR="000C1BD0" w:rsidRPr="00074F91">
        <w:t xml:space="preserve"> </w:t>
      </w:r>
      <w:r w:rsidRPr="00074F91">
        <w:t>majetku dle vlastní úvahy, vlastnictví, řízení, rozvoj, prodej či dispozice výše uvedeného</w:t>
      </w:r>
      <w:r w:rsidR="000C1BD0" w:rsidRPr="00074F91">
        <w:t xml:space="preserve"> </w:t>
      </w:r>
      <w:r w:rsidRPr="00074F91">
        <w:t>v celku či po částech za úplatu dle úvahy Společnosti, zejména za cenné papíry nebo</w:t>
      </w:r>
      <w:r w:rsidR="00F06832" w:rsidRPr="00074F91">
        <w:t xml:space="preserve"> podíly;</w:t>
      </w:r>
    </w:p>
    <w:p w:rsidR="00386745" w:rsidRPr="00074F91" w:rsidRDefault="00386745" w:rsidP="000C1BD0">
      <w:pPr>
        <w:spacing w:before="240"/>
        <w:jc w:val="both"/>
      </w:pPr>
      <w:r w:rsidRPr="00074F91">
        <w:t>c) uzavření, podpora nebo účast na finančních, obchodních a jiných transakcích a podpora</w:t>
      </w:r>
      <w:r w:rsidR="000C1BD0" w:rsidRPr="00074F91">
        <w:t xml:space="preserve"> </w:t>
      </w:r>
      <w:r w:rsidRPr="00074F91">
        <w:t>holdingové společnosti, dceřiné společnosti, spřízněné osob</w:t>
      </w:r>
      <w:r w:rsidR="00832D93" w:rsidRPr="00074F91">
        <w:t>y</w:t>
      </w:r>
      <w:r w:rsidRPr="00074F91">
        <w:t xml:space="preserve"> nebo jakékoliv jiné</w:t>
      </w:r>
      <w:r w:rsidR="000C1BD0" w:rsidRPr="00074F91">
        <w:t xml:space="preserve"> </w:t>
      </w:r>
      <w:r w:rsidRPr="00074F91">
        <w:t>spojené se Společností nebo se zmíněnou holdingovou společností, dceřinou společností</w:t>
      </w:r>
      <w:r w:rsidR="000C1BD0" w:rsidRPr="00074F91">
        <w:t xml:space="preserve"> </w:t>
      </w:r>
      <w:r w:rsidRPr="00074F91">
        <w:t>nebo spřízněnou osobou, ve které má Společnost přímý nebo nepřímý finanční podíl,</w:t>
      </w:r>
      <w:r w:rsidR="000C1BD0" w:rsidRPr="00074F91">
        <w:t xml:space="preserve"> </w:t>
      </w:r>
      <w:r w:rsidR="00F06832" w:rsidRPr="00074F91">
        <w:t xml:space="preserve">při </w:t>
      </w:r>
      <w:r w:rsidRPr="00074F91">
        <w:t>zřizování zástav, půjček a záruk;</w:t>
      </w:r>
    </w:p>
    <w:p w:rsidR="00386745" w:rsidRPr="00074F91" w:rsidRDefault="00386745" w:rsidP="000C1BD0">
      <w:pPr>
        <w:spacing w:before="240"/>
        <w:jc w:val="both"/>
      </w:pPr>
      <w:r w:rsidRPr="00074F91">
        <w:t>d) půjčování či získávání peněžních prostředků jakýmkoliv způsobem a zajištění splácení</w:t>
      </w:r>
      <w:r w:rsidR="000C1BD0" w:rsidRPr="00074F91">
        <w:t xml:space="preserve"> </w:t>
      </w:r>
      <w:r w:rsidRPr="00074F91">
        <w:t>jakýchkoliv půjčených prostředků;</w:t>
      </w:r>
    </w:p>
    <w:p w:rsidR="00F06832" w:rsidRPr="00074F91" w:rsidRDefault="00386745" w:rsidP="000C1BD0">
      <w:pPr>
        <w:spacing w:before="240"/>
        <w:jc w:val="both"/>
      </w:pPr>
      <w:r w:rsidRPr="00074F91">
        <w:t>e) získávání půjček a emise dluhopisů a jiných cenných papírů</w:t>
      </w:r>
      <w:r w:rsidR="00832D93" w:rsidRPr="00074F91">
        <w:t>;</w:t>
      </w:r>
    </w:p>
    <w:p w:rsidR="00386745" w:rsidRPr="00074F91" w:rsidRDefault="00F06832" w:rsidP="000C1BD0">
      <w:pPr>
        <w:spacing w:before="240"/>
        <w:jc w:val="both"/>
      </w:pPr>
      <w:r w:rsidRPr="00074F91">
        <w:t>f)</w:t>
      </w:r>
      <w:r w:rsidR="000C1BD0" w:rsidRPr="00074F91">
        <w:t xml:space="preserve"> </w:t>
      </w:r>
      <w:r w:rsidR="00386745" w:rsidRPr="00074F91">
        <w:t xml:space="preserve">všechny operace vztahující se k výše uvedenému výčtu </w:t>
      </w:r>
      <w:r w:rsidRPr="00074F91">
        <w:t>-</w:t>
      </w:r>
      <w:r w:rsidR="00386745" w:rsidRPr="00074F91">
        <w:t xml:space="preserve"> přímo </w:t>
      </w:r>
      <w:r w:rsidRPr="00074F91">
        <w:t>či</w:t>
      </w:r>
      <w:r w:rsidR="00386745" w:rsidRPr="00074F91">
        <w:t xml:space="preserve"> nepřímo.</w:t>
      </w:r>
    </w:p>
    <w:p w:rsidR="00386745" w:rsidRPr="00074F91" w:rsidRDefault="00386745" w:rsidP="002F2BDD">
      <w:pPr>
        <w:pStyle w:val="AODocTxt"/>
        <w:rPr>
          <w:rFonts w:eastAsia="Times New Roman"/>
          <w:sz w:val="24"/>
          <w:szCs w:val="24"/>
          <w:lang w:val="cs-CZ" w:eastAsia="cs-CZ"/>
        </w:rPr>
      </w:pPr>
    </w:p>
    <w:sectPr w:rsidR="00386745" w:rsidRPr="00074F91" w:rsidSect="00E431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B9" w:rsidRDefault="004B12B9">
      <w:r>
        <w:separator/>
      </w:r>
    </w:p>
  </w:endnote>
  <w:endnote w:type="continuationSeparator" w:id="0">
    <w:p w:rsidR="004B12B9" w:rsidRDefault="004B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EurostileTEEBla">
    <w:altName w:val="EurostileTEEBla"/>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B9" w:rsidRDefault="004B12B9" w:rsidP="00EA5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12B9" w:rsidRDefault="004B1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B9" w:rsidRDefault="004B12B9" w:rsidP="00EA5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826">
      <w:rPr>
        <w:rStyle w:val="PageNumber"/>
        <w:noProof/>
      </w:rPr>
      <w:t>26</w:t>
    </w:r>
    <w:r>
      <w:rPr>
        <w:rStyle w:val="PageNumber"/>
      </w:rPr>
      <w:fldChar w:fldCharType="end"/>
    </w:r>
  </w:p>
  <w:p w:rsidR="004B12B9" w:rsidRDefault="004B1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B9" w:rsidRDefault="004B12B9">
      <w:r>
        <w:separator/>
      </w:r>
    </w:p>
  </w:footnote>
  <w:footnote w:type="continuationSeparator" w:id="0">
    <w:p w:rsidR="004B12B9" w:rsidRDefault="004B12B9">
      <w:r>
        <w:continuationSeparator/>
      </w:r>
    </w:p>
  </w:footnote>
  <w:footnote w:id="1">
    <w:p w:rsidR="004B12B9" w:rsidRPr="009361D0" w:rsidRDefault="004B12B9" w:rsidP="003A7460">
      <w:pPr>
        <w:pStyle w:val="FootnoteText"/>
      </w:pPr>
      <w:r w:rsidRPr="009361D0">
        <w:rPr>
          <w:rStyle w:val="FootnoteReference"/>
        </w:rPr>
        <w:footnoteRef/>
      </w:r>
      <w:r w:rsidRPr="009361D0">
        <w:t xml:space="preserve"> Rozdělení dle geografie urč</w:t>
      </w:r>
      <w:r>
        <w:t>eno</w:t>
      </w:r>
      <w:r w:rsidRPr="009361D0">
        <w:t xml:space="preserve"> místem dodání zboží.</w:t>
      </w:r>
    </w:p>
  </w:footnote>
  <w:footnote w:id="2">
    <w:p w:rsidR="004B12B9" w:rsidRPr="00AB67B0" w:rsidRDefault="004B12B9">
      <w:pPr>
        <w:pStyle w:val="FootnoteText"/>
      </w:pPr>
      <w:r>
        <w:rPr>
          <w:rStyle w:val="FootnoteReference"/>
        </w:rPr>
        <w:footnoteRef/>
      </w:r>
      <w:r>
        <w:t xml:space="preserve"> Zdroj: W</w:t>
      </w:r>
      <w:r w:rsidRPr="00AB67B0">
        <w:t xml:space="preserve">ebové stránky BCPP a </w:t>
      </w:r>
      <w:r w:rsidRPr="00FF1FB9">
        <w:t>WSE</w:t>
      </w:r>
      <w:r w:rsidRPr="00AB67B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1BBE6"/>
    <w:multiLevelType w:val="hybridMultilevel"/>
    <w:tmpl w:val="D87C55E2"/>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20BCB"/>
    <w:multiLevelType w:val="multilevel"/>
    <w:tmpl w:val="04050025"/>
    <w:lvl w:ilvl="0">
      <w:start w:val="1"/>
      <w:numFmt w:val="decimal"/>
      <w:pStyle w:val="Heading1"/>
      <w:lvlText w:val="%1"/>
      <w:lvlJc w:val="left"/>
      <w:pPr>
        <w:tabs>
          <w:tab w:val="num" w:pos="2276"/>
        </w:tabs>
        <w:ind w:left="2276"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nsid w:val="14773F3D"/>
    <w:multiLevelType w:val="hybridMultilevel"/>
    <w:tmpl w:val="8B0E2CB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19BA177E"/>
    <w:multiLevelType w:val="hybridMultilevel"/>
    <w:tmpl w:val="BE6A806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5E206D9"/>
    <w:multiLevelType w:val="hybridMultilevel"/>
    <w:tmpl w:val="ADC844D2"/>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68E5059"/>
    <w:multiLevelType w:val="hybridMultilevel"/>
    <w:tmpl w:val="6A441B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8">
    <w:nsid w:val="36CD219B"/>
    <w:multiLevelType w:val="hybridMultilevel"/>
    <w:tmpl w:val="E49E3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EE4787"/>
    <w:multiLevelType w:val="hybridMultilevel"/>
    <w:tmpl w:val="1C589E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0762436"/>
    <w:multiLevelType w:val="hybridMultilevel"/>
    <w:tmpl w:val="A440B1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75B3203"/>
    <w:multiLevelType w:val="multilevel"/>
    <w:tmpl w:val="6096DEFC"/>
    <w:name w:val="AODoc"/>
    <w:lvl w:ilvl="0">
      <w:start w:val="1"/>
      <w:numFmt w:val="none"/>
      <w:pStyle w:val="AODocTxtCharChar"/>
      <w:suff w:val="nothing"/>
      <w:lvlText w:val=""/>
      <w:lvlJc w:val="left"/>
      <w:pPr>
        <w:ind w:left="0" w:firstLine="0"/>
      </w:pPr>
    </w:lvl>
    <w:lvl w:ilvl="1">
      <w:start w:val="1"/>
      <w:numFmt w:val="none"/>
      <w:pStyle w:val="AODocTxtCharChar"/>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2">
    <w:nsid w:val="48FD5A48"/>
    <w:multiLevelType w:val="hybridMultilevel"/>
    <w:tmpl w:val="9196A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FE7B09"/>
    <w:multiLevelType w:val="multilevel"/>
    <w:tmpl w:val="94F29B5C"/>
    <w:lvl w:ilvl="0">
      <w:start w:val="1"/>
      <w:numFmt w:val="decimal"/>
      <w:pStyle w:val="AO1"/>
      <w:lvlText w:val="(%1)"/>
      <w:lvlJc w:val="left"/>
      <w:pPr>
        <w:tabs>
          <w:tab w:val="num" w:pos="1710"/>
        </w:tabs>
        <w:ind w:left="1710" w:hanging="720"/>
      </w:pPr>
    </w:lvl>
    <w:lvl w:ilvl="1">
      <w:start w:val="1"/>
      <w:numFmt w:val="none"/>
      <w:lvlRestart w:val="0"/>
      <w:suff w:val="nothing"/>
      <w:lvlText w:val=""/>
      <w:lvlJc w:val="left"/>
      <w:pPr>
        <w:ind w:left="990" w:firstLine="0"/>
      </w:pPr>
    </w:lvl>
    <w:lvl w:ilvl="2">
      <w:start w:val="1"/>
      <w:numFmt w:val="none"/>
      <w:lvlRestart w:val="0"/>
      <w:suff w:val="nothing"/>
      <w:lvlText w:val=""/>
      <w:lvlJc w:val="left"/>
      <w:pPr>
        <w:ind w:left="990" w:firstLine="0"/>
      </w:pPr>
    </w:lvl>
    <w:lvl w:ilvl="3">
      <w:start w:val="1"/>
      <w:numFmt w:val="none"/>
      <w:lvlRestart w:val="0"/>
      <w:suff w:val="nothing"/>
      <w:lvlText w:val=""/>
      <w:lvlJc w:val="left"/>
      <w:pPr>
        <w:ind w:left="990" w:firstLine="0"/>
      </w:pPr>
    </w:lvl>
    <w:lvl w:ilvl="4">
      <w:start w:val="1"/>
      <w:numFmt w:val="none"/>
      <w:lvlRestart w:val="0"/>
      <w:suff w:val="nothing"/>
      <w:lvlText w:val=""/>
      <w:lvlJc w:val="left"/>
      <w:pPr>
        <w:ind w:left="990" w:firstLine="0"/>
      </w:pPr>
    </w:lvl>
    <w:lvl w:ilvl="5">
      <w:start w:val="1"/>
      <w:numFmt w:val="none"/>
      <w:lvlRestart w:val="0"/>
      <w:suff w:val="nothing"/>
      <w:lvlText w:val=""/>
      <w:lvlJc w:val="left"/>
      <w:pPr>
        <w:ind w:left="990" w:firstLine="0"/>
      </w:pPr>
    </w:lvl>
    <w:lvl w:ilvl="6">
      <w:start w:val="1"/>
      <w:numFmt w:val="none"/>
      <w:lvlRestart w:val="0"/>
      <w:suff w:val="nothing"/>
      <w:lvlText w:val=""/>
      <w:lvlJc w:val="left"/>
      <w:pPr>
        <w:ind w:left="990" w:firstLine="0"/>
      </w:pPr>
    </w:lvl>
    <w:lvl w:ilvl="7">
      <w:start w:val="1"/>
      <w:numFmt w:val="none"/>
      <w:lvlRestart w:val="0"/>
      <w:suff w:val="nothing"/>
      <w:lvlText w:val=""/>
      <w:lvlJc w:val="left"/>
      <w:pPr>
        <w:ind w:left="990" w:firstLine="0"/>
      </w:pPr>
    </w:lvl>
    <w:lvl w:ilvl="8">
      <w:start w:val="1"/>
      <w:numFmt w:val="none"/>
      <w:lvlRestart w:val="0"/>
      <w:suff w:val="nothing"/>
      <w:lvlText w:val=""/>
      <w:lvlJc w:val="left"/>
      <w:pPr>
        <w:ind w:left="990" w:firstLine="0"/>
      </w:pPr>
    </w:lvl>
  </w:abstractNum>
  <w:abstractNum w:abstractNumId="14">
    <w:nsid w:val="4E4B4E3E"/>
    <w:multiLevelType w:val="multilevel"/>
    <w:tmpl w:val="83A01EB8"/>
    <w:name w:val="AOHead"/>
    <w:lvl w:ilvl="0">
      <w:start w:val="1"/>
      <w:numFmt w:val="decimal"/>
      <w:pStyle w:val="AOHead1"/>
      <w:lvlText w:val="%1."/>
      <w:lvlJc w:val="left"/>
      <w:pPr>
        <w:tabs>
          <w:tab w:val="num" w:pos="720"/>
        </w:tabs>
        <w:ind w:left="720" w:hanging="720"/>
      </w:pPr>
    </w:lvl>
    <w:lvl w:ilvl="1">
      <w:start w:val="1"/>
      <w:numFmt w:val="decimal"/>
      <w:pStyle w:val="AOHead1"/>
      <w:lvlText w:val="%1.%2"/>
      <w:lvlJc w:val="left"/>
      <w:pPr>
        <w:tabs>
          <w:tab w:val="num" w:pos="862"/>
        </w:tabs>
        <w:ind w:left="862" w:hanging="720"/>
      </w:pPr>
      <w:rPr>
        <w:b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nsid w:val="510E4548"/>
    <w:multiLevelType w:val="hybridMultilevel"/>
    <w:tmpl w:val="16B6A29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nsid w:val="512836C1"/>
    <w:multiLevelType w:val="hybridMultilevel"/>
    <w:tmpl w:val="85129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1E657F"/>
    <w:multiLevelType w:val="hybridMultilevel"/>
    <w:tmpl w:val="0B1A5370"/>
    <w:lvl w:ilvl="0" w:tplc="093CBC5C">
      <w:start w:val="1"/>
      <w:numFmt w:val="lowerLetter"/>
      <w:lvlText w:val="%1)"/>
      <w:lvlJc w:val="left"/>
      <w:pPr>
        <w:tabs>
          <w:tab w:val="num" w:pos="600"/>
        </w:tabs>
        <w:ind w:left="600" w:hanging="360"/>
      </w:pPr>
      <w:rPr>
        <w:rFonts w:cs="Times New Roman" w:hint="default"/>
        <w:b/>
        <w:i w:val="0"/>
      </w:rPr>
    </w:lvl>
    <w:lvl w:ilvl="1" w:tplc="5688F60C">
      <w:start w:val="1"/>
      <w:numFmt w:val="lowerLetter"/>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7C03674"/>
    <w:multiLevelType w:val="hybridMultilevel"/>
    <w:tmpl w:val="A15E339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E116E82"/>
    <w:multiLevelType w:val="hybridMultilevel"/>
    <w:tmpl w:val="7528D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DEA00BC"/>
    <w:multiLevelType w:val="hybridMultilevel"/>
    <w:tmpl w:val="CC36DA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76A759B"/>
    <w:multiLevelType w:val="hybridMultilevel"/>
    <w:tmpl w:val="293AF0F8"/>
    <w:lvl w:ilvl="0" w:tplc="C6AC6EB6">
      <w:start w:val="1"/>
      <w:numFmt w:val="decimal"/>
      <w:pStyle w:val="Ne1"/>
      <w:lvlText w:val="%1."/>
      <w:lvlJc w:val="left"/>
      <w:pPr>
        <w:tabs>
          <w:tab w:val="num" w:pos="540"/>
        </w:tabs>
        <w:ind w:left="540" w:hanging="540"/>
      </w:pPr>
      <w:rPr>
        <w:rFonts w:hint="default"/>
      </w:rPr>
    </w:lvl>
    <w:lvl w:ilvl="1" w:tplc="0409000F">
      <w:start w:val="1"/>
      <w:numFmt w:val="decimal"/>
      <w:lvlText w:val="%2."/>
      <w:lvlJc w:val="left"/>
      <w:pPr>
        <w:tabs>
          <w:tab w:val="num" w:pos="1440"/>
        </w:tabs>
        <w:ind w:left="1440" w:hanging="360"/>
      </w:pPr>
      <w:rPr>
        <w:rFonts w:hint="default"/>
      </w:rPr>
    </w:lvl>
    <w:lvl w:ilvl="2" w:tplc="E82C7B68">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9EC1C0D"/>
    <w:multiLevelType w:val="hybridMultilevel"/>
    <w:tmpl w:val="F8A69140"/>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2"/>
  </w:num>
  <w:num w:numId="4">
    <w:abstractNumId w:val="7"/>
  </w:num>
  <w:num w:numId="5">
    <w:abstractNumId w:val="21"/>
  </w:num>
  <w:num w:numId="6">
    <w:abstractNumId w:val="13"/>
  </w:num>
  <w:num w:numId="7">
    <w:abstractNumId w:val="14"/>
  </w:num>
  <w:num w:numId="8">
    <w:abstractNumId w:val="9"/>
  </w:num>
  <w:num w:numId="9">
    <w:abstractNumId w:val="5"/>
  </w:num>
  <w:num w:numId="10">
    <w:abstractNumId w:val="20"/>
  </w:num>
  <w:num w:numId="11">
    <w:abstractNumId w:val="4"/>
  </w:num>
  <w:num w:numId="12">
    <w:abstractNumId w:val="10"/>
  </w:num>
  <w:num w:numId="13">
    <w:abstractNumId w:val="1"/>
  </w:num>
  <w:num w:numId="14">
    <w:abstractNumId w:val="1"/>
  </w:num>
  <w:num w:numId="15">
    <w:abstractNumId w:val="18"/>
  </w:num>
  <w:num w:numId="16">
    <w:abstractNumId w:val="1"/>
  </w:num>
  <w:num w:numId="17">
    <w:abstractNumId w:val="1"/>
  </w:num>
  <w:num w:numId="18">
    <w:abstractNumId w:val="1"/>
  </w:num>
  <w:num w:numId="19">
    <w:abstractNumId w:val="1"/>
  </w:num>
  <w:num w:numId="20">
    <w:abstractNumId w:val="15"/>
  </w:num>
  <w:num w:numId="21">
    <w:abstractNumId w:val="3"/>
  </w:num>
  <w:num w:numId="22">
    <w:abstractNumId w:val="6"/>
  </w:num>
  <w:num w:numId="23">
    <w:abstractNumId w:val="1"/>
  </w:num>
  <w:num w:numId="24">
    <w:abstractNumId w:val="1"/>
  </w:num>
  <w:num w:numId="25">
    <w:abstractNumId w:val="1"/>
  </w:num>
  <w:num w:numId="26">
    <w:abstractNumId w:val="1"/>
  </w:num>
  <w:num w:numId="27">
    <w:abstractNumId w:val="1"/>
  </w:num>
  <w:num w:numId="28">
    <w:abstractNumId w:val="0"/>
  </w:num>
  <w:num w:numId="29">
    <w:abstractNumId w:val="1"/>
  </w:num>
  <w:num w:numId="30">
    <w:abstractNumId w:val="22"/>
  </w:num>
  <w:num w:numId="31">
    <w:abstractNumId w:val="17"/>
  </w:num>
  <w:num w:numId="32">
    <w:abstractNumId w:val="19"/>
  </w:num>
  <w:num w:numId="33">
    <w:abstractNumId w:val="12"/>
  </w:num>
  <w:num w:numId="34">
    <w:abstractNumId w:val="8"/>
  </w:num>
  <w:num w:numId="35">
    <w:abstractNumId w:val="1"/>
  </w:num>
  <w:num w:numId="36">
    <w:abstractNumId w:val="1"/>
  </w:num>
  <w:num w:numId="37">
    <w:abstractNumId w:val="1"/>
  </w:num>
  <w:num w:numId="38">
    <w:abstractNumId w:val="1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1"/>
  </w:num>
  <w:num w:numId="42">
    <w:abstractNumId w:val="11"/>
  </w:num>
  <w:num w:numId="43">
    <w:abstractNumId w:val="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00"/>
    <w:rsid w:val="00000A8B"/>
    <w:rsid w:val="00000EAB"/>
    <w:rsid w:val="00001057"/>
    <w:rsid w:val="0000137A"/>
    <w:rsid w:val="0000149D"/>
    <w:rsid w:val="00001509"/>
    <w:rsid w:val="00002A15"/>
    <w:rsid w:val="00002E31"/>
    <w:rsid w:val="00002E34"/>
    <w:rsid w:val="00003012"/>
    <w:rsid w:val="00003140"/>
    <w:rsid w:val="0000359A"/>
    <w:rsid w:val="0000387A"/>
    <w:rsid w:val="00003BE1"/>
    <w:rsid w:val="00003C09"/>
    <w:rsid w:val="00004206"/>
    <w:rsid w:val="00004F0D"/>
    <w:rsid w:val="00004FFE"/>
    <w:rsid w:val="0000618D"/>
    <w:rsid w:val="00006D3F"/>
    <w:rsid w:val="00006F52"/>
    <w:rsid w:val="00007E9E"/>
    <w:rsid w:val="000101E8"/>
    <w:rsid w:val="00010B7D"/>
    <w:rsid w:val="00010C2B"/>
    <w:rsid w:val="00010F1A"/>
    <w:rsid w:val="00014A14"/>
    <w:rsid w:val="00014BFE"/>
    <w:rsid w:val="0001548A"/>
    <w:rsid w:val="0001555E"/>
    <w:rsid w:val="000166B9"/>
    <w:rsid w:val="00016EC9"/>
    <w:rsid w:val="00017F09"/>
    <w:rsid w:val="00020C0F"/>
    <w:rsid w:val="00021296"/>
    <w:rsid w:val="00023429"/>
    <w:rsid w:val="00024C66"/>
    <w:rsid w:val="00025DC3"/>
    <w:rsid w:val="000260AF"/>
    <w:rsid w:val="000268CB"/>
    <w:rsid w:val="00026960"/>
    <w:rsid w:val="00031871"/>
    <w:rsid w:val="000325BE"/>
    <w:rsid w:val="00033397"/>
    <w:rsid w:val="000335DA"/>
    <w:rsid w:val="00033B14"/>
    <w:rsid w:val="00035BEE"/>
    <w:rsid w:val="00036699"/>
    <w:rsid w:val="00036B50"/>
    <w:rsid w:val="0003709D"/>
    <w:rsid w:val="00042D31"/>
    <w:rsid w:val="00043A80"/>
    <w:rsid w:val="00045A28"/>
    <w:rsid w:val="00046379"/>
    <w:rsid w:val="0004646F"/>
    <w:rsid w:val="00046C4B"/>
    <w:rsid w:val="00047E04"/>
    <w:rsid w:val="00047FA7"/>
    <w:rsid w:val="00050C7B"/>
    <w:rsid w:val="00051878"/>
    <w:rsid w:val="00052298"/>
    <w:rsid w:val="000530C2"/>
    <w:rsid w:val="0005416B"/>
    <w:rsid w:val="00055178"/>
    <w:rsid w:val="00055587"/>
    <w:rsid w:val="000555E7"/>
    <w:rsid w:val="00055F93"/>
    <w:rsid w:val="00057110"/>
    <w:rsid w:val="00060293"/>
    <w:rsid w:val="000618A6"/>
    <w:rsid w:val="00061A8A"/>
    <w:rsid w:val="0006353F"/>
    <w:rsid w:val="000636E0"/>
    <w:rsid w:val="00063CB3"/>
    <w:rsid w:val="00064B52"/>
    <w:rsid w:val="00064E48"/>
    <w:rsid w:val="00066B8A"/>
    <w:rsid w:val="000671B3"/>
    <w:rsid w:val="0006750C"/>
    <w:rsid w:val="00067586"/>
    <w:rsid w:val="00070375"/>
    <w:rsid w:val="00071019"/>
    <w:rsid w:val="00071AB2"/>
    <w:rsid w:val="00071CE8"/>
    <w:rsid w:val="00071D2F"/>
    <w:rsid w:val="00071F1D"/>
    <w:rsid w:val="000724C0"/>
    <w:rsid w:val="00072812"/>
    <w:rsid w:val="00072F85"/>
    <w:rsid w:val="000733F4"/>
    <w:rsid w:val="00073AB5"/>
    <w:rsid w:val="00074959"/>
    <w:rsid w:val="00074F91"/>
    <w:rsid w:val="00075F26"/>
    <w:rsid w:val="00080338"/>
    <w:rsid w:val="00080614"/>
    <w:rsid w:val="00080B91"/>
    <w:rsid w:val="000814F3"/>
    <w:rsid w:val="00082E4B"/>
    <w:rsid w:val="00082FCB"/>
    <w:rsid w:val="00083257"/>
    <w:rsid w:val="000834E9"/>
    <w:rsid w:val="000836B9"/>
    <w:rsid w:val="00083C3E"/>
    <w:rsid w:val="000860E8"/>
    <w:rsid w:val="00086195"/>
    <w:rsid w:val="00086328"/>
    <w:rsid w:val="00087378"/>
    <w:rsid w:val="00087985"/>
    <w:rsid w:val="00090A3E"/>
    <w:rsid w:val="00091496"/>
    <w:rsid w:val="00091804"/>
    <w:rsid w:val="0009502A"/>
    <w:rsid w:val="00095269"/>
    <w:rsid w:val="000953B1"/>
    <w:rsid w:val="000954BC"/>
    <w:rsid w:val="00095953"/>
    <w:rsid w:val="00095AFB"/>
    <w:rsid w:val="00096046"/>
    <w:rsid w:val="000968BC"/>
    <w:rsid w:val="000969DB"/>
    <w:rsid w:val="00097737"/>
    <w:rsid w:val="0009782A"/>
    <w:rsid w:val="000A0532"/>
    <w:rsid w:val="000A1646"/>
    <w:rsid w:val="000A3491"/>
    <w:rsid w:val="000A37BF"/>
    <w:rsid w:val="000A3C7D"/>
    <w:rsid w:val="000A57A8"/>
    <w:rsid w:val="000A6691"/>
    <w:rsid w:val="000A6A46"/>
    <w:rsid w:val="000A71A0"/>
    <w:rsid w:val="000A7723"/>
    <w:rsid w:val="000A7B00"/>
    <w:rsid w:val="000A7BC5"/>
    <w:rsid w:val="000B06C8"/>
    <w:rsid w:val="000B1516"/>
    <w:rsid w:val="000B242D"/>
    <w:rsid w:val="000B30D5"/>
    <w:rsid w:val="000B5CED"/>
    <w:rsid w:val="000B6EFA"/>
    <w:rsid w:val="000B7711"/>
    <w:rsid w:val="000B7793"/>
    <w:rsid w:val="000C1BD0"/>
    <w:rsid w:val="000C1C57"/>
    <w:rsid w:val="000C2102"/>
    <w:rsid w:val="000C346A"/>
    <w:rsid w:val="000C41B0"/>
    <w:rsid w:val="000C4A8B"/>
    <w:rsid w:val="000C5171"/>
    <w:rsid w:val="000C5B3E"/>
    <w:rsid w:val="000C5BF2"/>
    <w:rsid w:val="000C7BF6"/>
    <w:rsid w:val="000C7C17"/>
    <w:rsid w:val="000C7D07"/>
    <w:rsid w:val="000C7DBC"/>
    <w:rsid w:val="000D02F3"/>
    <w:rsid w:val="000D0E05"/>
    <w:rsid w:val="000D0F6E"/>
    <w:rsid w:val="000D1BF8"/>
    <w:rsid w:val="000D1CAA"/>
    <w:rsid w:val="000D1FF6"/>
    <w:rsid w:val="000D3533"/>
    <w:rsid w:val="000D3E57"/>
    <w:rsid w:val="000D4149"/>
    <w:rsid w:val="000D5C47"/>
    <w:rsid w:val="000D6389"/>
    <w:rsid w:val="000D6B8A"/>
    <w:rsid w:val="000D6FAF"/>
    <w:rsid w:val="000D73F7"/>
    <w:rsid w:val="000E06B0"/>
    <w:rsid w:val="000E0D54"/>
    <w:rsid w:val="000E15D3"/>
    <w:rsid w:val="000E18E4"/>
    <w:rsid w:val="000E2DBE"/>
    <w:rsid w:val="000E2E42"/>
    <w:rsid w:val="000E2EBB"/>
    <w:rsid w:val="000E382D"/>
    <w:rsid w:val="000E525D"/>
    <w:rsid w:val="000E7FC1"/>
    <w:rsid w:val="000F061F"/>
    <w:rsid w:val="000F06E4"/>
    <w:rsid w:val="000F1E3F"/>
    <w:rsid w:val="000F21E3"/>
    <w:rsid w:val="000F2997"/>
    <w:rsid w:val="000F2D6F"/>
    <w:rsid w:val="000F3AB8"/>
    <w:rsid w:val="000F3D6A"/>
    <w:rsid w:val="000F4BB0"/>
    <w:rsid w:val="000F5A78"/>
    <w:rsid w:val="000F6507"/>
    <w:rsid w:val="000F6606"/>
    <w:rsid w:val="000F7271"/>
    <w:rsid w:val="000F72BF"/>
    <w:rsid w:val="000F7DD2"/>
    <w:rsid w:val="000F7F99"/>
    <w:rsid w:val="00100202"/>
    <w:rsid w:val="00103B79"/>
    <w:rsid w:val="0010449B"/>
    <w:rsid w:val="00104761"/>
    <w:rsid w:val="00104AB8"/>
    <w:rsid w:val="0010517E"/>
    <w:rsid w:val="00105598"/>
    <w:rsid w:val="00105858"/>
    <w:rsid w:val="00106E3F"/>
    <w:rsid w:val="00107E66"/>
    <w:rsid w:val="00110174"/>
    <w:rsid w:val="001102AA"/>
    <w:rsid w:val="001105CE"/>
    <w:rsid w:val="00110840"/>
    <w:rsid w:val="00111902"/>
    <w:rsid w:val="00111C15"/>
    <w:rsid w:val="001133F2"/>
    <w:rsid w:val="0011458E"/>
    <w:rsid w:val="001146FA"/>
    <w:rsid w:val="00114722"/>
    <w:rsid w:val="001147EC"/>
    <w:rsid w:val="00114CAE"/>
    <w:rsid w:val="0011621C"/>
    <w:rsid w:val="001167FE"/>
    <w:rsid w:val="00116D78"/>
    <w:rsid w:val="00117887"/>
    <w:rsid w:val="00120116"/>
    <w:rsid w:val="001202B0"/>
    <w:rsid w:val="0012061D"/>
    <w:rsid w:val="00120EA2"/>
    <w:rsid w:val="00121A9F"/>
    <w:rsid w:val="0012204B"/>
    <w:rsid w:val="00122789"/>
    <w:rsid w:val="00124707"/>
    <w:rsid w:val="00124F1D"/>
    <w:rsid w:val="00125B4B"/>
    <w:rsid w:val="00125DBA"/>
    <w:rsid w:val="001265DD"/>
    <w:rsid w:val="00127C80"/>
    <w:rsid w:val="00130342"/>
    <w:rsid w:val="00130DE7"/>
    <w:rsid w:val="00131007"/>
    <w:rsid w:val="00131434"/>
    <w:rsid w:val="00131B3A"/>
    <w:rsid w:val="00133FEF"/>
    <w:rsid w:val="001346B0"/>
    <w:rsid w:val="00134F2E"/>
    <w:rsid w:val="00135BDC"/>
    <w:rsid w:val="00135DB6"/>
    <w:rsid w:val="001367BC"/>
    <w:rsid w:val="00136A1A"/>
    <w:rsid w:val="00136A91"/>
    <w:rsid w:val="001370D9"/>
    <w:rsid w:val="00137510"/>
    <w:rsid w:val="001375EB"/>
    <w:rsid w:val="0013783A"/>
    <w:rsid w:val="001379A3"/>
    <w:rsid w:val="00140C2A"/>
    <w:rsid w:val="00141C9E"/>
    <w:rsid w:val="00141E54"/>
    <w:rsid w:val="00142581"/>
    <w:rsid w:val="001428BC"/>
    <w:rsid w:val="00142C72"/>
    <w:rsid w:val="00142F3A"/>
    <w:rsid w:val="0014306F"/>
    <w:rsid w:val="00143863"/>
    <w:rsid w:val="00143914"/>
    <w:rsid w:val="00143CA1"/>
    <w:rsid w:val="00144915"/>
    <w:rsid w:val="00144B65"/>
    <w:rsid w:val="00145207"/>
    <w:rsid w:val="00145AE5"/>
    <w:rsid w:val="001467A0"/>
    <w:rsid w:val="00146AD7"/>
    <w:rsid w:val="001507D2"/>
    <w:rsid w:val="001518DD"/>
    <w:rsid w:val="00151D0D"/>
    <w:rsid w:val="00151E3D"/>
    <w:rsid w:val="00152C83"/>
    <w:rsid w:val="00153019"/>
    <w:rsid w:val="00153171"/>
    <w:rsid w:val="001539AC"/>
    <w:rsid w:val="00153A69"/>
    <w:rsid w:val="00153BD0"/>
    <w:rsid w:val="00153CF7"/>
    <w:rsid w:val="00153F87"/>
    <w:rsid w:val="00154047"/>
    <w:rsid w:val="00154893"/>
    <w:rsid w:val="00156755"/>
    <w:rsid w:val="00157145"/>
    <w:rsid w:val="001573A9"/>
    <w:rsid w:val="001578B4"/>
    <w:rsid w:val="00161F66"/>
    <w:rsid w:val="001622EF"/>
    <w:rsid w:val="0016339E"/>
    <w:rsid w:val="0016359A"/>
    <w:rsid w:val="001640F7"/>
    <w:rsid w:val="001644AE"/>
    <w:rsid w:val="00164549"/>
    <w:rsid w:val="00165140"/>
    <w:rsid w:val="001657F0"/>
    <w:rsid w:val="00165990"/>
    <w:rsid w:val="00167361"/>
    <w:rsid w:val="001709E3"/>
    <w:rsid w:val="00170F06"/>
    <w:rsid w:val="00171FF0"/>
    <w:rsid w:val="00172BC6"/>
    <w:rsid w:val="00172DC6"/>
    <w:rsid w:val="00173410"/>
    <w:rsid w:val="001736F6"/>
    <w:rsid w:val="001755D6"/>
    <w:rsid w:val="001763C0"/>
    <w:rsid w:val="00176A29"/>
    <w:rsid w:val="0017741A"/>
    <w:rsid w:val="00177DC2"/>
    <w:rsid w:val="00180713"/>
    <w:rsid w:val="0018136A"/>
    <w:rsid w:val="001823A5"/>
    <w:rsid w:val="0018302F"/>
    <w:rsid w:val="00183BDE"/>
    <w:rsid w:val="00184203"/>
    <w:rsid w:val="001851C6"/>
    <w:rsid w:val="00185341"/>
    <w:rsid w:val="00185EB1"/>
    <w:rsid w:val="00187ADB"/>
    <w:rsid w:val="0019324F"/>
    <w:rsid w:val="001936CD"/>
    <w:rsid w:val="001938A2"/>
    <w:rsid w:val="00194F97"/>
    <w:rsid w:val="00195179"/>
    <w:rsid w:val="00196667"/>
    <w:rsid w:val="0019748C"/>
    <w:rsid w:val="001A0A03"/>
    <w:rsid w:val="001A13A7"/>
    <w:rsid w:val="001A1D6C"/>
    <w:rsid w:val="001A314D"/>
    <w:rsid w:val="001A3EBE"/>
    <w:rsid w:val="001A40E3"/>
    <w:rsid w:val="001A41BB"/>
    <w:rsid w:val="001A4DE1"/>
    <w:rsid w:val="001A6CC4"/>
    <w:rsid w:val="001A6E97"/>
    <w:rsid w:val="001A7084"/>
    <w:rsid w:val="001B0AE2"/>
    <w:rsid w:val="001B1533"/>
    <w:rsid w:val="001B23A6"/>
    <w:rsid w:val="001B2469"/>
    <w:rsid w:val="001B288F"/>
    <w:rsid w:val="001B33F7"/>
    <w:rsid w:val="001B4D0D"/>
    <w:rsid w:val="001B547E"/>
    <w:rsid w:val="001B5711"/>
    <w:rsid w:val="001B58C5"/>
    <w:rsid w:val="001B5DC8"/>
    <w:rsid w:val="001B78ED"/>
    <w:rsid w:val="001B7915"/>
    <w:rsid w:val="001B7C6C"/>
    <w:rsid w:val="001C0048"/>
    <w:rsid w:val="001C1C28"/>
    <w:rsid w:val="001C2772"/>
    <w:rsid w:val="001C2E58"/>
    <w:rsid w:val="001C2FF9"/>
    <w:rsid w:val="001C35DD"/>
    <w:rsid w:val="001C38EF"/>
    <w:rsid w:val="001C4004"/>
    <w:rsid w:val="001C408F"/>
    <w:rsid w:val="001C49EE"/>
    <w:rsid w:val="001C4AE5"/>
    <w:rsid w:val="001C7420"/>
    <w:rsid w:val="001C7823"/>
    <w:rsid w:val="001D162F"/>
    <w:rsid w:val="001D26A8"/>
    <w:rsid w:val="001D2BC4"/>
    <w:rsid w:val="001D2F58"/>
    <w:rsid w:val="001D3420"/>
    <w:rsid w:val="001D41BB"/>
    <w:rsid w:val="001D4292"/>
    <w:rsid w:val="001D4B26"/>
    <w:rsid w:val="001D5AA3"/>
    <w:rsid w:val="001E082F"/>
    <w:rsid w:val="001E1744"/>
    <w:rsid w:val="001E2B7F"/>
    <w:rsid w:val="001E3175"/>
    <w:rsid w:val="001E3725"/>
    <w:rsid w:val="001E38EE"/>
    <w:rsid w:val="001E48CA"/>
    <w:rsid w:val="001E4BAB"/>
    <w:rsid w:val="001E4D33"/>
    <w:rsid w:val="001E5C4C"/>
    <w:rsid w:val="001E5CDC"/>
    <w:rsid w:val="001E6B8F"/>
    <w:rsid w:val="001E6C17"/>
    <w:rsid w:val="001E6F47"/>
    <w:rsid w:val="001E7C71"/>
    <w:rsid w:val="001F0531"/>
    <w:rsid w:val="001F1154"/>
    <w:rsid w:val="001F1555"/>
    <w:rsid w:val="001F1565"/>
    <w:rsid w:val="001F328B"/>
    <w:rsid w:val="001F33FB"/>
    <w:rsid w:val="001F390A"/>
    <w:rsid w:val="001F5AB5"/>
    <w:rsid w:val="001F6AA7"/>
    <w:rsid w:val="001F71DE"/>
    <w:rsid w:val="00200660"/>
    <w:rsid w:val="00201D3C"/>
    <w:rsid w:val="00203D5F"/>
    <w:rsid w:val="002044EC"/>
    <w:rsid w:val="00205672"/>
    <w:rsid w:val="0020605C"/>
    <w:rsid w:val="00210593"/>
    <w:rsid w:val="00212139"/>
    <w:rsid w:val="00212931"/>
    <w:rsid w:val="00220233"/>
    <w:rsid w:val="00220575"/>
    <w:rsid w:val="002205DF"/>
    <w:rsid w:val="002209CD"/>
    <w:rsid w:val="002215A7"/>
    <w:rsid w:val="00221624"/>
    <w:rsid w:val="00222012"/>
    <w:rsid w:val="00223F52"/>
    <w:rsid w:val="002251CB"/>
    <w:rsid w:val="00225D88"/>
    <w:rsid w:val="0022606E"/>
    <w:rsid w:val="002268DD"/>
    <w:rsid w:val="00230498"/>
    <w:rsid w:val="002305B6"/>
    <w:rsid w:val="00231E30"/>
    <w:rsid w:val="00231F7C"/>
    <w:rsid w:val="002329AF"/>
    <w:rsid w:val="0023384D"/>
    <w:rsid w:val="00233923"/>
    <w:rsid w:val="0023392C"/>
    <w:rsid w:val="00233985"/>
    <w:rsid w:val="00233FB2"/>
    <w:rsid w:val="002342F9"/>
    <w:rsid w:val="00234536"/>
    <w:rsid w:val="00234D04"/>
    <w:rsid w:val="00236FFC"/>
    <w:rsid w:val="0024292D"/>
    <w:rsid w:val="00242D80"/>
    <w:rsid w:val="0024396A"/>
    <w:rsid w:val="00244402"/>
    <w:rsid w:val="00244C15"/>
    <w:rsid w:val="002478FB"/>
    <w:rsid w:val="00247F54"/>
    <w:rsid w:val="0025074F"/>
    <w:rsid w:val="0025085E"/>
    <w:rsid w:val="002508E3"/>
    <w:rsid w:val="00251019"/>
    <w:rsid w:val="0025161E"/>
    <w:rsid w:val="00251822"/>
    <w:rsid w:val="002528B0"/>
    <w:rsid w:val="00253962"/>
    <w:rsid w:val="002540A3"/>
    <w:rsid w:val="0025437F"/>
    <w:rsid w:val="00254916"/>
    <w:rsid w:val="0025492C"/>
    <w:rsid w:val="00254E38"/>
    <w:rsid w:val="002551D6"/>
    <w:rsid w:val="00255677"/>
    <w:rsid w:val="002556A2"/>
    <w:rsid w:val="002557BB"/>
    <w:rsid w:val="00255C6F"/>
    <w:rsid w:val="0025600B"/>
    <w:rsid w:val="00256F04"/>
    <w:rsid w:val="00257618"/>
    <w:rsid w:val="002579E4"/>
    <w:rsid w:val="00257CAE"/>
    <w:rsid w:val="00260132"/>
    <w:rsid w:val="002615E2"/>
    <w:rsid w:val="00261BBD"/>
    <w:rsid w:val="00261E81"/>
    <w:rsid w:val="002629DA"/>
    <w:rsid w:val="0026474E"/>
    <w:rsid w:val="002650B0"/>
    <w:rsid w:val="00265127"/>
    <w:rsid w:val="002673F3"/>
    <w:rsid w:val="002674FF"/>
    <w:rsid w:val="0026775E"/>
    <w:rsid w:val="002700CB"/>
    <w:rsid w:val="00270152"/>
    <w:rsid w:val="002702AB"/>
    <w:rsid w:val="0027071B"/>
    <w:rsid w:val="00271B5F"/>
    <w:rsid w:val="00273692"/>
    <w:rsid w:val="00273A94"/>
    <w:rsid w:val="0027483C"/>
    <w:rsid w:val="0027548B"/>
    <w:rsid w:val="002757BD"/>
    <w:rsid w:val="00275B6B"/>
    <w:rsid w:val="00276708"/>
    <w:rsid w:val="0027707E"/>
    <w:rsid w:val="002779C9"/>
    <w:rsid w:val="002820F4"/>
    <w:rsid w:val="002821F9"/>
    <w:rsid w:val="00282251"/>
    <w:rsid w:val="00282974"/>
    <w:rsid w:val="00283881"/>
    <w:rsid w:val="00284686"/>
    <w:rsid w:val="00284831"/>
    <w:rsid w:val="00285FA8"/>
    <w:rsid w:val="002867F5"/>
    <w:rsid w:val="00286B89"/>
    <w:rsid w:val="0028728A"/>
    <w:rsid w:val="00290B54"/>
    <w:rsid w:val="00290B73"/>
    <w:rsid w:val="00290E0C"/>
    <w:rsid w:val="00290F69"/>
    <w:rsid w:val="002910D6"/>
    <w:rsid w:val="00291AF5"/>
    <w:rsid w:val="00291CA6"/>
    <w:rsid w:val="0029233B"/>
    <w:rsid w:val="002927CE"/>
    <w:rsid w:val="0029398E"/>
    <w:rsid w:val="00293B82"/>
    <w:rsid w:val="002949C9"/>
    <w:rsid w:val="002965AE"/>
    <w:rsid w:val="0029668B"/>
    <w:rsid w:val="0029689F"/>
    <w:rsid w:val="002A034E"/>
    <w:rsid w:val="002A1003"/>
    <w:rsid w:val="002A26B6"/>
    <w:rsid w:val="002A3615"/>
    <w:rsid w:val="002A37BF"/>
    <w:rsid w:val="002A4C7B"/>
    <w:rsid w:val="002A52AD"/>
    <w:rsid w:val="002A6CEB"/>
    <w:rsid w:val="002A6D12"/>
    <w:rsid w:val="002A6E0D"/>
    <w:rsid w:val="002A7647"/>
    <w:rsid w:val="002A78C5"/>
    <w:rsid w:val="002A7978"/>
    <w:rsid w:val="002B0F43"/>
    <w:rsid w:val="002B3A8F"/>
    <w:rsid w:val="002B45A6"/>
    <w:rsid w:val="002B4D57"/>
    <w:rsid w:val="002B6530"/>
    <w:rsid w:val="002B6D72"/>
    <w:rsid w:val="002C07A3"/>
    <w:rsid w:val="002C08AA"/>
    <w:rsid w:val="002C0E27"/>
    <w:rsid w:val="002C6AFE"/>
    <w:rsid w:val="002C6FFF"/>
    <w:rsid w:val="002D1941"/>
    <w:rsid w:val="002D1D6C"/>
    <w:rsid w:val="002D25A6"/>
    <w:rsid w:val="002D2E49"/>
    <w:rsid w:val="002D4046"/>
    <w:rsid w:val="002D541A"/>
    <w:rsid w:val="002D5473"/>
    <w:rsid w:val="002D5639"/>
    <w:rsid w:val="002D5964"/>
    <w:rsid w:val="002D7BE4"/>
    <w:rsid w:val="002D7DAB"/>
    <w:rsid w:val="002E03A7"/>
    <w:rsid w:val="002E091F"/>
    <w:rsid w:val="002E12BB"/>
    <w:rsid w:val="002E214B"/>
    <w:rsid w:val="002E28A6"/>
    <w:rsid w:val="002E2935"/>
    <w:rsid w:val="002E29DF"/>
    <w:rsid w:val="002E3EB4"/>
    <w:rsid w:val="002E4213"/>
    <w:rsid w:val="002E44BD"/>
    <w:rsid w:val="002E4D22"/>
    <w:rsid w:val="002E5CE7"/>
    <w:rsid w:val="002E6236"/>
    <w:rsid w:val="002E66A1"/>
    <w:rsid w:val="002E6C94"/>
    <w:rsid w:val="002E7183"/>
    <w:rsid w:val="002E7BFB"/>
    <w:rsid w:val="002E7C01"/>
    <w:rsid w:val="002E7F98"/>
    <w:rsid w:val="002F1392"/>
    <w:rsid w:val="002F2BDD"/>
    <w:rsid w:val="002F30BF"/>
    <w:rsid w:val="002F4057"/>
    <w:rsid w:val="002F4545"/>
    <w:rsid w:val="002F46C1"/>
    <w:rsid w:val="002F4A4F"/>
    <w:rsid w:val="002F6061"/>
    <w:rsid w:val="002F69A7"/>
    <w:rsid w:val="002F69B5"/>
    <w:rsid w:val="00300D0D"/>
    <w:rsid w:val="003011FC"/>
    <w:rsid w:val="0030132C"/>
    <w:rsid w:val="00302C04"/>
    <w:rsid w:val="00302ED2"/>
    <w:rsid w:val="003035F5"/>
    <w:rsid w:val="00304BEE"/>
    <w:rsid w:val="00304CE1"/>
    <w:rsid w:val="00304D89"/>
    <w:rsid w:val="0030519B"/>
    <w:rsid w:val="003057EA"/>
    <w:rsid w:val="0030652C"/>
    <w:rsid w:val="00307CCD"/>
    <w:rsid w:val="0031013A"/>
    <w:rsid w:val="00310DA0"/>
    <w:rsid w:val="00311123"/>
    <w:rsid w:val="003115F3"/>
    <w:rsid w:val="00312410"/>
    <w:rsid w:val="00313F5E"/>
    <w:rsid w:val="00314893"/>
    <w:rsid w:val="003161AE"/>
    <w:rsid w:val="00316CD5"/>
    <w:rsid w:val="003179D6"/>
    <w:rsid w:val="00317ACD"/>
    <w:rsid w:val="00317B41"/>
    <w:rsid w:val="00317FB1"/>
    <w:rsid w:val="00320854"/>
    <w:rsid w:val="00320A1A"/>
    <w:rsid w:val="00320E20"/>
    <w:rsid w:val="00326233"/>
    <w:rsid w:val="00326B49"/>
    <w:rsid w:val="00326B89"/>
    <w:rsid w:val="00326E01"/>
    <w:rsid w:val="00327679"/>
    <w:rsid w:val="00331437"/>
    <w:rsid w:val="00331D03"/>
    <w:rsid w:val="00331E60"/>
    <w:rsid w:val="00331E8E"/>
    <w:rsid w:val="003322AB"/>
    <w:rsid w:val="00332F4E"/>
    <w:rsid w:val="00333038"/>
    <w:rsid w:val="003333A0"/>
    <w:rsid w:val="00333A37"/>
    <w:rsid w:val="00334F4A"/>
    <w:rsid w:val="00334FAF"/>
    <w:rsid w:val="00335AE2"/>
    <w:rsid w:val="00335CE8"/>
    <w:rsid w:val="003360A7"/>
    <w:rsid w:val="003361C0"/>
    <w:rsid w:val="00336F2D"/>
    <w:rsid w:val="00336FC0"/>
    <w:rsid w:val="003372F8"/>
    <w:rsid w:val="00337DFB"/>
    <w:rsid w:val="00341779"/>
    <w:rsid w:val="003419B5"/>
    <w:rsid w:val="00341DE4"/>
    <w:rsid w:val="003426C4"/>
    <w:rsid w:val="003446AB"/>
    <w:rsid w:val="003453EB"/>
    <w:rsid w:val="00345CB5"/>
    <w:rsid w:val="00346817"/>
    <w:rsid w:val="00351619"/>
    <w:rsid w:val="0035188B"/>
    <w:rsid w:val="00351CC0"/>
    <w:rsid w:val="00352672"/>
    <w:rsid w:val="00353029"/>
    <w:rsid w:val="003533F5"/>
    <w:rsid w:val="003541B8"/>
    <w:rsid w:val="00357317"/>
    <w:rsid w:val="00357AC0"/>
    <w:rsid w:val="003600C8"/>
    <w:rsid w:val="00360D9E"/>
    <w:rsid w:val="00361198"/>
    <w:rsid w:val="00361932"/>
    <w:rsid w:val="003625F1"/>
    <w:rsid w:val="00362725"/>
    <w:rsid w:val="003630E2"/>
    <w:rsid w:val="003645FC"/>
    <w:rsid w:val="00364B50"/>
    <w:rsid w:val="00364C87"/>
    <w:rsid w:val="003654C5"/>
    <w:rsid w:val="00365AFE"/>
    <w:rsid w:val="00366256"/>
    <w:rsid w:val="00366C98"/>
    <w:rsid w:val="00367099"/>
    <w:rsid w:val="0036710D"/>
    <w:rsid w:val="0036736B"/>
    <w:rsid w:val="00367E2A"/>
    <w:rsid w:val="00370690"/>
    <w:rsid w:val="00370B2E"/>
    <w:rsid w:val="003712B4"/>
    <w:rsid w:val="00371BF7"/>
    <w:rsid w:val="00372CA6"/>
    <w:rsid w:val="00373767"/>
    <w:rsid w:val="00373EBE"/>
    <w:rsid w:val="00374B50"/>
    <w:rsid w:val="00376034"/>
    <w:rsid w:val="00377D9A"/>
    <w:rsid w:val="00380364"/>
    <w:rsid w:val="003803ED"/>
    <w:rsid w:val="00382545"/>
    <w:rsid w:val="0038286C"/>
    <w:rsid w:val="00384525"/>
    <w:rsid w:val="003859FF"/>
    <w:rsid w:val="00386745"/>
    <w:rsid w:val="00387F5B"/>
    <w:rsid w:val="00391F34"/>
    <w:rsid w:val="003931FA"/>
    <w:rsid w:val="0039338F"/>
    <w:rsid w:val="00393DEC"/>
    <w:rsid w:val="00393F35"/>
    <w:rsid w:val="003963F6"/>
    <w:rsid w:val="00396A03"/>
    <w:rsid w:val="0039712B"/>
    <w:rsid w:val="003975DB"/>
    <w:rsid w:val="00397C5B"/>
    <w:rsid w:val="00397CD6"/>
    <w:rsid w:val="003A0E6F"/>
    <w:rsid w:val="003A12FA"/>
    <w:rsid w:val="003A163F"/>
    <w:rsid w:val="003A1CC1"/>
    <w:rsid w:val="003A34B0"/>
    <w:rsid w:val="003A35CA"/>
    <w:rsid w:val="003A4B68"/>
    <w:rsid w:val="003A7460"/>
    <w:rsid w:val="003B194A"/>
    <w:rsid w:val="003B1CCA"/>
    <w:rsid w:val="003B2389"/>
    <w:rsid w:val="003B2541"/>
    <w:rsid w:val="003B2E70"/>
    <w:rsid w:val="003B43BB"/>
    <w:rsid w:val="003B44A5"/>
    <w:rsid w:val="003B46A5"/>
    <w:rsid w:val="003B7244"/>
    <w:rsid w:val="003B731F"/>
    <w:rsid w:val="003B7572"/>
    <w:rsid w:val="003B7E3C"/>
    <w:rsid w:val="003C2AD2"/>
    <w:rsid w:val="003C3B03"/>
    <w:rsid w:val="003C3F17"/>
    <w:rsid w:val="003C4710"/>
    <w:rsid w:val="003C4A78"/>
    <w:rsid w:val="003C4AF9"/>
    <w:rsid w:val="003C4C6F"/>
    <w:rsid w:val="003C4EB2"/>
    <w:rsid w:val="003C560B"/>
    <w:rsid w:val="003C638B"/>
    <w:rsid w:val="003C79D7"/>
    <w:rsid w:val="003D249D"/>
    <w:rsid w:val="003D513B"/>
    <w:rsid w:val="003D63F1"/>
    <w:rsid w:val="003D6616"/>
    <w:rsid w:val="003D78FD"/>
    <w:rsid w:val="003E0F9E"/>
    <w:rsid w:val="003E2244"/>
    <w:rsid w:val="003E28FA"/>
    <w:rsid w:val="003E322B"/>
    <w:rsid w:val="003E4A49"/>
    <w:rsid w:val="003E5617"/>
    <w:rsid w:val="003E5A84"/>
    <w:rsid w:val="003E5C09"/>
    <w:rsid w:val="003E6394"/>
    <w:rsid w:val="003E6F14"/>
    <w:rsid w:val="003F0894"/>
    <w:rsid w:val="003F2205"/>
    <w:rsid w:val="003F2354"/>
    <w:rsid w:val="003F2849"/>
    <w:rsid w:val="003F4293"/>
    <w:rsid w:val="003F4D07"/>
    <w:rsid w:val="003F4FF1"/>
    <w:rsid w:val="003F6034"/>
    <w:rsid w:val="003F6B8D"/>
    <w:rsid w:val="004001C6"/>
    <w:rsid w:val="00401715"/>
    <w:rsid w:val="00401E38"/>
    <w:rsid w:val="00401F8D"/>
    <w:rsid w:val="004025E0"/>
    <w:rsid w:val="004035AE"/>
    <w:rsid w:val="00403986"/>
    <w:rsid w:val="00403C79"/>
    <w:rsid w:val="00403C9D"/>
    <w:rsid w:val="00405741"/>
    <w:rsid w:val="004066DD"/>
    <w:rsid w:val="00407699"/>
    <w:rsid w:val="00407AE2"/>
    <w:rsid w:val="00411342"/>
    <w:rsid w:val="00411DB0"/>
    <w:rsid w:val="00412E62"/>
    <w:rsid w:val="00414011"/>
    <w:rsid w:val="00414E80"/>
    <w:rsid w:val="0041616A"/>
    <w:rsid w:val="004162C3"/>
    <w:rsid w:val="00416DE6"/>
    <w:rsid w:val="00416EB9"/>
    <w:rsid w:val="0042079B"/>
    <w:rsid w:val="00421311"/>
    <w:rsid w:val="00422504"/>
    <w:rsid w:val="00422998"/>
    <w:rsid w:val="00422AD7"/>
    <w:rsid w:val="004235C3"/>
    <w:rsid w:val="004239E7"/>
    <w:rsid w:val="00423D1B"/>
    <w:rsid w:val="00424E84"/>
    <w:rsid w:val="0042710B"/>
    <w:rsid w:val="004300CE"/>
    <w:rsid w:val="00430289"/>
    <w:rsid w:val="0043036A"/>
    <w:rsid w:val="0043094F"/>
    <w:rsid w:val="00432FDF"/>
    <w:rsid w:val="00432FEB"/>
    <w:rsid w:val="004332EA"/>
    <w:rsid w:val="00433ACF"/>
    <w:rsid w:val="0043406F"/>
    <w:rsid w:val="00435262"/>
    <w:rsid w:val="00435AC7"/>
    <w:rsid w:val="0043687D"/>
    <w:rsid w:val="00436AAD"/>
    <w:rsid w:val="00440914"/>
    <w:rsid w:val="00440DC6"/>
    <w:rsid w:val="00440E9A"/>
    <w:rsid w:val="00441108"/>
    <w:rsid w:val="00441194"/>
    <w:rsid w:val="00441362"/>
    <w:rsid w:val="00441E8F"/>
    <w:rsid w:val="0044203E"/>
    <w:rsid w:val="00442253"/>
    <w:rsid w:val="004432EC"/>
    <w:rsid w:val="004432F3"/>
    <w:rsid w:val="004441E4"/>
    <w:rsid w:val="004444BC"/>
    <w:rsid w:val="00444ABC"/>
    <w:rsid w:val="00445B41"/>
    <w:rsid w:val="00445F68"/>
    <w:rsid w:val="00446779"/>
    <w:rsid w:val="0044692E"/>
    <w:rsid w:val="004471D7"/>
    <w:rsid w:val="00447747"/>
    <w:rsid w:val="00450357"/>
    <w:rsid w:val="0045086A"/>
    <w:rsid w:val="00450FBF"/>
    <w:rsid w:val="0045213E"/>
    <w:rsid w:val="004523AC"/>
    <w:rsid w:val="004537FF"/>
    <w:rsid w:val="004567B1"/>
    <w:rsid w:val="00456AFC"/>
    <w:rsid w:val="004570CE"/>
    <w:rsid w:val="004575B3"/>
    <w:rsid w:val="00457B27"/>
    <w:rsid w:val="0046010F"/>
    <w:rsid w:val="00460631"/>
    <w:rsid w:val="0046091F"/>
    <w:rsid w:val="00460C66"/>
    <w:rsid w:val="00460E07"/>
    <w:rsid w:val="00461B60"/>
    <w:rsid w:val="004626AB"/>
    <w:rsid w:val="004632A7"/>
    <w:rsid w:val="00463921"/>
    <w:rsid w:val="0046399C"/>
    <w:rsid w:val="00464B4E"/>
    <w:rsid w:val="00465957"/>
    <w:rsid w:val="00466818"/>
    <w:rsid w:val="00467256"/>
    <w:rsid w:val="0046726E"/>
    <w:rsid w:val="00467B9D"/>
    <w:rsid w:val="00470A3C"/>
    <w:rsid w:val="00470D68"/>
    <w:rsid w:val="004710A0"/>
    <w:rsid w:val="00471301"/>
    <w:rsid w:val="00471D0A"/>
    <w:rsid w:val="0047287C"/>
    <w:rsid w:val="004729A9"/>
    <w:rsid w:val="00473300"/>
    <w:rsid w:val="00473DFC"/>
    <w:rsid w:val="00474037"/>
    <w:rsid w:val="0047462F"/>
    <w:rsid w:val="004749FF"/>
    <w:rsid w:val="00474CE9"/>
    <w:rsid w:val="00474E2D"/>
    <w:rsid w:val="00476D55"/>
    <w:rsid w:val="00476D8F"/>
    <w:rsid w:val="00476E15"/>
    <w:rsid w:val="00477544"/>
    <w:rsid w:val="00477D46"/>
    <w:rsid w:val="0048000C"/>
    <w:rsid w:val="00482559"/>
    <w:rsid w:val="00482637"/>
    <w:rsid w:val="0048272F"/>
    <w:rsid w:val="00482F3A"/>
    <w:rsid w:val="00484615"/>
    <w:rsid w:val="00484B5C"/>
    <w:rsid w:val="00484C05"/>
    <w:rsid w:val="004855D9"/>
    <w:rsid w:val="0048619E"/>
    <w:rsid w:val="004863AD"/>
    <w:rsid w:val="00486CAD"/>
    <w:rsid w:val="00490D56"/>
    <w:rsid w:val="004932F4"/>
    <w:rsid w:val="004945B9"/>
    <w:rsid w:val="00496150"/>
    <w:rsid w:val="00496BB3"/>
    <w:rsid w:val="004A06DF"/>
    <w:rsid w:val="004A0D77"/>
    <w:rsid w:val="004A1056"/>
    <w:rsid w:val="004A1657"/>
    <w:rsid w:val="004A1A54"/>
    <w:rsid w:val="004A1CFC"/>
    <w:rsid w:val="004A3055"/>
    <w:rsid w:val="004A3BE0"/>
    <w:rsid w:val="004A3CA0"/>
    <w:rsid w:val="004A3FE2"/>
    <w:rsid w:val="004A4735"/>
    <w:rsid w:val="004A63B8"/>
    <w:rsid w:val="004A67A3"/>
    <w:rsid w:val="004A6A89"/>
    <w:rsid w:val="004A6E45"/>
    <w:rsid w:val="004A77BF"/>
    <w:rsid w:val="004A7A47"/>
    <w:rsid w:val="004A7E0E"/>
    <w:rsid w:val="004B12B9"/>
    <w:rsid w:val="004B1DBB"/>
    <w:rsid w:val="004B1F09"/>
    <w:rsid w:val="004B3948"/>
    <w:rsid w:val="004B3D69"/>
    <w:rsid w:val="004B4E25"/>
    <w:rsid w:val="004B4E76"/>
    <w:rsid w:val="004B53EA"/>
    <w:rsid w:val="004B6662"/>
    <w:rsid w:val="004C0BC1"/>
    <w:rsid w:val="004C285E"/>
    <w:rsid w:val="004C2C0B"/>
    <w:rsid w:val="004C2C46"/>
    <w:rsid w:val="004C2C98"/>
    <w:rsid w:val="004C3090"/>
    <w:rsid w:val="004C331C"/>
    <w:rsid w:val="004C3A23"/>
    <w:rsid w:val="004C4A34"/>
    <w:rsid w:val="004C4DE2"/>
    <w:rsid w:val="004C5613"/>
    <w:rsid w:val="004C5F4F"/>
    <w:rsid w:val="004C6B62"/>
    <w:rsid w:val="004C76A5"/>
    <w:rsid w:val="004D0140"/>
    <w:rsid w:val="004D0B46"/>
    <w:rsid w:val="004D1DC8"/>
    <w:rsid w:val="004D282F"/>
    <w:rsid w:val="004D2A3A"/>
    <w:rsid w:val="004D4382"/>
    <w:rsid w:val="004D4395"/>
    <w:rsid w:val="004D4A4E"/>
    <w:rsid w:val="004D4B6C"/>
    <w:rsid w:val="004D5170"/>
    <w:rsid w:val="004D626B"/>
    <w:rsid w:val="004D7459"/>
    <w:rsid w:val="004D752B"/>
    <w:rsid w:val="004D76B0"/>
    <w:rsid w:val="004E0B77"/>
    <w:rsid w:val="004E1262"/>
    <w:rsid w:val="004E1FFE"/>
    <w:rsid w:val="004E24A2"/>
    <w:rsid w:val="004E267A"/>
    <w:rsid w:val="004E306C"/>
    <w:rsid w:val="004E3615"/>
    <w:rsid w:val="004E4C2B"/>
    <w:rsid w:val="004E5460"/>
    <w:rsid w:val="004E5884"/>
    <w:rsid w:val="004E6091"/>
    <w:rsid w:val="004E6DEB"/>
    <w:rsid w:val="004E719B"/>
    <w:rsid w:val="004F067A"/>
    <w:rsid w:val="004F0AE6"/>
    <w:rsid w:val="004F112E"/>
    <w:rsid w:val="004F11C6"/>
    <w:rsid w:val="004F21A0"/>
    <w:rsid w:val="004F2222"/>
    <w:rsid w:val="004F2A28"/>
    <w:rsid w:val="004F3793"/>
    <w:rsid w:val="004F43C6"/>
    <w:rsid w:val="004F4EF3"/>
    <w:rsid w:val="004F70D7"/>
    <w:rsid w:val="004F724C"/>
    <w:rsid w:val="004F7C7F"/>
    <w:rsid w:val="00501575"/>
    <w:rsid w:val="0050268E"/>
    <w:rsid w:val="00502DC2"/>
    <w:rsid w:val="00503A93"/>
    <w:rsid w:val="00503CB8"/>
    <w:rsid w:val="0050421C"/>
    <w:rsid w:val="005057CB"/>
    <w:rsid w:val="0051063D"/>
    <w:rsid w:val="005108C5"/>
    <w:rsid w:val="00510E39"/>
    <w:rsid w:val="00511238"/>
    <w:rsid w:val="0051151F"/>
    <w:rsid w:val="00511A03"/>
    <w:rsid w:val="00511F1E"/>
    <w:rsid w:val="00511FE8"/>
    <w:rsid w:val="005121B2"/>
    <w:rsid w:val="00513531"/>
    <w:rsid w:val="00513D49"/>
    <w:rsid w:val="00515150"/>
    <w:rsid w:val="0051716A"/>
    <w:rsid w:val="0051790A"/>
    <w:rsid w:val="00517AE4"/>
    <w:rsid w:val="00522D66"/>
    <w:rsid w:val="00522DC5"/>
    <w:rsid w:val="00524C3A"/>
    <w:rsid w:val="00524DBE"/>
    <w:rsid w:val="00526B25"/>
    <w:rsid w:val="005271F8"/>
    <w:rsid w:val="00527434"/>
    <w:rsid w:val="00531138"/>
    <w:rsid w:val="0053175C"/>
    <w:rsid w:val="00531A02"/>
    <w:rsid w:val="00532C4A"/>
    <w:rsid w:val="005332C9"/>
    <w:rsid w:val="00534FC1"/>
    <w:rsid w:val="00535C1E"/>
    <w:rsid w:val="00537037"/>
    <w:rsid w:val="00537135"/>
    <w:rsid w:val="005371BF"/>
    <w:rsid w:val="005377D0"/>
    <w:rsid w:val="00537A8A"/>
    <w:rsid w:val="00537E94"/>
    <w:rsid w:val="00541DBF"/>
    <w:rsid w:val="0054201D"/>
    <w:rsid w:val="005429FE"/>
    <w:rsid w:val="00543A62"/>
    <w:rsid w:val="00543C8B"/>
    <w:rsid w:val="00544E05"/>
    <w:rsid w:val="00545AAB"/>
    <w:rsid w:val="005465B2"/>
    <w:rsid w:val="00546B57"/>
    <w:rsid w:val="0054704C"/>
    <w:rsid w:val="00547BFF"/>
    <w:rsid w:val="00547FE4"/>
    <w:rsid w:val="0055024C"/>
    <w:rsid w:val="005503FA"/>
    <w:rsid w:val="00550A40"/>
    <w:rsid w:val="00551C88"/>
    <w:rsid w:val="00552703"/>
    <w:rsid w:val="00552A73"/>
    <w:rsid w:val="00553D29"/>
    <w:rsid w:val="0055402F"/>
    <w:rsid w:val="00554ECA"/>
    <w:rsid w:val="00555CB7"/>
    <w:rsid w:val="00555F38"/>
    <w:rsid w:val="00556128"/>
    <w:rsid w:val="0055717A"/>
    <w:rsid w:val="0055740A"/>
    <w:rsid w:val="00557929"/>
    <w:rsid w:val="005620A2"/>
    <w:rsid w:val="0056241F"/>
    <w:rsid w:val="00562A14"/>
    <w:rsid w:val="00562B1C"/>
    <w:rsid w:val="00562C12"/>
    <w:rsid w:val="00562D8A"/>
    <w:rsid w:val="00564438"/>
    <w:rsid w:val="00564636"/>
    <w:rsid w:val="00565655"/>
    <w:rsid w:val="00567A8D"/>
    <w:rsid w:val="00567C08"/>
    <w:rsid w:val="0057031E"/>
    <w:rsid w:val="005706AF"/>
    <w:rsid w:val="005710E1"/>
    <w:rsid w:val="00571E4C"/>
    <w:rsid w:val="00571E9A"/>
    <w:rsid w:val="00571EC0"/>
    <w:rsid w:val="00571F68"/>
    <w:rsid w:val="00573484"/>
    <w:rsid w:val="00574911"/>
    <w:rsid w:val="00575E37"/>
    <w:rsid w:val="00577AF6"/>
    <w:rsid w:val="005803CD"/>
    <w:rsid w:val="00580B79"/>
    <w:rsid w:val="005815A0"/>
    <w:rsid w:val="00581A44"/>
    <w:rsid w:val="00581E6D"/>
    <w:rsid w:val="00581ED1"/>
    <w:rsid w:val="00582113"/>
    <w:rsid w:val="0058298E"/>
    <w:rsid w:val="005838CC"/>
    <w:rsid w:val="00583DA0"/>
    <w:rsid w:val="005841C9"/>
    <w:rsid w:val="00584460"/>
    <w:rsid w:val="00585841"/>
    <w:rsid w:val="0058647E"/>
    <w:rsid w:val="00586DB4"/>
    <w:rsid w:val="0059194E"/>
    <w:rsid w:val="00593CB1"/>
    <w:rsid w:val="005958F0"/>
    <w:rsid w:val="00595E68"/>
    <w:rsid w:val="005962D1"/>
    <w:rsid w:val="00597189"/>
    <w:rsid w:val="00597A6A"/>
    <w:rsid w:val="005A0DDC"/>
    <w:rsid w:val="005A171D"/>
    <w:rsid w:val="005A1BDE"/>
    <w:rsid w:val="005A2B64"/>
    <w:rsid w:val="005A41AC"/>
    <w:rsid w:val="005A4754"/>
    <w:rsid w:val="005A493F"/>
    <w:rsid w:val="005A4E33"/>
    <w:rsid w:val="005A5979"/>
    <w:rsid w:val="005A62A7"/>
    <w:rsid w:val="005A75AA"/>
    <w:rsid w:val="005B0837"/>
    <w:rsid w:val="005B12BF"/>
    <w:rsid w:val="005B1830"/>
    <w:rsid w:val="005B2347"/>
    <w:rsid w:val="005B3B0E"/>
    <w:rsid w:val="005B472E"/>
    <w:rsid w:val="005B47BF"/>
    <w:rsid w:val="005B5EF7"/>
    <w:rsid w:val="005B64A6"/>
    <w:rsid w:val="005B753A"/>
    <w:rsid w:val="005B7987"/>
    <w:rsid w:val="005B7B7B"/>
    <w:rsid w:val="005C03BA"/>
    <w:rsid w:val="005C15C6"/>
    <w:rsid w:val="005C2DAB"/>
    <w:rsid w:val="005C328D"/>
    <w:rsid w:val="005C3342"/>
    <w:rsid w:val="005C49B5"/>
    <w:rsid w:val="005C4F05"/>
    <w:rsid w:val="005C54F4"/>
    <w:rsid w:val="005C62EA"/>
    <w:rsid w:val="005C7988"/>
    <w:rsid w:val="005C7C68"/>
    <w:rsid w:val="005D0FFA"/>
    <w:rsid w:val="005D115D"/>
    <w:rsid w:val="005D304C"/>
    <w:rsid w:val="005D40B7"/>
    <w:rsid w:val="005D4373"/>
    <w:rsid w:val="005D45CD"/>
    <w:rsid w:val="005D5701"/>
    <w:rsid w:val="005D5C29"/>
    <w:rsid w:val="005D5EA0"/>
    <w:rsid w:val="005D60CC"/>
    <w:rsid w:val="005E12F2"/>
    <w:rsid w:val="005E2200"/>
    <w:rsid w:val="005E31C1"/>
    <w:rsid w:val="005E56B3"/>
    <w:rsid w:val="005E67C7"/>
    <w:rsid w:val="005E7C60"/>
    <w:rsid w:val="005F00FB"/>
    <w:rsid w:val="005F070D"/>
    <w:rsid w:val="005F221E"/>
    <w:rsid w:val="005F25E4"/>
    <w:rsid w:val="005F2DD5"/>
    <w:rsid w:val="005F2F69"/>
    <w:rsid w:val="005F35A5"/>
    <w:rsid w:val="005F5217"/>
    <w:rsid w:val="005F5E6F"/>
    <w:rsid w:val="005F5FE0"/>
    <w:rsid w:val="005F6F51"/>
    <w:rsid w:val="005F774F"/>
    <w:rsid w:val="005F7CD4"/>
    <w:rsid w:val="006001A6"/>
    <w:rsid w:val="0060055D"/>
    <w:rsid w:val="006021C9"/>
    <w:rsid w:val="00602605"/>
    <w:rsid w:val="00602AC8"/>
    <w:rsid w:val="00603078"/>
    <w:rsid w:val="00603647"/>
    <w:rsid w:val="006040AD"/>
    <w:rsid w:val="006043E1"/>
    <w:rsid w:val="006056F8"/>
    <w:rsid w:val="00605741"/>
    <w:rsid w:val="006062C1"/>
    <w:rsid w:val="00606375"/>
    <w:rsid w:val="00606F1E"/>
    <w:rsid w:val="00607107"/>
    <w:rsid w:val="00610A66"/>
    <w:rsid w:val="00610B3E"/>
    <w:rsid w:val="00611456"/>
    <w:rsid w:val="00611A55"/>
    <w:rsid w:val="00611C15"/>
    <w:rsid w:val="00613B1A"/>
    <w:rsid w:val="00613FBB"/>
    <w:rsid w:val="00614711"/>
    <w:rsid w:val="00616941"/>
    <w:rsid w:val="006221F3"/>
    <w:rsid w:val="006226C1"/>
    <w:rsid w:val="00624C32"/>
    <w:rsid w:val="00624EF7"/>
    <w:rsid w:val="006252EB"/>
    <w:rsid w:val="006254C0"/>
    <w:rsid w:val="00625A3E"/>
    <w:rsid w:val="00625B26"/>
    <w:rsid w:val="00626DDD"/>
    <w:rsid w:val="0062786B"/>
    <w:rsid w:val="00631C9C"/>
    <w:rsid w:val="00633507"/>
    <w:rsid w:val="0063471B"/>
    <w:rsid w:val="0063597C"/>
    <w:rsid w:val="006362AC"/>
    <w:rsid w:val="006372C0"/>
    <w:rsid w:val="00637B18"/>
    <w:rsid w:val="00640BDC"/>
    <w:rsid w:val="00640CBC"/>
    <w:rsid w:val="00642F7F"/>
    <w:rsid w:val="00643F0B"/>
    <w:rsid w:val="0064412E"/>
    <w:rsid w:val="00644361"/>
    <w:rsid w:val="00644513"/>
    <w:rsid w:val="006450CC"/>
    <w:rsid w:val="006452BC"/>
    <w:rsid w:val="00645ED4"/>
    <w:rsid w:val="006461AC"/>
    <w:rsid w:val="00646C8C"/>
    <w:rsid w:val="00646E51"/>
    <w:rsid w:val="00647956"/>
    <w:rsid w:val="006505EC"/>
    <w:rsid w:val="006507F8"/>
    <w:rsid w:val="00650AD5"/>
    <w:rsid w:val="00651211"/>
    <w:rsid w:val="006519F8"/>
    <w:rsid w:val="0065208E"/>
    <w:rsid w:val="00652162"/>
    <w:rsid w:val="00652AB4"/>
    <w:rsid w:val="00652D51"/>
    <w:rsid w:val="006531A8"/>
    <w:rsid w:val="006558EB"/>
    <w:rsid w:val="0066100F"/>
    <w:rsid w:val="0066196C"/>
    <w:rsid w:val="00661BC2"/>
    <w:rsid w:val="00662D65"/>
    <w:rsid w:val="006636B8"/>
    <w:rsid w:val="0066376C"/>
    <w:rsid w:val="00663782"/>
    <w:rsid w:val="006637C6"/>
    <w:rsid w:val="00665A7B"/>
    <w:rsid w:val="0066649A"/>
    <w:rsid w:val="00666921"/>
    <w:rsid w:val="00667212"/>
    <w:rsid w:val="00670C53"/>
    <w:rsid w:val="00671A20"/>
    <w:rsid w:val="006722A5"/>
    <w:rsid w:val="00672338"/>
    <w:rsid w:val="00673C3B"/>
    <w:rsid w:val="00674970"/>
    <w:rsid w:val="00674CD2"/>
    <w:rsid w:val="006762F4"/>
    <w:rsid w:val="00676566"/>
    <w:rsid w:val="006766BE"/>
    <w:rsid w:val="00677024"/>
    <w:rsid w:val="006770BD"/>
    <w:rsid w:val="00677989"/>
    <w:rsid w:val="00677CAE"/>
    <w:rsid w:val="00680B83"/>
    <w:rsid w:val="00682466"/>
    <w:rsid w:val="0068261A"/>
    <w:rsid w:val="0068473E"/>
    <w:rsid w:val="00684B0E"/>
    <w:rsid w:val="00684B9A"/>
    <w:rsid w:val="00687403"/>
    <w:rsid w:val="0068795B"/>
    <w:rsid w:val="006902A4"/>
    <w:rsid w:val="006932DD"/>
    <w:rsid w:val="006949CE"/>
    <w:rsid w:val="00695F87"/>
    <w:rsid w:val="00696044"/>
    <w:rsid w:val="00697EE7"/>
    <w:rsid w:val="006A02B1"/>
    <w:rsid w:val="006A2297"/>
    <w:rsid w:val="006A2E94"/>
    <w:rsid w:val="006A3C99"/>
    <w:rsid w:val="006A41E4"/>
    <w:rsid w:val="006A42BF"/>
    <w:rsid w:val="006A45C3"/>
    <w:rsid w:val="006A5A00"/>
    <w:rsid w:val="006A616D"/>
    <w:rsid w:val="006A6ABB"/>
    <w:rsid w:val="006A71F5"/>
    <w:rsid w:val="006A74E0"/>
    <w:rsid w:val="006B087B"/>
    <w:rsid w:val="006B0B2B"/>
    <w:rsid w:val="006B141E"/>
    <w:rsid w:val="006B1702"/>
    <w:rsid w:val="006B19E6"/>
    <w:rsid w:val="006B1BDD"/>
    <w:rsid w:val="006B28F6"/>
    <w:rsid w:val="006B2E10"/>
    <w:rsid w:val="006B2F9B"/>
    <w:rsid w:val="006B306B"/>
    <w:rsid w:val="006B3C51"/>
    <w:rsid w:val="006B4829"/>
    <w:rsid w:val="006B4A55"/>
    <w:rsid w:val="006B54C7"/>
    <w:rsid w:val="006B6AD1"/>
    <w:rsid w:val="006B70F2"/>
    <w:rsid w:val="006B723D"/>
    <w:rsid w:val="006C0A86"/>
    <w:rsid w:val="006C0AC1"/>
    <w:rsid w:val="006C10B9"/>
    <w:rsid w:val="006C25C4"/>
    <w:rsid w:val="006C2774"/>
    <w:rsid w:val="006C2914"/>
    <w:rsid w:val="006C2BB9"/>
    <w:rsid w:val="006C3943"/>
    <w:rsid w:val="006C4428"/>
    <w:rsid w:val="006C489F"/>
    <w:rsid w:val="006C5E26"/>
    <w:rsid w:val="006C676A"/>
    <w:rsid w:val="006C71D4"/>
    <w:rsid w:val="006C7295"/>
    <w:rsid w:val="006D01AF"/>
    <w:rsid w:val="006D04ED"/>
    <w:rsid w:val="006D11CC"/>
    <w:rsid w:val="006D3363"/>
    <w:rsid w:val="006D37C5"/>
    <w:rsid w:val="006D3AE4"/>
    <w:rsid w:val="006D5F32"/>
    <w:rsid w:val="006D7DB2"/>
    <w:rsid w:val="006D7E71"/>
    <w:rsid w:val="006E0252"/>
    <w:rsid w:val="006E0299"/>
    <w:rsid w:val="006E1134"/>
    <w:rsid w:val="006E2A1F"/>
    <w:rsid w:val="006E4304"/>
    <w:rsid w:val="006E437A"/>
    <w:rsid w:val="006E4AD5"/>
    <w:rsid w:val="006E5346"/>
    <w:rsid w:val="006E553D"/>
    <w:rsid w:val="006E5730"/>
    <w:rsid w:val="006E6DC9"/>
    <w:rsid w:val="006E6EB9"/>
    <w:rsid w:val="006E7152"/>
    <w:rsid w:val="006F0920"/>
    <w:rsid w:val="006F0EF8"/>
    <w:rsid w:val="006F2C38"/>
    <w:rsid w:val="006F2ED7"/>
    <w:rsid w:val="006F2FDB"/>
    <w:rsid w:val="006F31A1"/>
    <w:rsid w:val="006F3E12"/>
    <w:rsid w:val="006F6195"/>
    <w:rsid w:val="006F76AA"/>
    <w:rsid w:val="006F7E78"/>
    <w:rsid w:val="006F7FDA"/>
    <w:rsid w:val="00703052"/>
    <w:rsid w:val="007035E6"/>
    <w:rsid w:val="00703FC6"/>
    <w:rsid w:val="0070412E"/>
    <w:rsid w:val="007044AA"/>
    <w:rsid w:val="0070656F"/>
    <w:rsid w:val="007070F6"/>
    <w:rsid w:val="00707901"/>
    <w:rsid w:val="00707E70"/>
    <w:rsid w:val="0071027B"/>
    <w:rsid w:val="00711EB7"/>
    <w:rsid w:val="00713209"/>
    <w:rsid w:val="0071341B"/>
    <w:rsid w:val="00713EB4"/>
    <w:rsid w:val="00714933"/>
    <w:rsid w:val="00714D72"/>
    <w:rsid w:val="00716FEC"/>
    <w:rsid w:val="00717BAE"/>
    <w:rsid w:val="00717C87"/>
    <w:rsid w:val="00720436"/>
    <w:rsid w:val="007213BC"/>
    <w:rsid w:val="00721998"/>
    <w:rsid w:val="00722DCE"/>
    <w:rsid w:val="007233BE"/>
    <w:rsid w:val="00723CE8"/>
    <w:rsid w:val="0072436A"/>
    <w:rsid w:val="0072502A"/>
    <w:rsid w:val="007250D4"/>
    <w:rsid w:val="0072529A"/>
    <w:rsid w:val="0072550C"/>
    <w:rsid w:val="007276EE"/>
    <w:rsid w:val="007277CB"/>
    <w:rsid w:val="00727FF7"/>
    <w:rsid w:val="007305E2"/>
    <w:rsid w:val="00730AF2"/>
    <w:rsid w:val="00730E23"/>
    <w:rsid w:val="007319FF"/>
    <w:rsid w:val="00732BFA"/>
    <w:rsid w:val="00732E82"/>
    <w:rsid w:val="007334C9"/>
    <w:rsid w:val="00733F1E"/>
    <w:rsid w:val="0073531B"/>
    <w:rsid w:val="007359BE"/>
    <w:rsid w:val="00735DF6"/>
    <w:rsid w:val="007374D1"/>
    <w:rsid w:val="00737636"/>
    <w:rsid w:val="007406D8"/>
    <w:rsid w:val="00740B96"/>
    <w:rsid w:val="007419CD"/>
    <w:rsid w:val="00742951"/>
    <w:rsid w:val="00742C06"/>
    <w:rsid w:val="00745DFA"/>
    <w:rsid w:val="00746BAC"/>
    <w:rsid w:val="00747CFC"/>
    <w:rsid w:val="00753387"/>
    <w:rsid w:val="007538D1"/>
    <w:rsid w:val="00753AB3"/>
    <w:rsid w:val="00756117"/>
    <w:rsid w:val="00756E62"/>
    <w:rsid w:val="00760D8D"/>
    <w:rsid w:val="00762EF9"/>
    <w:rsid w:val="00764DAC"/>
    <w:rsid w:val="007656A5"/>
    <w:rsid w:val="00766FCD"/>
    <w:rsid w:val="00767FC6"/>
    <w:rsid w:val="007711DF"/>
    <w:rsid w:val="0077240C"/>
    <w:rsid w:val="007727D9"/>
    <w:rsid w:val="007730D2"/>
    <w:rsid w:val="007731F4"/>
    <w:rsid w:val="007732D2"/>
    <w:rsid w:val="00773909"/>
    <w:rsid w:val="007743F9"/>
    <w:rsid w:val="00774E05"/>
    <w:rsid w:val="0077579E"/>
    <w:rsid w:val="00775F6F"/>
    <w:rsid w:val="0077611D"/>
    <w:rsid w:val="00776ABC"/>
    <w:rsid w:val="00776CFC"/>
    <w:rsid w:val="00777314"/>
    <w:rsid w:val="00777D95"/>
    <w:rsid w:val="00781CB5"/>
    <w:rsid w:val="00781D33"/>
    <w:rsid w:val="007822F3"/>
    <w:rsid w:val="00782D63"/>
    <w:rsid w:val="0078441D"/>
    <w:rsid w:val="007846CF"/>
    <w:rsid w:val="007848F6"/>
    <w:rsid w:val="007849CF"/>
    <w:rsid w:val="00784F4C"/>
    <w:rsid w:val="0078632C"/>
    <w:rsid w:val="00787753"/>
    <w:rsid w:val="00790A4E"/>
    <w:rsid w:val="007910BA"/>
    <w:rsid w:val="007912E6"/>
    <w:rsid w:val="00791427"/>
    <w:rsid w:val="00791525"/>
    <w:rsid w:val="007916E4"/>
    <w:rsid w:val="00791736"/>
    <w:rsid w:val="00791BD1"/>
    <w:rsid w:val="00791EDA"/>
    <w:rsid w:val="007921DB"/>
    <w:rsid w:val="007923A4"/>
    <w:rsid w:val="00792E8C"/>
    <w:rsid w:val="00793917"/>
    <w:rsid w:val="00793D2C"/>
    <w:rsid w:val="00795BCA"/>
    <w:rsid w:val="00796487"/>
    <w:rsid w:val="00797011"/>
    <w:rsid w:val="0079799E"/>
    <w:rsid w:val="007A01A0"/>
    <w:rsid w:val="007A08AF"/>
    <w:rsid w:val="007A166C"/>
    <w:rsid w:val="007A428C"/>
    <w:rsid w:val="007A4A07"/>
    <w:rsid w:val="007A5006"/>
    <w:rsid w:val="007A542A"/>
    <w:rsid w:val="007A5E29"/>
    <w:rsid w:val="007A6911"/>
    <w:rsid w:val="007A69E5"/>
    <w:rsid w:val="007A6E4F"/>
    <w:rsid w:val="007A6FEB"/>
    <w:rsid w:val="007B11C8"/>
    <w:rsid w:val="007B157E"/>
    <w:rsid w:val="007B185F"/>
    <w:rsid w:val="007B1A91"/>
    <w:rsid w:val="007B2D98"/>
    <w:rsid w:val="007B3684"/>
    <w:rsid w:val="007B3CEF"/>
    <w:rsid w:val="007B3E4F"/>
    <w:rsid w:val="007B4094"/>
    <w:rsid w:val="007B5CBA"/>
    <w:rsid w:val="007B6264"/>
    <w:rsid w:val="007B6CE8"/>
    <w:rsid w:val="007C0277"/>
    <w:rsid w:val="007C1AFF"/>
    <w:rsid w:val="007C24D5"/>
    <w:rsid w:val="007C2508"/>
    <w:rsid w:val="007C299F"/>
    <w:rsid w:val="007C2D5B"/>
    <w:rsid w:val="007C4191"/>
    <w:rsid w:val="007C48F2"/>
    <w:rsid w:val="007C4E69"/>
    <w:rsid w:val="007C57CA"/>
    <w:rsid w:val="007C64FB"/>
    <w:rsid w:val="007C6DCC"/>
    <w:rsid w:val="007C7DE0"/>
    <w:rsid w:val="007C7F93"/>
    <w:rsid w:val="007D030C"/>
    <w:rsid w:val="007D0E97"/>
    <w:rsid w:val="007D0F0F"/>
    <w:rsid w:val="007D197E"/>
    <w:rsid w:val="007D1E00"/>
    <w:rsid w:val="007D2631"/>
    <w:rsid w:val="007D2C68"/>
    <w:rsid w:val="007D300D"/>
    <w:rsid w:val="007D31AF"/>
    <w:rsid w:val="007D3921"/>
    <w:rsid w:val="007D421B"/>
    <w:rsid w:val="007D422F"/>
    <w:rsid w:val="007D4503"/>
    <w:rsid w:val="007D4E30"/>
    <w:rsid w:val="007D544B"/>
    <w:rsid w:val="007D55AC"/>
    <w:rsid w:val="007D5E92"/>
    <w:rsid w:val="007D619C"/>
    <w:rsid w:val="007D6C4D"/>
    <w:rsid w:val="007D7F4A"/>
    <w:rsid w:val="007E0668"/>
    <w:rsid w:val="007E0869"/>
    <w:rsid w:val="007E1798"/>
    <w:rsid w:val="007E1C00"/>
    <w:rsid w:val="007E2A3C"/>
    <w:rsid w:val="007E3323"/>
    <w:rsid w:val="007E7B4D"/>
    <w:rsid w:val="007F0E95"/>
    <w:rsid w:val="007F1899"/>
    <w:rsid w:val="007F1A7A"/>
    <w:rsid w:val="007F2008"/>
    <w:rsid w:val="007F22A0"/>
    <w:rsid w:val="007F25C4"/>
    <w:rsid w:val="007F2709"/>
    <w:rsid w:val="007F2A62"/>
    <w:rsid w:val="007F2BE7"/>
    <w:rsid w:val="007F38FC"/>
    <w:rsid w:val="007F4916"/>
    <w:rsid w:val="007F4B60"/>
    <w:rsid w:val="007F4FC2"/>
    <w:rsid w:val="007F5546"/>
    <w:rsid w:val="007F66C5"/>
    <w:rsid w:val="007F6819"/>
    <w:rsid w:val="007F7326"/>
    <w:rsid w:val="007F7D24"/>
    <w:rsid w:val="00800435"/>
    <w:rsid w:val="00801657"/>
    <w:rsid w:val="00801771"/>
    <w:rsid w:val="00801BF7"/>
    <w:rsid w:val="00801EF0"/>
    <w:rsid w:val="00803ED0"/>
    <w:rsid w:val="00805032"/>
    <w:rsid w:val="00805500"/>
    <w:rsid w:val="008063C4"/>
    <w:rsid w:val="0080665D"/>
    <w:rsid w:val="00806DFE"/>
    <w:rsid w:val="00807079"/>
    <w:rsid w:val="0080794E"/>
    <w:rsid w:val="00807A4D"/>
    <w:rsid w:val="00812619"/>
    <w:rsid w:val="0081287F"/>
    <w:rsid w:val="00812E89"/>
    <w:rsid w:val="008132A5"/>
    <w:rsid w:val="0081343E"/>
    <w:rsid w:val="00813512"/>
    <w:rsid w:val="008148DC"/>
    <w:rsid w:val="00815143"/>
    <w:rsid w:val="00817D87"/>
    <w:rsid w:val="00820612"/>
    <w:rsid w:val="0082096C"/>
    <w:rsid w:val="008218CE"/>
    <w:rsid w:val="0082289F"/>
    <w:rsid w:val="00822F59"/>
    <w:rsid w:val="00823538"/>
    <w:rsid w:val="008239C8"/>
    <w:rsid w:val="00823DDB"/>
    <w:rsid w:val="008241FB"/>
    <w:rsid w:val="008243FB"/>
    <w:rsid w:val="00824D05"/>
    <w:rsid w:val="008253DC"/>
    <w:rsid w:val="008254AA"/>
    <w:rsid w:val="008255F9"/>
    <w:rsid w:val="0082606F"/>
    <w:rsid w:val="00827C07"/>
    <w:rsid w:val="00827C70"/>
    <w:rsid w:val="00831720"/>
    <w:rsid w:val="00831889"/>
    <w:rsid w:val="00831AB0"/>
    <w:rsid w:val="00831BC4"/>
    <w:rsid w:val="008326E7"/>
    <w:rsid w:val="00832D93"/>
    <w:rsid w:val="00833E83"/>
    <w:rsid w:val="00834CBA"/>
    <w:rsid w:val="00835038"/>
    <w:rsid w:val="00835450"/>
    <w:rsid w:val="00835EA2"/>
    <w:rsid w:val="00836993"/>
    <w:rsid w:val="00841022"/>
    <w:rsid w:val="008449DC"/>
    <w:rsid w:val="0084562B"/>
    <w:rsid w:val="00845C1A"/>
    <w:rsid w:val="00846568"/>
    <w:rsid w:val="00846982"/>
    <w:rsid w:val="0085046C"/>
    <w:rsid w:val="00850AD7"/>
    <w:rsid w:val="0085102A"/>
    <w:rsid w:val="008510B5"/>
    <w:rsid w:val="00851187"/>
    <w:rsid w:val="00851A96"/>
    <w:rsid w:val="00852036"/>
    <w:rsid w:val="00853225"/>
    <w:rsid w:val="00853A5D"/>
    <w:rsid w:val="0085486D"/>
    <w:rsid w:val="00854CEA"/>
    <w:rsid w:val="008560A2"/>
    <w:rsid w:val="00856940"/>
    <w:rsid w:val="00856F05"/>
    <w:rsid w:val="008579A3"/>
    <w:rsid w:val="008601BB"/>
    <w:rsid w:val="008604EB"/>
    <w:rsid w:val="0086072E"/>
    <w:rsid w:val="0086095E"/>
    <w:rsid w:val="008613FD"/>
    <w:rsid w:val="008615A3"/>
    <w:rsid w:val="008625E3"/>
    <w:rsid w:val="00862B32"/>
    <w:rsid w:val="00862CED"/>
    <w:rsid w:val="00863D76"/>
    <w:rsid w:val="00864BBD"/>
    <w:rsid w:val="00864FFE"/>
    <w:rsid w:val="008657A5"/>
    <w:rsid w:val="00865CEE"/>
    <w:rsid w:val="00866022"/>
    <w:rsid w:val="008665CF"/>
    <w:rsid w:val="00870E7A"/>
    <w:rsid w:val="00870EAC"/>
    <w:rsid w:val="00871A75"/>
    <w:rsid w:val="00871F2A"/>
    <w:rsid w:val="008750E3"/>
    <w:rsid w:val="0087581C"/>
    <w:rsid w:val="00875949"/>
    <w:rsid w:val="00875B8C"/>
    <w:rsid w:val="00875F2A"/>
    <w:rsid w:val="00876EA5"/>
    <w:rsid w:val="00877907"/>
    <w:rsid w:val="00881159"/>
    <w:rsid w:val="008818B2"/>
    <w:rsid w:val="00881E5F"/>
    <w:rsid w:val="008821EF"/>
    <w:rsid w:val="00882A92"/>
    <w:rsid w:val="0088352F"/>
    <w:rsid w:val="0088390B"/>
    <w:rsid w:val="0088401F"/>
    <w:rsid w:val="00885172"/>
    <w:rsid w:val="00885316"/>
    <w:rsid w:val="008862AB"/>
    <w:rsid w:val="0088635E"/>
    <w:rsid w:val="008868CA"/>
    <w:rsid w:val="00887581"/>
    <w:rsid w:val="008876C0"/>
    <w:rsid w:val="0089016E"/>
    <w:rsid w:val="0089092A"/>
    <w:rsid w:val="0089124C"/>
    <w:rsid w:val="00893D0B"/>
    <w:rsid w:val="008941A7"/>
    <w:rsid w:val="00894663"/>
    <w:rsid w:val="0089491D"/>
    <w:rsid w:val="00895EA5"/>
    <w:rsid w:val="008966E1"/>
    <w:rsid w:val="00896FC1"/>
    <w:rsid w:val="00897909"/>
    <w:rsid w:val="008A1400"/>
    <w:rsid w:val="008A1748"/>
    <w:rsid w:val="008A1A7C"/>
    <w:rsid w:val="008A21D2"/>
    <w:rsid w:val="008A2483"/>
    <w:rsid w:val="008A267E"/>
    <w:rsid w:val="008A26EC"/>
    <w:rsid w:val="008A2D99"/>
    <w:rsid w:val="008A3944"/>
    <w:rsid w:val="008A412A"/>
    <w:rsid w:val="008A4245"/>
    <w:rsid w:val="008A439C"/>
    <w:rsid w:val="008A4842"/>
    <w:rsid w:val="008A4866"/>
    <w:rsid w:val="008A5D8E"/>
    <w:rsid w:val="008A6833"/>
    <w:rsid w:val="008A6B1D"/>
    <w:rsid w:val="008A6EA6"/>
    <w:rsid w:val="008A7A0F"/>
    <w:rsid w:val="008B0E60"/>
    <w:rsid w:val="008B0F5C"/>
    <w:rsid w:val="008B0F6F"/>
    <w:rsid w:val="008B2739"/>
    <w:rsid w:val="008B2DF6"/>
    <w:rsid w:val="008B2E01"/>
    <w:rsid w:val="008B36EF"/>
    <w:rsid w:val="008B4E93"/>
    <w:rsid w:val="008B5ABD"/>
    <w:rsid w:val="008B7405"/>
    <w:rsid w:val="008C062B"/>
    <w:rsid w:val="008C0748"/>
    <w:rsid w:val="008C1838"/>
    <w:rsid w:val="008C2756"/>
    <w:rsid w:val="008C2DEF"/>
    <w:rsid w:val="008C32E2"/>
    <w:rsid w:val="008C39D2"/>
    <w:rsid w:val="008C3F49"/>
    <w:rsid w:val="008C49C5"/>
    <w:rsid w:val="008C5568"/>
    <w:rsid w:val="008C5EB7"/>
    <w:rsid w:val="008C638F"/>
    <w:rsid w:val="008C778B"/>
    <w:rsid w:val="008C7D53"/>
    <w:rsid w:val="008D02BB"/>
    <w:rsid w:val="008D03CB"/>
    <w:rsid w:val="008D0C5C"/>
    <w:rsid w:val="008D124E"/>
    <w:rsid w:val="008D1343"/>
    <w:rsid w:val="008D1794"/>
    <w:rsid w:val="008D1DEA"/>
    <w:rsid w:val="008D1E82"/>
    <w:rsid w:val="008D3FC4"/>
    <w:rsid w:val="008D4B9F"/>
    <w:rsid w:val="008D4C21"/>
    <w:rsid w:val="008D5593"/>
    <w:rsid w:val="008D57CC"/>
    <w:rsid w:val="008D64F8"/>
    <w:rsid w:val="008D6A40"/>
    <w:rsid w:val="008D716F"/>
    <w:rsid w:val="008D7671"/>
    <w:rsid w:val="008E0C4D"/>
    <w:rsid w:val="008E1077"/>
    <w:rsid w:val="008E12B8"/>
    <w:rsid w:val="008E3A6C"/>
    <w:rsid w:val="008E43EC"/>
    <w:rsid w:val="008E4FA8"/>
    <w:rsid w:val="008E60DA"/>
    <w:rsid w:val="008E66B3"/>
    <w:rsid w:val="008E66E7"/>
    <w:rsid w:val="008E71BA"/>
    <w:rsid w:val="008E7244"/>
    <w:rsid w:val="008F00DE"/>
    <w:rsid w:val="008F069E"/>
    <w:rsid w:val="008F1AE7"/>
    <w:rsid w:val="008F22D5"/>
    <w:rsid w:val="008F2F2C"/>
    <w:rsid w:val="008F42BE"/>
    <w:rsid w:val="008F43B8"/>
    <w:rsid w:val="008F46B5"/>
    <w:rsid w:val="008F56F0"/>
    <w:rsid w:val="008F5B89"/>
    <w:rsid w:val="008F79CE"/>
    <w:rsid w:val="008F7A21"/>
    <w:rsid w:val="00900AD2"/>
    <w:rsid w:val="00900D88"/>
    <w:rsid w:val="00901390"/>
    <w:rsid w:val="00901563"/>
    <w:rsid w:val="00901EBD"/>
    <w:rsid w:val="00902A09"/>
    <w:rsid w:val="0090353D"/>
    <w:rsid w:val="0090389E"/>
    <w:rsid w:val="009041A6"/>
    <w:rsid w:val="00905730"/>
    <w:rsid w:val="00905EF4"/>
    <w:rsid w:val="0090684D"/>
    <w:rsid w:val="00906A93"/>
    <w:rsid w:val="0090753B"/>
    <w:rsid w:val="009076D7"/>
    <w:rsid w:val="009107B6"/>
    <w:rsid w:val="00911AFF"/>
    <w:rsid w:val="009149D4"/>
    <w:rsid w:val="00914BA8"/>
    <w:rsid w:val="00915195"/>
    <w:rsid w:val="009154F9"/>
    <w:rsid w:val="009165F8"/>
    <w:rsid w:val="00917AAE"/>
    <w:rsid w:val="0092001F"/>
    <w:rsid w:val="00920D79"/>
    <w:rsid w:val="00921AF0"/>
    <w:rsid w:val="00922273"/>
    <w:rsid w:val="009228B5"/>
    <w:rsid w:val="009228EB"/>
    <w:rsid w:val="009258F5"/>
    <w:rsid w:val="00925D6F"/>
    <w:rsid w:val="00927695"/>
    <w:rsid w:val="0092771E"/>
    <w:rsid w:val="009278C3"/>
    <w:rsid w:val="00930007"/>
    <w:rsid w:val="00930458"/>
    <w:rsid w:val="00930E6B"/>
    <w:rsid w:val="00931220"/>
    <w:rsid w:val="009316E2"/>
    <w:rsid w:val="00931DA4"/>
    <w:rsid w:val="00931F07"/>
    <w:rsid w:val="009322F8"/>
    <w:rsid w:val="00932ACB"/>
    <w:rsid w:val="00932B68"/>
    <w:rsid w:val="00933BF2"/>
    <w:rsid w:val="009359CE"/>
    <w:rsid w:val="009359D8"/>
    <w:rsid w:val="009361D0"/>
    <w:rsid w:val="0093637C"/>
    <w:rsid w:val="009371F1"/>
    <w:rsid w:val="0093781F"/>
    <w:rsid w:val="009400A5"/>
    <w:rsid w:val="009402CC"/>
    <w:rsid w:val="009403A6"/>
    <w:rsid w:val="009407A4"/>
    <w:rsid w:val="00940A50"/>
    <w:rsid w:val="00942D56"/>
    <w:rsid w:val="009435F2"/>
    <w:rsid w:val="00943A77"/>
    <w:rsid w:val="00943DA1"/>
    <w:rsid w:val="00943DFD"/>
    <w:rsid w:val="00943EA1"/>
    <w:rsid w:val="00944262"/>
    <w:rsid w:val="009449D8"/>
    <w:rsid w:val="00944AB1"/>
    <w:rsid w:val="0094528D"/>
    <w:rsid w:val="0094697B"/>
    <w:rsid w:val="00946C71"/>
    <w:rsid w:val="00946F3D"/>
    <w:rsid w:val="00950856"/>
    <w:rsid w:val="009522B2"/>
    <w:rsid w:val="00952495"/>
    <w:rsid w:val="00952729"/>
    <w:rsid w:val="00952B1A"/>
    <w:rsid w:val="00953190"/>
    <w:rsid w:val="009552DC"/>
    <w:rsid w:val="00956064"/>
    <w:rsid w:val="009606D4"/>
    <w:rsid w:val="00961655"/>
    <w:rsid w:val="009616E1"/>
    <w:rsid w:val="0096256F"/>
    <w:rsid w:val="009639BA"/>
    <w:rsid w:val="00963AA8"/>
    <w:rsid w:val="00963B88"/>
    <w:rsid w:val="0096475F"/>
    <w:rsid w:val="00965AE5"/>
    <w:rsid w:val="00966E87"/>
    <w:rsid w:val="00967059"/>
    <w:rsid w:val="009677A7"/>
    <w:rsid w:val="0097048B"/>
    <w:rsid w:val="009706D9"/>
    <w:rsid w:val="009719CC"/>
    <w:rsid w:val="00971FA5"/>
    <w:rsid w:val="00972EA5"/>
    <w:rsid w:val="00975922"/>
    <w:rsid w:val="00975E21"/>
    <w:rsid w:val="009762D4"/>
    <w:rsid w:val="0097774B"/>
    <w:rsid w:val="009777E3"/>
    <w:rsid w:val="009811EB"/>
    <w:rsid w:val="0098191F"/>
    <w:rsid w:val="0098285E"/>
    <w:rsid w:val="00982F8B"/>
    <w:rsid w:val="0098308A"/>
    <w:rsid w:val="009843DC"/>
    <w:rsid w:val="009844E3"/>
    <w:rsid w:val="00984F2A"/>
    <w:rsid w:val="00985A31"/>
    <w:rsid w:val="009875DC"/>
    <w:rsid w:val="0098761D"/>
    <w:rsid w:val="009877AF"/>
    <w:rsid w:val="00987BF4"/>
    <w:rsid w:val="00990132"/>
    <w:rsid w:val="0099062F"/>
    <w:rsid w:val="00990B30"/>
    <w:rsid w:val="0099117E"/>
    <w:rsid w:val="009919D3"/>
    <w:rsid w:val="00992690"/>
    <w:rsid w:val="00992A72"/>
    <w:rsid w:val="00992B2A"/>
    <w:rsid w:val="00992F40"/>
    <w:rsid w:val="00994B60"/>
    <w:rsid w:val="00995007"/>
    <w:rsid w:val="009952F7"/>
    <w:rsid w:val="009960CE"/>
    <w:rsid w:val="009A48E2"/>
    <w:rsid w:val="009A70F7"/>
    <w:rsid w:val="009A72AA"/>
    <w:rsid w:val="009A78F3"/>
    <w:rsid w:val="009B0EE0"/>
    <w:rsid w:val="009B3815"/>
    <w:rsid w:val="009B68A7"/>
    <w:rsid w:val="009B6B32"/>
    <w:rsid w:val="009C000A"/>
    <w:rsid w:val="009C0434"/>
    <w:rsid w:val="009C1106"/>
    <w:rsid w:val="009C134A"/>
    <w:rsid w:val="009C474A"/>
    <w:rsid w:val="009C5AB4"/>
    <w:rsid w:val="009C5E03"/>
    <w:rsid w:val="009C6249"/>
    <w:rsid w:val="009C6B97"/>
    <w:rsid w:val="009C7BEF"/>
    <w:rsid w:val="009C7F2C"/>
    <w:rsid w:val="009C7F74"/>
    <w:rsid w:val="009D05FC"/>
    <w:rsid w:val="009D0B92"/>
    <w:rsid w:val="009D0D1E"/>
    <w:rsid w:val="009D2269"/>
    <w:rsid w:val="009D2820"/>
    <w:rsid w:val="009D2D27"/>
    <w:rsid w:val="009D2E47"/>
    <w:rsid w:val="009D47E2"/>
    <w:rsid w:val="009D4BD3"/>
    <w:rsid w:val="009D5056"/>
    <w:rsid w:val="009D59A8"/>
    <w:rsid w:val="009D5A0F"/>
    <w:rsid w:val="009D646A"/>
    <w:rsid w:val="009D6626"/>
    <w:rsid w:val="009D6692"/>
    <w:rsid w:val="009D7455"/>
    <w:rsid w:val="009E0858"/>
    <w:rsid w:val="009E131B"/>
    <w:rsid w:val="009E1763"/>
    <w:rsid w:val="009E1C65"/>
    <w:rsid w:val="009E1FAD"/>
    <w:rsid w:val="009E2D75"/>
    <w:rsid w:val="009E3184"/>
    <w:rsid w:val="009E3F04"/>
    <w:rsid w:val="009E47A1"/>
    <w:rsid w:val="009E4CAD"/>
    <w:rsid w:val="009E4F52"/>
    <w:rsid w:val="009E52C3"/>
    <w:rsid w:val="009E633A"/>
    <w:rsid w:val="009E7EF7"/>
    <w:rsid w:val="009F00C8"/>
    <w:rsid w:val="009F1A7B"/>
    <w:rsid w:val="009F365A"/>
    <w:rsid w:val="009F42D6"/>
    <w:rsid w:val="009F4B95"/>
    <w:rsid w:val="009F4E29"/>
    <w:rsid w:val="009F5295"/>
    <w:rsid w:val="009F5F13"/>
    <w:rsid w:val="009F63F6"/>
    <w:rsid w:val="009F6C7F"/>
    <w:rsid w:val="009F7881"/>
    <w:rsid w:val="009F78CE"/>
    <w:rsid w:val="009F7CE1"/>
    <w:rsid w:val="009F7FE8"/>
    <w:rsid w:val="00A01BE2"/>
    <w:rsid w:val="00A027B0"/>
    <w:rsid w:val="00A02B55"/>
    <w:rsid w:val="00A0343A"/>
    <w:rsid w:val="00A03975"/>
    <w:rsid w:val="00A03A7B"/>
    <w:rsid w:val="00A04461"/>
    <w:rsid w:val="00A06038"/>
    <w:rsid w:val="00A06545"/>
    <w:rsid w:val="00A070D9"/>
    <w:rsid w:val="00A11C8C"/>
    <w:rsid w:val="00A11CFF"/>
    <w:rsid w:val="00A11D9E"/>
    <w:rsid w:val="00A141CC"/>
    <w:rsid w:val="00A143F6"/>
    <w:rsid w:val="00A1475F"/>
    <w:rsid w:val="00A15256"/>
    <w:rsid w:val="00A15B1A"/>
    <w:rsid w:val="00A15E00"/>
    <w:rsid w:val="00A16D36"/>
    <w:rsid w:val="00A170C2"/>
    <w:rsid w:val="00A20D44"/>
    <w:rsid w:val="00A219DB"/>
    <w:rsid w:val="00A22B5A"/>
    <w:rsid w:val="00A22EDE"/>
    <w:rsid w:val="00A22F21"/>
    <w:rsid w:val="00A247E9"/>
    <w:rsid w:val="00A24BE2"/>
    <w:rsid w:val="00A24C31"/>
    <w:rsid w:val="00A2647F"/>
    <w:rsid w:val="00A27A72"/>
    <w:rsid w:val="00A30583"/>
    <w:rsid w:val="00A30EFE"/>
    <w:rsid w:val="00A31A7C"/>
    <w:rsid w:val="00A31AE7"/>
    <w:rsid w:val="00A31BB9"/>
    <w:rsid w:val="00A31C5C"/>
    <w:rsid w:val="00A31F85"/>
    <w:rsid w:val="00A32B9B"/>
    <w:rsid w:val="00A32DF8"/>
    <w:rsid w:val="00A33834"/>
    <w:rsid w:val="00A33FBE"/>
    <w:rsid w:val="00A34576"/>
    <w:rsid w:val="00A35286"/>
    <w:rsid w:val="00A35356"/>
    <w:rsid w:val="00A35ED6"/>
    <w:rsid w:val="00A36B3A"/>
    <w:rsid w:val="00A37446"/>
    <w:rsid w:val="00A37475"/>
    <w:rsid w:val="00A4033A"/>
    <w:rsid w:val="00A409B3"/>
    <w:rsid w:val="00A413DC"/>
    <w:rsid w:val="00A41783"/>
    <w:rsid w:val="00A42422"/>
    <w:rsid w:val="00A44AB0"/>
    <w:rsid w:val="00A4505A"/>
    <w:rsid w:val="00A455DF"/>
    <w:rsid w:val="00A45C3D"/>
    <w:rsid w:val="00A45C6B"/>
    <w:rsid w:val="00A46311"/>
    <w:rsid w:val="00A5044E"/>
    <w:rsid w:val="00A5067B"/>
    <w:rsid w:val="00A510B1"/>
    <w:rsid w:val="00A511A1"/>
    <w:rsid w:val="00A528B1"/>
    <w:rsid w:val="00A534C9"/>
    <w:rsid w:val="00A534DA"/>
    <w:rsid w:val="00A53A3C"/>
    <w:rsid w:val="00A540AD"/>
    <w:rsid w:val="00A544F5"/>
    <w:rsid w:val="00A546D8"/>
    <w:rsid w:val="00A5471B"/>
    <w:rsid w:val="00A54BDF"/>
    <w:rsid w:val="00A55E2D"/>
    <w:rsid w:val="00A57DF8"/>
    <w:rsid w:val="00A60081"/>
    <w:rsid w:val="00A6032A"/>
    <w:rsid w:val="00A612F0"/>
    <w:rsid w:val="00A61B34"/>
    <w:rsid w:val="00A62000"/>
    <w:rsid w:val="00A624E0"/>
    <w:rsid w:val="00A62E73"/>
    <w:rsid w:val="00A64230"/>
    <w:rsid w:val="00A64317"/>
    <w:rsid w:val="00A65271"/>
    <w:rsid w:val="00A66552"/>
    <w:rsid w:val="00A66CCA"/>
    <w:rsid w:val="00A6732B"/>
    <w:rsid w:val="00A6736E"/>
    <w:rsid w:val="00A67527"/>
    <w:rsid w:val="00A70448"/>
    <w:rsid w:val="00A71503"/>
    <w:rsid w:val="00A72029"/>
    <w:rsid w:val="00A72BA1"/>
    <w:rsid w:val="00A73D9C"/>
    <w:rsid w:val="00A754F9"/>
    <w:rsid w:val="00A75EEE"/>
    <w:rsid w:val="00A765AB"/>
    <w:rsid w:val="00A7698B"/>
    <w:rsid w:val="00A7716A"/>
    <w:rsid w:val="00A7721F"/>
    <w:rsid w:val="00A809DB"/>
    <w:rsid w:val="00A80DA5"/>
    <w:rsid w:val="00A81492"/>
    <w:rsid w:val="00A819E8"/>
    <w:rsid w:val="00A8307B"/>
    <w:rsid w:val="00A832D4"/>
    <w:rsid w:val="00A83D14"/>
    <w:rsid w:val="00A83F57"/>
    <w:rsid w:val="00A84482"/>
    <w:rsid w:val="00A85661"/>
    <w:rsid w:val="00A85AB5"/>
    <w:rsid w:val="00A8658F"/>
    <w:rsid w:val="00A907B8"/>
    <w:rsid w:val="00A90E81"/>
    <w:rsid w:val="00A90FFF"/>
    <w:rsid w:val="00A910E6"/>
    <w:rsid w:val="00A919C2"/>
    <w:rsid w:val="00A924D9"/>
    <w:rsid w:val="00A927D3"/>
    <w:rsid w:val="00A92BF8"/>
    <w:rsid w:val="00A932F6"/>
    <w:rsid w:val="00A93DBE"/>
    <w:rsid w:val="00A94052"/>
    <w:rsid w:val="00A9456D"/>
    <w:rsid w:val="00A975A4"/>
    <w:rsid w:val="00AA0C72"/>
    <w:rsid w:val="00AA0F00"/>
    <w:rsid w:val="00AA0F2D"/>
    <w:rsid w:val="00AA13E1"/>
    <w:rsid w:val="00AA1739"/>
    <w:rsid w:val="00AA27DA"/>
    <w:rsid w:val="00AA47F1"/>
    <w:rsid w:val="00AA4B33"/>
    <w:rsid w:val="00AA6DCD"/>
    <w:rsid w:val="00AA6E05"/>
    <w:rsid w:val="00AA7616"/>
    <w:rsid w:val="00AA7BCD"/>
    <w:rsid w:val="00AB017F"/>
    <w:rsid w:val="00AB06A3"/>
    <w:rsid w:val="00AB1550"/>
    <w:rsid w:val="00AB2AC2"/>
    <w:rsid w:val="00AB481D"/>
    <w:rsid w:val="00AB4FA6"/>
    <w:rsid w:val="00AB5BF5"/>
    <w:rsid w:val="00AB6522"/>
    <w:rsid w:val="00AB67B0"/>
    <w:rsid w:val="00AB6DAF"/>
    <w:rsid w:val="00AB6DD3"/>
    <w:rsid w:val="00AB736D"/>
    <w:rsid w:val="00AB7E11"/>
    <w:rsid w:val="00AC1E16"/>
    <w:rsid w:val="00AC2798"/>
    <w:rsid w:val="00AC2C60"/>
    <w:rsid w:val="00AC3693"/>
    <w:rsid w:val="00AC3A55"/>
    <w:rsid w:val="00AC4029"/>
    <w:rsid w:val="00AC44D4"/>
    <w:rsid w:val="00AC5978"/>
    <w:rsid w:val="00AC7083"/>
    <w:rsid w:val="00AC7247"/>
    <w:rsid w:val="00AC7667"/>
    <w:rsid w:val="00AC7EF6"/>
    <w:rsid w:val="00AD0A7E"/>
    <w:rsid w:val="00AD1549"/>
    <w:rsid w:val="00AD1A1F"/>
    <w:rsid w:val="00AD1BC0"/>
    <w:rsid w:val="00AD3CA6"/>
    <w:rsid w:val="00AD4F7B"/>
    <w:rsid w:val="00AD5681"/>
    <w:rsid w:val="00AD5E31"/>
    <w:rsid w:val="00AD69B9"/>
    <w:rsid w:val="00AE3125"/>
    <w:rsid w:val="00AE3591"/>
    <w:rsid w:val="00AE48AE"/>
    <w:rsid w:val="00AE5030"/>
    <w:rsid w:val="00AE60A4"/>
    <w:rsid w:val="00AE62EB"/>
    <w:rsid w:val="00AE66D0"/>
    <w:rsid w:val="00AE688E"/>
    <w:rsid w:val="00AE77A9"/>
    <w:rsid w:val="00AE7B57"/>
    <w:rsid w:val="00AF04DE"/>
    <w:rsid w:val="00AF0A12"/>
    <w:rsid w:val="00AF12AE"/>
    <w:rsid w:val="00AF166A"/>
    <w:rsid w:val="00AF2C13"/>
    <w:rsid w:val="00AF4A0B"/>
    <w:rsid w:val="00AF54DA"/>
    <w:rsid w:val="00AF5F0A"/>
    <w:rsid w:val="00AF6533"/>
    <w:rsid w:val="00AF6CE0"/>
    <w:rsid w:val="00B00615"/>
    <w:rsid w:val="00B01013"/>
    <w:rsid w:val="00B01AB9"/>
    <w:rsid w:val="00B03EDC"/>
    <w:rsid w:val="00B04D18"/>
    <w:rsid w:val="00B05EA2"/>
    <w:rsid w:val="00B07026"/>
    <w:rsid w:val="00B0727A"/>
    <w:rsid w:val="00B0734A"/>
    <w:rsid w:val="00B07863"/>
    <w:rsid w:val="00B07AE0"/>
    <w:rsid w:val="00B101DF"/>
    <w:rsid w:val="00B1191A"/>
    <w:rsid w:val="00B11D84"/>
    <w:rsid w:val="00B12000"/>
    <w:rsid w:val="00B148D4"/>
    <w:rsid w:val="00B15535"/>
    <w:rsid w:val="00B15637"/>
    <w:rsid w:val="00B1586B"/>
    <w:rsid w:val="00B16764"/>
    <w:rsid w:val="00B17B6A"/>
    <w:rsid w:val="00B17FAD"/>
    <w:rsid w:val="00B20130"/>
    <w:rsid w:val="00B20AC0"/>
    <w:rsid w:val="00B212C7"/>
    <w:rsid w:val="00B2236B"/>
    <w:rsid w:val="00B229A8"/>
    <w:rsid w:val="00B22CF0"/>
    <w:rsid w:val="00B2367F"/>
    <w:rsid w:val="00B23DDB"/>
    <w:rsid w:val="00B2586D"/>
    <w:rsid w:val="00B27ECC"/>
    <w:rsid w:val="00B27F36"/>
    <w:rsid w:val="00B31D67"/>
    <w:rsid w:val="00B31D6A"/>
    <w:rsid w:val="00B32F60"/>
    <w:rsid w:val="00B33AD9"/>
    <w:rsid w:val="00B33BA6"/>
    <w:rsid w:val="00B3529A"/>
    <w:rsid w:val="00B35B40"/>
    <w:rsid w:val="00B36279"/>
    <w:rsid w:val="00B3783E"/>
    <w:rsid w:val="00B37B1A"/>
    <w:rsid w:val="00B37D73"/>
    <w:rsid w:val="00B400E2"/>
    <w:rsid w:val="00B4033E"/>
    <w:rsid w:val="00B41560"/>
    <w:rsid w:val="00B416AD"/>
    <w:rsid w:val="00B42AA3"/>
    <w:rsid w:val="00B42B48"/>
    <w:rsid w:val="00B431BB"/>
    <w:rsid w:val="00B43DDA"/>
    <w:rsid w:val="00B44430"/>
    <w:rsid w:val="00B4463F"/>
    <w:rsid w:val="00B44F62"/>
    <w:rsid w:val="00B46634"/>
    <w:rsid w:val="00B466C3"/>
    <w:rsid w:val="00B46994"/>
    <w:rsid w:val="00B46BDC"/>
    <w:rsid w:val="00B46DD8"/>
    <w:rsid w:val="00B4738A"/>
    <w:rsid w:val="00B5080A"/>
    <w:rsid w:val="00B50CB4"/>
    <w:rsid w:val="00B5158F"/>
    <w:rsid w:val="00B51797"/>
    <w:rsid w:val="00B51F30"/>
    <w:rsid w:val="00B520ED"/>
    <w:rsid w:val="00B52913"/>
    <w:rsid w:val="00B52B04"/>
    <w:rsid w:val="00B536B1"/>
    <w:rsid w:val="00B54668"/>
    <w:rsid w:val="00B552F7"/>
    <w:rsid w:val="00B55DD9"/>
    <w:rsid w:val="00B56C82"/>
    <w:rsid w:val="00B57F03"/>
    <w:rsid w:val="00B60953"/>
    <w:rsid w:val="00B60C63"/>
    <w:rsid w:val="00B61875"/>
    <w:rsid w:val="00B61B9E"/>
    <w:rsid w:val="00B620E4"/>
    <w:rsid w:val="00B6227A"/>
    <w:rsid w:val="00B624EE"/>
    <w:rsid w:val="00B629C2"/>
    <w:rsid w:val="00B62A1E"/>
    <w:rsid w:val="00B62CE7"/>
    <w:rsid w:val="00B63E00"/>
    <w:rsid w:val="00B645FC"/>
    <w:rsid w:val="00B64F13"/>
    <w:rsid w:val="00B65F19"/>
    <w:rsid w:val="00B66617"/>
    <w:rsid w:val="00B66A65"/>
    <w:rsid w:val="00B6746E"/>
    <w:rsid w:val="00B7038F"/>
    <w:rsid w:val="00B7124C"/>
    <w:rsid w:val="00B7349A"/>
    <w:rsid w:val="00B738AA"/>
    <w:rsid w:val="00B74E46"/>
    <w:rsid w:val="00B754C7"/>
    <w:rsid w:val="00B7680E"/>
    <w:rsid w:val="00B76A48"/>
    <w:rsid w:val="00B76FE4"/>
    <w:rsid w:val="00B77F55"/>
    <w:rsid w:val="00B8009B"/>
    <w:rsid w:val="00B80471"/>
    <w:rsid w:val="00B81CE7"/>
    <w:rsid w:val="00B830EF"/>
    <w:rsid w:val="00B834A8"/>
    <w:rsid w:val="00B83C22"/>
    <w:rsid w:val="00B841A4"/>
    <w:rsid w:val="00B85086"/>
    <w:rsid w:val="00B85249"/>
    <w:rsid w:val="00B8531D"/>
    <w:rsid w:val="00B85B85"/>
    <w:rsid w:val="00B86224"/>
    <w:rsid w:val="00B866E3"/>
    <w:rsid w:val="00B912CA"/>
    <w:rsid w:val="00B92494"/>
    <w:rsid w:val="00B94F1E"/>
    <w:rsid w:val="00B94FE9"/>
    <w:rsid w:val="00B956AC"/>
    <w:rsid w:val="00B95DB8"/>
    <w:rsid w:val="00B95F1F"/>
    <w:rsid w:val="00B96B0A"/>
    <w:rsid w:val="00B9736E"/>
    <w:rsid w:val="00B97648"/>
    <w:rsid w:val="00B9766C"/>
    <w:rsid w:val="00B97AFD"/>
    <w:rsid w:val="00B97EF3"/>
    <w:rsid w:val="00BA01F9"/>
    <w:rsid w:val="00BA052B"/>
    <w:rsid w:val="00BA0EC2"/>
    <w:rsid w:val="00BA3227"/>
    <w:rsid w:val="00BA3DCF"/>
    <w:rsid w:val="00BA3F8A"/>
    <w:rsid w:val="00BA45E4"/>
    <w:rsid w:val="00BA4EC8"/>
    <w:rsid w:val="00BA5101"/>
    <w:rsid w:val="00BA7B6A"/>
    <w:rsid w:val="00BA7F02"/>
    <w:rsid w:val="00BB30A4"/>
    <w:rsid w:val="00BB3947"/>
    <w:rsid w:val="00BB5270"/>
    <w:rsid w:val="00BB5A14"/>
    <w:rsid w:val="00BB5F8D"/>
    <w:rsid w:val="00BB6F63"/>
    <w:rsid w:val="00BB7572"/>
    <w:rsid w:val="00BB78B3"/>
    <w:rsid w:val="00BB792D"/>
    <w:rsid w:val="00BC115C"/>
    <w:rsid w:val="00BC1324"/>
    <w:rsid w:val="00BC178E"/>
    <w:rsid w:val="00BC1875"/>
    <w:rsid w:val="00BC1D7F"/>
    <w:rsid w:val="00BC1DB5"/>
    <w:rsid w:val="00BC245C"/>
    <w:rsid w:val="00BC3F9E"/>
    <w:rsid w:val="00BC4B7D"/>
    <w:rsid w:val="00BC4F01"/>
    <w:rsid w:val="00BC52D5"/>
    <w:rsid w:val="00BC6803"/>
    <w:rsid w:val="00BC6987"/>
    <w:rsid w:val="00BC70D3"/>
    <w:rsid w:val="00BC7B17"/>
    <w:rsid w:val="00BD05F9"/>
    <w:rsid w:val="00BD14DE"/>
    <w:rsid w:val="00BD1725"/>
    <w:rsid w:val="00BD236D"/>
    <w:rsid w:val="00BD2B0F"/>
    <w:rsid w:val="00BD36A3"/>
    <w:rsid w:val="00BD3711"/>
    <w:rsid w:val="00BD39BF"/>
    <w:rsid w:val="00BD40B0"/>
    <w:rsid w:val="00BD6105"/>
    <w:rsid w:val="00BD6131"/>
    <w:rsid w:val="00BD656F"/>
    <w:rsid w:val="00BD690A"/>
    <w:rsid w:val="00BD6DB3"/>
    <w:rsid w:val="00BD78CE"/>
    <w:rsid w:val="00BD7E58"/>
    <w:rsid w:val="00BE0A65"/>
    <w:rsid w:val="00BE1D51"/>
    <w:rsid w:val="00BE255B"/>
    <w:rsid w:val="00BE2C06"/>
    <w:rsid w:val="00BE415F"/>
    <w:rsid w:val="00BE4C7B"/>
    <w:rsid w:val="00BE55EE"/>
    <w:rsid w:val="00BE6999"/>
    <w:rsid w:val="00BE6C24"/>
    <w:rsid w:val="00BE7141"/>
    <w:rsid w:val="00BE7708"/>
    <w:rsid w:val="00BE7D48"/>
    <w:rsid w:val="00BF0F8F"/>
    <w:rsid w:val="00BF19F5"/>
    <w:rsid w:val="00BF1BEC"/>
    <w:rsid w:val="00BF256B"/>
    <w:rsid w:val="00BF28E7"/>
    <w:rsid w:val="00BF2A25"/>
    <w:rsid w:val="00BF2F32"/>
    <w:rsid w:val="00BF3607"/>
    <w:rsid w:val="00BF4531"/>
    <w:rsid w:val="00BF4845"/>
    <w:rsid w:val="00BF6288"/>
    <w:rsid w:val="00BF77E0"/>
    <w:rsid w:val="00C004A1"/>
    <w:rsid w:val="00C00806"/>
    <w:rsid w:val="00C00DD1"/>
    <w:rsid w:val="00C014F6"/>
    <w:rsid w:val="00C01804"/>
    <w:rsid w:val="00C021D4"/>
    <w:rsid w:val="00C031CC"/>
    <w:rsid w:val="00C036D9"/>
    <w:rsid w:val="00C03B6E"/>
    <w:rsid w:val="00C0529A"/>
    <w:rsid w:val="00C0551F"/>
    <w:rsid w:val="00C05796"/>
    <w:rsid w:val="00C06588"/>
    <w:rsid w:val="00C07134"/>
    <w:rsid w:val="00C071C1"/>
    <w:rsid w:val="00C078BF"/>
    <w:rsid w:val="00C07EAF"/>
    <w:rsid w:val="00C1072E"/>
    <w:rsid w:val="00C10E4B"/>
    <w:rsid w:val="00C124F3"/>
    <w:rsid w:val="00C136A0"/>
    <w:rsid w:val="00C14D65"/>
    <w:rsid w:val="00C174A2"/>
    <w:rsid w:val="00C20C39"/>
    <w:rsid w:val="00C20D6C"/>
    <w:rsid w:val="00C20E58"/>
    <w:rsid w:val="00C21516"/>
    <w:rsid w:val="00C22694"/>
    <w:rsid w:val="00C227F7"/>
    <w:rsid w:val="00C238DB"/>
    <w:rsid w:val="00C23A63"/>
    <w:rsid w:val="00C25625"/>
    <w:rsid w:val="00C27C80"/>
    <w:rsid w:val="00C305C6"/>
    <w:rsid w:val="00C30B36"/>
    <w:rsid w:val="00C30BC2"/>
    <w:rsid w:val="00C30E4C"/>
    <w:rsid w:val="00C31F42"/>
    <w:rsid w:val="00C32CEE"/>
    <w:rsid w:val="00C33B0C"/>
    <w:rsid w:val="00C34BC0"/>
    <w:rsid w:val="00C34EC6"/>
    <w:rsid w:val="00C3523A"/>
    <w:rsid w:val="00C35987"/>
    <w:rsid w:val="00C35F0F"/>
    <w:rsid w:val="00C36790"/>
    <w:rsid w:val="00C37CBB"/>
    <w:rsid w:val="00C37D83"/>
    <w:rsid w:val="00C40A48"/>
    <w:rsid w:val="00C4171E"/>
    <w:rsid w:val="00C41F87"/>
    <w:rsid w:val="00C4207A"/>
    <w:rsid w:val="00C42F02"/>
    <w:rsid w:val="00C436F5"/>
    <w:rsid w:val="00C44606"/>
    <w:rsid w:val="00C44D32"/>
    <w:rsid w:val="00C44FC1"/>
    <w:rsid w:val="00C45081"/>
    <w:rsid w:val="00C45D8A"/>
    <w:rsid w:val="00C463E3"/>
    <w:rsid w:val="00C46AD7"/>
    <w:rsid w:val="00C477D9"/>
    <w:rsid w:val="00C47C5F"/>
    <w:rsid w:val="00C50C10"/>
    <w:rsid w:val="00C52443"/>
    <w:rsid w:val="00C529C4"/>
    <w:rsid w:val="00C52BAC"/>
    <w:rsid w:val="00C5343A"/>
    <w:rsid w:val="00C538A6"/>
    <w:rsid w:val="00C541F1"/>
    <w:rsid w:val="00C5425B"/>
    <w:rsid w:val="00C550A6"/>
    <w:rsid w:val="00C55522"/>
    <w:rsid w:val="00C56EBA"/>
    <w:rsid w:val="00C57BAB"/>
    <w:rsid w:val="00C57E33"/>
    <w:rsid w:val="00C62BF7"/>
    <w:rsid w:val="00C63055"/>
    <w:rsid w:val="00C63B2F"/>
    <w:rsid w:val="00C6422E"/>
    <w:rsid w:val="00C64CC8"/>
    <w:rsid w:val="00C64FDC"/>
    <w:rsid w:val="00C653EC"/>
    <w:rsid w:val="00C656A6"/>
    <w:rsid w:val="00C664F6"/>
    <w:rsid w:val="00C6662C"/>
    <w:rsid w:val="00C672D1"/>
    <w:rsid w:val="00C676B6"/>
    <w:rsid w:val="00C67DD7"/>
    <w:rsid w:val="00C7083F"/>
    <w:rsid w:val="00C70A7F"/>
    <w:rsid w:val="00C70B13"/>
    <w:rsid w:val="00C71377"/>
    <w:rsid w:val="00C71F0A"/>
    <w:rsid w:val="00C7226D"/>
    <w:rsid w:val="00C72772"/>
    <w:rsid w:val="00C746D2"/>
    <w:rsid w:val="00C74E9F"/>
    <w:rsid w:val="00C751D6"/>
    <w:rsid w:val="00C7706F"/>
    <w:rsid w:val="00C7777E"/>
    <w:rsid w:val="00C77816"/>
    <w:rsid w:val="00C77B49"/>
    <w:rsid w:val="00C8047A"/>
    <w:rsid w:val="00C80B0E"/>
    <w:rsid w:val="00C81258"/>
    <w:rsid w:val="00C81CCB"/>
    <w:rsid w:val="00C83435"/>
    <w:rsid w:val="00C83E10"/>
    <w:rsid w:val="00C840C8"/>
    <w:rsid w:val="00C84669"/>
    <w:rsid w:val="00C84840"/>
    <w:rsid w:val="00C85542"/>
    <w:rsid w:val="00C870E0"/>
    <w:rsid w:val="00C87861"/>
    <w:rsid w:val="00C906A2"/>
    <w:rsid w:val="00C909F3"/>
    <w:rsid w:val="00C90C73"/>
    <w:rsid w:val="00C9155E"/>
    <w:rsid w:val="00C91D9B"/>
    <w:rsid w:val="00C92294"/>
    <w:rsid w:val="00C92940"/>
    <w:rsid w:val="00C931D2"/>
    <w:rsid w:val="00C93939"/>
    <w:rsid w:val="00C93D9A"/>
    <w:rsid w:val="00C93EEF"/>
    <w:rsid w:val="00C946AE"/>
    <w:rsid w:val="00C957DD"/>
    <w:rsid w:val="00C97470"/>
    <w:rsid w:val="00CA0451"/>
    <w:rsid w:val="00CA0833"/>
    <w:rsid w:val="00CA105E"/>
    <w:rsid w:val="00CA1363"/>
    <w:rsid w:val="00CA1548"/>
    <w:rsid w:val="00CA3B75"/>
    <w:rsid w:val="00CA3FDD"/>
    <w:rsid w:val="00CA445B"/>
    <w:rsid w:val="00CA4A6C"/>
    <w:rsid w:val="00CA517A"/>
    <w:rsid w:val="00CA5C2C"/>
    <w:rsid w:val="00CA6328"/>
    <w:rsid w:val="00CA696C"/>
    <w:rsid w:val="00CB1D04"/>
    <w:rsid w:val="00CB2074"/>
    <w:rsid w:val="00CB24C0"/>
    <w:rsid w:val="00CB2E6A"/>
    <w:rsid w:val="00CB3B97"/>
    <w:rsid w:val="00CB450F"/>
    <w:rsid w:val="00CB5D00"/>
    <w:rsid w:val="00CB5F31"/>
    <w:rsid w:val="00CB71A7"/>
    <w:rsid w:val="00CB7382"/>
    <w:rsid w:val="00CB77A0"/>
    <w:rsid w:val="00CC00E4"/>
    <w:rsid w:val="00CC12F6"/>
    <w:rsid w:val="00CC146C"/>
    <w:rsid w:val="00CC1601"/>
    <w:rsid w:val="00CC1943"/>
    <w:rsid w:val="00CC19A6"/>
    <w:rsid w:val="00CC2EF9"/>
    <w:rsid w:val="00CC2FE9"/>
    <w:rsid w:val="00CC39D5"/>
    <w:rsid w:val="00CC3D25"/>
    <w:rsid w:val="00CC41DD"/>
    <w:rsid w:val="00CC49DC"/>
    <w:rsid w:val="00CC7584"/>
    <w:rsid w:val="00CC7ABF"/>
    <w:rsid w:val="00CD06C2"/>
    <w:rsid w:val="00CD1547"/>
    <w:rsid w:val="00CD25A3"/>
    <w:rsid w:val="00CD2A9F"/>
    <w:rsid w:val="00CD4BB0"/>
    <w:rsid w:val="00CD61CE"/>
    <w:rsid w:val="00CD66E8"/>
    <w:rsid w:val="00CD6C21"/>
    <w:rsid w:val="00CE2946"/>
    <w:rsid w:val="00CE33FB"/>
    <w:rsid w:val="00CE4019"/>
    <w:rsid w:val="00CE4A01"/>
    <w:rsid w:val="00CE4A4F"/>
    <w:rsid w:val="00CE5017"/>
    <w:rsid w:val="00CE64C9"/>
    <w:rsid w:val="00CE6C97"/>
    <w:rsid w:val="00CF006C"/>
    <w:rsid w:val="00CF14B1"/>
    <w:rsid w:val="00CF1634"/>
    <w:rsid w:val="00CF16B9"/>
    <w:rsid w:val="00CF1A2B"/>
    <w:rsid w:val="00CF206D"/>
    <w:rsid w:val="00CF2597"/>
    <w:rsid w:val="00CF297B"/>
    <w:rsid w:val="00CF2BB2"/>
    <w:rsid w:val="00CF4152"/>
    <w:rsid w:val="00CF50B7"/>
    <w:rsid w:val="00D00229"/>
    <w:rsid w:val="00D00ADE"/>
    <w:rsid w:val="00D012B7"/>
    <w:rsid w:val="00D020B4"/>
    <w:rsid w:val="00D02C46"/>
    <w:rsid w:val="00D02E04"/>
    <w:rsid w:val="00D0392D"/>
    <w:rsid w:val="00D04D50"/>
    <w:rsid w:val="00D04DD2"/>
    <w:rsid w:val="00D04E18"/>
    <w:rsid w:val="00D06A5A"/>
    <w:rsid w:val="00D113E9"/>
    <w:rsid w:val="00D11F8C"/>
    <w:rsid w:val="00D14070"/>
    <w:rsid w:val="00D145AA"/>
    <w:rsid w:val="00D14C1A"/>
    <w:rsid w:val="00D14C8B"/>
    <w:rsid w:val="00D14E30"/>
    <w:rsid w:val="00D15F36"/>
    <w:rsid w:val="00D16EFA"/>
    <w:rsid w:val="00D172A7"/>
    <w:rsid w:val="00D2134F"/>
    <w:rsid w:val="00D21B35"/>
    <w:rsid w:val="00D21F88"/>
    <w:rsid w:val="00D2256B"/>
    <w:rsid w:val="00D235B8"/>
    <w:rsid w:val="00D24F78"/>
    <w:rsid w:val="00D25531"/>
    <w:rsid w:val="00D25C06"/>
    <w:rsid w:val="00D2602D"/>
    <w:rsid w:val="00D261D0"/>
    <w:rsid w:val="00D267D2"/>
    <w:rsid w:val="00D267F8"/>
    <w:rsid w:val="00D26D3F"/>
    <w:rsid w:val="00D27471"/>
    <w:rsid w:val="00D27E52"/>
    <w:rsid w:val="00D30354"/>
    <w:rsid w:val="00D3165C"/>
    <w:rsid w:val="00D31831"/>
    <w:rsid w:val="00D3198D"/>
    <w:rsid w:val="00D32310"/>
    <w:rsid w:val="00D3288F"/>
    <w:rsid w:val="00D32C7A"/>
    <w:rsid w:val="00D335AC"/>
    <w:rsid w:val="00D342CD"/>
    <w:rsid w:val="00D34322"/>
    <w:rsid w:val="00D34FF2"/>
    <w:rsid w:val="00D35926"/>
    <w:rsid w:val="00D36793"/>
    <w:rsid w:val="00D36D4E"/>
    <w:rsid w:val="00D40756"/>
    <w:rsid w:val="00D409B1"/>
    <w:rsid w:val="00D44AE1"/>
    <w:rsid w:val="00D45A0A"/>
    <w:rsid w:val="00D4756D"/>
    <w:rsid w:val="00D47D61"/>
    <w:rsid w:val="00D47FBA"/>
    <w:rsid w:val="00D5023C"/>
    <w:rsid w:val="00D50E0A"/>
    <w:rsid w:val="00D5174B"/>
    <w:rsid w:val="00D518F9"/>
    <w:rsid w:val="00D52695"/>
    <w:rsid w:val="00D52A34"/>
    <w:rsid w:val="00D54655"/>
    <w:rsid w:val="00D54D25"/>
    <w:rsid w:val="00D56DAA"/>
    <w:rsid w:val="00D56E4D"/>
    <w:rsid w:val="00D600F6"/>
    <w:rsid w:val="00D62182"/>
    <w:rsid w:val="00D6341B"/>
    <w:rsid w:val="00D634B5"/>
    <w:rsid w:val="00D64841"/>
    <w:rsid w:val="00D667C6"/>
    <w:rsid w:val="00D667CE"/>
    <w:rsid w:val="00D66C8A"/>
    <w:rsid w:val="00D67E9A"/>
    <w:rsid w:val="00D719F4"/>
    <w:rsid w:val="00D73DC3"/>
    <w:rsid w:val="00D740AE"/>
    <w:rsid w:val="00D74400"/>
    <w:rsid w:val="00D74947"/>
    <w:rsid w:val="00D76825"/>
    <w:rsid w:val="00D769AE"/>
    <w:rsid w:val="00D81194"/>
    <w:rsid w:val="00D81B6F"/>
    <w:rsid w:val="00D8233D"/>
    <w:rsid w:val="00D84634"/>
    <w:rsid w:val="00D84DCF"/>
    <w:rsid w:val="00D85B10"/>
    <w:rsid w:val="00D865BD"/>
    <w:rsid w:val="00D87A11"/>
    <w:rsid w:val="00D900FF"/>
    <w:rsid w:val="00D927EB"/>
    <w:rsid w:val="00D9295E"/>
    <w:rsid w:val="00D92E04"/>
    <w:rsid w:val="00D93B72"/>
    <w:rsid w:val="00D93C20"/>
    <w:rsid w:val="00D971E9"/>
    <w:rsid w:val="00D97A8E"/>
    <w:rsid w:val="00DA04DB"/>
    <w:rsid w:val="00DA10D5"/>
    <w:rsid w:val="00DA1531"/>
    <w:rsid w:val="00DA2829"/>
    <w:rsid w:val="00DA2AEF"/>
    <w:rsid w:val="00DA33EE"/>
    <w:rsid w:val="00DA427D"/>
    <w:rsid w:val="00DA6584"/>
    <w:rsid w:val="00DA6DD6"/>
    <w:rsid w:val="00DA6E3D"/>
    <w:rsid w:val="00DB080E"/>
    <w:rsid w:val="00DB09AC"/>
    <w:rsid w:val="00DB0B96"/>
    <w:rsid w:val="00DB0EA0"/>
    <w:rsid w:val="00DB1410"/>
    <w:rsid w:val="00DB1C2B"/>
    <w:rsid w:val="00DB1DE4"/>
    <w:rsid w:val="00DB3BE2"/>
    <w:rsid w:val="00DB3BEF"/>
    <w:rsid w:val="00DB5B62"/>
    <w:rsid w:val="00DB5BE3"/>
    <w:rsid w:val="00DB7D08"/>
    <w:rsid w:val="00DC182C"/>
    <w:rsid w:val="00DC1BBA"/>
    <w:rsid w:val="00DC2767"/>
    <w:rsid w:val="00DC5818"/>
    <w:rsid w:val="00DC5B8B"/>
    <w:rsid w:val="00DC67F2"/>
    <w:rsid w:val="00DC6CBA"/>
    <w:rsid w:val="00DC7A31"/>
    <w:rsid w:val="00DD08E0"/>
    <w:rsid w:val="00DD0A53"/>
    <w:rsid w:val="00DD1F75"/>
    <w:rsid w:val="00DD235F"/>
    <w:rsid w:val="00DD243B"/>
    <w:rsid w:val="00DD2803"/>
    <w:rsid w:val="00DD571D"/>
    <w:rsid w:val="00DD5D2E"/>
    <w:rsid w:val="00DD7E03"/>
    <w:rsid w:val="00DE00EB"/>
    <w:rsid w:val="00DE2344"/>
    <w:rsid w:val="00DE47E7"/>
    <w:rsid w:val="00DE4A6B"/>
    <w:rsid w:val="00DE632A"/>
    <w:rsid w:val="00DE7AF9"/>
    <w:rsid w:val="00DE7D8B"/>
    <w:rsid w:val="00DF055C"/>
    <w:rsid w:val="00DF0C0C"/>
    <w:rsid w:val="00DF101B"/>
    <w:rsid w:val="00DF1444"/>
    <w:rsid w:val="00DF15BD"/>
    <w:rsid w:val="00DF2725"/>
    <w:rsid w:val="00DF29B1"/>
    <w:rsid w:val="00DF2B52"/>
    <w:rsid w:val="00DF3E30"/>
    <w:rsid w:val="00DF432F"/>
    <w:rsid w:val="00DF47E8"/>
    <w:rsid w:val="00DF4A11"/>
    <w:rsid w:val="00E004AD"/>
    <w:rsid w:val="00E015F1"/>
    <w:rsid w:val="00E02327"/>
    <w:rsid w:val="00E026ED"/>
    <w:rsid w:val="00E0287D"/>
    <w:rsid w:val="00E029C9"/>
    <w:rsid w:val="00E043B1"/>
    <w:rsid w:val="00E05BF3"/>
    <w:rsid w:val="00E06902"/>
    <w:rsid w:val="00E06A8B"/>
    <w:rsid w:val="00E10019"/>
    <w:rsid w:val="00E1071A"/>
    <w:rsid w:val="00E116AB"/>
    <w:rsid w:val="00E126DD"/>
    <w:rsid w:val="00E12826"/>
    <w:rsid w:val="00E129AB"/>
    <w:rsid w:val="00E14480"/>
    <w:rsid w:val="00E14D8A"/>
    <w:rsid w:val="00E1537A"/>
    <w:rsid w:val="00E15537"/>
    <w:rsid w:val="00E16AE5"/>
    <w:rsid w:val="00E16D54"/>
    <w:rsid w:val="00E206A1"/>
    <w:rsid w:val="00E2084F"/>
    <w:rsid w:val="00E20AE3"/>
    <w:rsid w:val="00E211EF"/>
    <w:rsid w:val="00E2125D"/>
    <w:rsid w:val="00E229B1"/>
    <w:rsid w:val="00E23E20"/>
    <w:rsid w:val="00E24B7B"/>
    <w:rsid w:val="00E25992"/>
    <w:rsid w:val="00E26F8E"/>
    <w:rsid w:val="00E27A80"/>
    <w:rsid w:val="00E27EB3"/>
    <w:rsid w:val="00E30F7B"/>
    <w:rsid w:val="00E313B9"/>
    <w:rsid w:val="00E32334"/>
    <w:rsid w:val="00E3356C"/>
    <w:rsid w:val="00E3384A"/>
    <w:rsid w:val="00E33D45"/>
    <w:rsid w:val="00E33DC0"/>
    <w:rsid w:val="00E34AD6"/>
    <w:rsid w:val="00E35D6C"/>
    <w:rsid w:val="00E37761"/>
    <w:rsid w:val="00E379F8"/>
    <w:rsid w:val="00E37FA9"/>
    <w:rsid w:val="00E40254"/>
    <w:rsid w:val="00E40D83"/>
    <w:rsid w:val="00E4134F"/>
    <w:rsid w:val="00E423CB"/>
    <w:rsid w:val="00E43151"/>
    <w:rsid w:val="00E4318F"/>
    <w:rsid w:val="00E43EBA"/>
    <w:rsid w:val="00E4469E"/>
    <w:rsid w:val="00E44A6E"/>
    <w:rsid w:val="00E4518C"/>
    <w:rsid w:val="00E456B0"/>
    <w:rsid w:val="00E457AE"/>
    <w:rsid w:val="00E45D53"/>
    <w:rsid w:val="00E46034"/>
    <w:rsid w:val="00E46D6E"/>
    <w:rsid w:val="00E46D9B"/>
    <w:rsid w:val="00E4700F"/>
    <w:rsid w:val="00E5017F"/>
    <w:rsid w:val="00E504F3"/>
    <w:rsid w:val="00E50A05"/>
    <w:rsid w:val="00E51D0D"/>
    <w:rsid w:val="00E5263E"/>
    <w:rsid w:val="00E52725"/>
    <w:rsid w:val="00E52973"/>
    <w:rsid w:val="00E54803"/>
    <w:rsid w:val="00E54CDA"/>
    <w:rsid w:val="00E54D0B"/>
    <w:rsid w:val="00E56648"/>
    <w:rsid w:val="00E56C5F"/>
    <w:rsid w:val="00E5742B"/>
    <w:rsid w:val="00E57988"/>
    <w:rsid w:val="00E608A3"/>
    <w:rsid w:val="00E60A39"/>
    <w:rsid w:val="00E60D01"/>
    <w:rsid w:val="00E624FF"/>
    <w:rsid w:val="00E625D4"/>
    <w:rsid w:val="00E6305E"/>
    <w:rsid w:val="00E63129"/>
    <w:rsid w:val="00E63CB9"/>
    <w:rsid w:val="00E64E03"/>
    <w:rsid w:val="00E65F83"/>
    <w:rsid w:val="00E669F2"/>
    <w:rsid w:val="00E670F1"/>
    <w:rsid w:val="00E673DC"/>
    <w:rsid w:val="00E67E65"/>
    <w:rsid w:val="00E70FC8"/>
    <w:rsid w:val="00E71002"/>
    <w:rsid w:val="00E7265A"/>
    <w:rsid w:val="00E72C01"/>
    <w:rsid w:val="00E73402"/>
    <w:rsid w:val="00E74D06"/>
    <w:rsid w:val="00E750A2"/>
    <w:rsid w:val="00E75174"/>
    <w:rsid w:val="00E75210"/>
    <w:rsid w:val="00E75740"/>
    <w:rsid w:val="00E75D7A"/>
    <w:rsid w:val="00E7628B"/>
    <w:rsid w:val="00E80007"/>
    <w:rsid w:val="00E8046E"/>
    <w:rsid w:val="00E808C4"/>
    <w:rsid w:val="00E81A03"/>
    <w:rsid w:val="00E81B20"/>
    <w:rsid w:val="00E82000"/>
    <w:rsid w:val="00E82239"/>
    <w:rsid w:val="00E82531"/>
    <w:rsid w:val="00E825A9"/>
    <w:rsid w:val="00E82D1F"/>
    <w:rsid w:val="00E834B5"/>
    <w:rsid w:val="00E834E8"/>
    <w:rsid w:val="00E837FB"/>
    <w:rsid w:val="00E84107"/>
    <w:rsid w:val="00E8466B"/>
    <w:rsid w:val="00E84F09"/>
    <w:rsid w:val="00E8578F"/>
    <w:rsid w:val="00E858BE"/>
    <w:rsid w:val="00E85A6F"/>
    <w:rsid w:val="00E85E34"/>
    <w:rsid w:val="00E86EE3"/>
    <w:rsid w:val="00E87212"/>
    <w:rsid w:val="00E87DB0"/>
    <w:rsid w:val="00E87E59"/>
    <w:rsid w:val="00E91A76"/>
    <w:rsid w:val="00E9223A"/>
    <w:rsid w:val="00E92643"/>
    <w:rsid w:val="00E9302C"/>
    <w:rsid w:val="00E93116"/>
    <w:rsid w:val="00E93392"/>
    <w:rsid w:val="00E93A50"/>
    <w:rsid w:val="00E94088"/>
    <w:rsid w:val="00E9418E"/>
    <w:rsid w:val="00E948B4"/>
    <w:rsid w:val="00E94A45"/>
    <w:rsid w:val="00E9644A"/>
    <w:rsid w:val="00E96538"/>
    <w:rsid w:val="00E967D9"/>
    <w:rsid w:val="00E968AA"/>
    <w:rsid w:val="00E96A05"/>
    <w:rsid w:val="00E976A6"/>
    <w:rsid w:val="00EA0AF4"/>
    <w:rsid w:val="00EA2B58"/>
    <w:rsid w:val="00EA2C47"/>
    <w:rsid w:val="00EA4C8F"/>
    <w:rsid w:val="00EA5238"/>
    <w:rsid w:val="00EA5ABE"/>
    <w:rsid w:val="00EA5F21"/>
    <w:rsid w:val="00EA6AA7"/>
    <w:rsid w:val="00EB09B1"/>
    <w:rsid w:val="00EB18EC"/>
    <w:rsid w:val="00EB31B7"/>
    <w:rsid w:val="00EB48FC"/>
    <w:rsid w:val="00EB5827"/>
    <w:rsid w:val="00EB5D81"/>
    <w:rsid w:val="00EB60DE"/>
    <w:rsid w:val="00EB7DA0"/>
    <w:rsid w:val="00EC1496"/>
    <w:rsid w:val="00EC1F0E"/>
    <w:rsid w:val="00EC20CB"/>
    <w:rsid w:val="00EC323E"/>
    <w:rsid w:val="00EC395D"/>
    <w:rsid w:val="00EC4535"/>
    <w:rsid w:val="00EC5EF3"/>
    <w:rsid w:val="00EC60C2"/>
    <w:rsid w:val="00EC755C"/>
    <w:rsid w:val="00ED2D15"/>
    <w:rsid w:val="00ED2D92"/>
    <w:rsid w:val="00ED3917"/>
    <w:rsid w:val="00ED43C6"/>
    <w:rsid w:val="00ED4796"/>
    <w:rsid w:val="00ED4C6F"/>
    <w:rsid w:val="00ED4DCA"/>
    <w:rsid w:val="00ED552A"/>
    <w:rsid w:val="00ED5D69"/>
    <w:rsid w:val="00ED5DD1"/>
    <w:rsid w:val="00ED79CF"/>
    <w:rsid w:val="00EE0395"/>
    <w:rsid w:val="00EE1BA9"/>
    <w:rsid w:val="00EE2A05"/>
    <w:rsid w:val="00EE2FD0"/>
    <w:rsid w:val="00EE3094"/>
    <w:rsid w:val="00EE3124"/>
    <w:rsid w:val="00EE62CC"/>
    <w:rsid w:val="00EE71FC"/>
    <w:rsid w:val="00EE73E9"/>
    <w:rsid w:val="00EE7BB7"/>
    <w:rsid w:val="00EF07AF"/>
    <w:rsid w:val="00EF0A90"/>
    <w:rsid w:val="00EF181A"/>
    <w:rsid w:val="00EF1A43"/>
    <w:rsid w:val="00EF24D1"/>
    <w:rsid w:val="00EF35EB"/>
    <w:rsid w:val="00EF46D1"/>
    <w:rsid w:val="00EF4EBF"/>
    <w:rsid w:val="00EF4ECD"/>
    <w:rsid w:val="00EF4F0F"/>
    <w:rsid w:val="00EF5289"/>
    <w:rsid w:val="00EF5832"/>
    <w:rsid w:val="00EF5951"/>
    <w:rsid w:val="00F00040"/>
    <w:rsid w:val="00F0033E"/>
    <w:rsid w:val="00F0127D"/>
    <w:rsid w:val="00F01FBD"/>
    <w:rsid w:val="00F02E62"/>
    <w:rsid w:val="00F044E8"/>
    <w:rsid w:val="00F04919"/>
    <w:rsid w:val="00F04E4C"/>
    <w:rsid w:val="00F057FF"/>
    <w:rsid w:val="00F05BC0"/>
    <w:rsid w:val="00F05CFD"/>
    <w:rsid w:val="00F06690"/>
    <w:rsid w:val="00F06832"/>
    <w:rsid w:val="00F06FDF"/>
    <w:rsid w:val="00F10E0F"/>
    <w:rsid w:val="00F11254"/>
    <w:rsid w:val="00F123F9"/>
    <w:rsid w:val="00F124D6"/>
    <w:rsid w:val="00F12610"/>
    <w:rsid w:val="00F129E0"/>
    <w:rsid w:val="00F13166"/>
    <w:rsid w:val="00F1380E"/>
    <w:rsid w:val="00F14599"/>
    <w:rsid w:val="00F15576"/>
    <w:rsid w:val="00F1583F"/>
    <w:rsid w:val="00F15F38"/>
    <w:rsid w:val="00F15F4B"/>
    <w:rsid w:val="00F168DF"/>
    <w:rsid w:val="00F169BD"/>
    <w:rsid w:val="00F178E6"/>
    <w:rsid w:val="00F2053F"/>
    <w:rsid w:val="00F21715"/>
    <w:rsid w:val="00F242F3"/>
    <w:rsid w:val="00F2468C"/>
    <w:rsid w:val="00F249B3"/>
    <w:rsid w:val="00F255A8"/>
    <w:rsid w:val="00F25D4A"/>
    <w:rsid w:val="00F30B58"/>
    <w:rsid w:val="00F32729"/>
    <w:rsid w:val="00F32847"/>
    <w:rsid w:val="00F32A0D"/>
    <w:rsid w:val="00F32DB0"/>
    <w:rsid w:val="00F3373C"/>
    <w:rsid w:val="00F33B26"/>
    <w:rsid w:val="00F33ECE"/>
    <w:rsid w:val="00F35427"/>
    <w:rsid w:val="00F40551"/>
    <w:rsid w:val="00F411ED"/>
    <w:rsid w:val="00F4294D"/>
    <w:rsid w:val="00F43074"/>
    <w:rsid w:val="00F437E8"/>
    <w:rsid w:val="00F43D1F"/>
    <w:rsid w:val="00F443A3"/>
    <w:rsid w:val="00F444AC"/>
    <w:rsid w:val="00F459CB"/>
    <w:rsid w:val="00F46253"/>
    <w:rsid w:val="00F46B61"/>
    <w:rsid w:val="00F501A1"/>
    <w:rsid w:val="00F51F64"/>
    <w:rsid w:val="00F538A7"/>
    <w:rsid w:val="00F53F05"/>
    <w:rsid w:val="00F5416D"/>
    <w:rsid w:val="00F5494D"/>
    <w:rsid w:val="00F55FF2"/>
    <w:rsid w:val="00F5729C"/>
    <w:rsid w:val="00F616A5"/>
    <w:rsid w:val="00F61D3D"/>
    <w:rsid w:val="00F62FF1"/>
    <w:rsid w:val="00F6304E"/>
    <w:rsid w:val="00F636BD"/>
    <w:rsid w:val="00F63E46"/>
    <w:rsid w:val="00F63F5C"/>
    <w:rsid w:val="00F6565F"/>
    <w:rsid w:val="00F66786"/>
    <w:rsid w:val="00F67012"/>
    <w:rsid w:val="00F678EC"/>
    <w:rsid w:val="00F67948"/>
    <w:rsid w:val="00F67A7C"/>
    <w:rsid w:val="00F67EF4"/>
    <w:rsid w:val="00F7084D"/>
    <w:rsid w:val="00F710CE"/>
    <w:rsid w:val="00F71239"/>
    <w:rsid w:val="00F7254C"/>
    <w:rsid w:val="00F728EE"/>
    <w:rsid w:val="00F7302C"/>
    <w:rsid w:val="00F735CD"/>
    <w:rsid w:val="00F73E9A"/>
    <w:rsid w:val="00F743D6"/>
    <w:rsid w:val="00F7535A"/>
    <w:rsid w:val="00F76F31"/>
    <w:rsid w:val="00F80528"/>
    <w:rsid w:val="00F807BD"/>
    <w:rsid w:val="00F81748"/>
    <w:rsid w:val="00F82DAE"/>
    <w:rsid w:val="00F832FD"/>
    <w:rsid w:val="00F8353D"/>
    <w:rsid w:val="00F83838"/>
    <w:rsid w:val="00F841DA"/>
    <w:rsid w:val="00F84BA9"/>
    <w:rsid w:val="00F852FB"/>
    <w:rsid w:val="00F85969"/>
    <w:rsid w:val="00F85AB0"/>
    <w:rsid w:val="00F85C5B"/>
    <w:rsid w:val="00F86F85"/>
    <w:rsid w:val="00F87F58"/>
    <w:rsid w:val="00F915A0"/>
    <w:rsid w:val="00F91E1A"/>
    <w:rsid w:val="00F92204"/>
    <w:rsid w:val="00F92CE2"/>
    <w:rsid w:val="00F930CB"/>
    <w:rsid w:val="00F9317B"/>
    <w:rsid w:val="00F9391D"/>
    <w:rsid w:val="00F95802"/>
    <w:rsid w:val="00F95AE3"/>
    <w:rsid w:val="00F96032"/>
    <w:rsid w:val="00F9620A"/>
    <w:rsid w:val="00F962CA"/>
    <w:rsid w:val="00F96AD5"/>
    <w:rsid w:val="00F96B50"/>
    <w:rsid w:val="00F97B1C"/>
    <w:rsid w:val="00FA06EA"/>
    <w:rsid w:val="00FA0D46"/>
    <w:rsid w:val="00FA178A"/>
    <w:rsid w:val="00FA256E"/>
    <w:rsid w:val="00FA2BE5"/>
    <w:rsid w:val="00FA2FE1"/>
    <w:rsid w:val="00FA3698"/>
    <w:rsid w:val="00FA41E2"/>
    <w:rsid w:val="00FA4915"/>
    <w:rsid w:val="00FA4C65"/>
    <w:rsid w:val="00FA5629"/>
    <w:rsid w:val="00FA5697"/>
    <w:rsid w:val="00FA5933"/>
    <w:rsid w:val="00FA5EDB"/>
    <w:rsid w:val="00FA696D"/>
    <w:rsid w:val="00FA6E60"/>
    <w:rsid w:val="00FA77A0"/>
    <w:rsid w:val="00FA7CF6"/>
    <w:rsid w:val="00FB17E9"/>
    <w:rsid w:val="00FB1936"/>
    <w:rsid w:val="00FB2400"/>
    <w:rsid w:val="00FB2510"/>
    <w:rsid w:val="00FB2C29"/>
    <w:rsid w:val="00FB432F"/>
    <w:rsid w:val="00FB4857"/>
    <w:rsid w:val="00FB4B97"/>
    <w:rsid w:val="00FB4BEE"/>
    <w:rsid w:val="00FB4DE2"/>
    <w:rsid w:val="00FB790A"/>
    <w:rsid w:val="00FC0118"/>
    <w:rsid w:val="00FC29B4"/>
    <w:rsid w:val="00FC2CA3"/>
    <w:rsid w:val="00FC3266"/>
    <w:rsid w:val="00FC38C0"/>
    <w:rsid w:val="00FC3ED0"/>
    <w:rsid w:val="00FC51CC"/>
    <w:rsid w:val="00FC56AB"/>
    <w:rsid w:val="00FC62E5"/>
    <w:rsid w:val="00FD0749"/>
    <w:rsid w:val="00FD09F7"/>
    <w:rsid w:val="00FD1CFB"/>
    <w:rsid w:val="00FD21F0"/>
    <w:rsid w:val="00FD27CB"/>
    <w:rsid w:val="00FD2DCD"/>
    <w:rsid w:val="00FD3078"/>
    <w:rsid w:val="00FD3588"/>
    <w:rsid w:val="00FD3670"/>
    <w:rsid w:val="00FD3B81"/>
    <w:rsid w:val="00FD496E"/>
    <w:rsid w:val="00FD4F8D"/>
    <w:rsid w:val="00FD5155"/>
    <w:rsid w:val="00FD5592"/>
    <w:rsid w:val="00FD5BEA"/>
    <w:rsid w:val="00FD5BF4"/>
    <w:rsid w:val="00FD5C7F"/>
    <w:rsid w:val="00FD6913"/>
    <w:rsid w:val="00FD7557"/>
    <w:rsid w:val="00FE0004"/>
    <w:rsid w:val="00FE031E"/>
    <w:rsid w:val="00FE03C7"/>
    <w:rsid w:val="00FE0B9F"/>
    <w:rsid w:val="00FE194B"/>
    <w:rsid w:val="00FE2469"/>
    <w:rsid w:val="00FE25C1"/>
    <w:rsid w:val="00FE3838"/>
    <w:rsid w:val="00FE4728"/>
    <w:rsid w:val="00FE5EF4"/>
    <w:rsid w:val="00FE68BF"/>
    <w:rsid w:val="00FE6A54"/>
    <w:rsid w:val="00FE73A3"/>
    <w:rsid w:val="00FE77F3"/>
    <w:rsid w:val="00FF121E"/>
    <w:rsid w:val="00FF190E"/>
    <w:rsid w:val="00FF1FB9"/>
    <w:rsid w:val="00FF23CB"/>
    <w:rsid w:val="00FF2B5E"/>
    <w:rsid w:val="00FF2E0D"/>
    <w:rsid w:val="00FF2E89"/>
    <w:rsid w:val="00FF32A0"/>
    <w:rsid w:val="00FF3348"/>
    <w:rsid w:val="00FF3429"/>
    <w:rsid w:val="00FF5684"/>
    <w:rsid w:val="00FF5A0E"/>
    <w:rsid w:val="00FF6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3CB"/>
    <w:rPr>
      <w:sz w:val="24"/>
      <w:szCs w:val="24"/>
    </w:rPr>
  </w:style>
  <w:style w:type="paragraph" w:styleId="Heading1">
    <w:name w:val="heading 1"/>
    <w:basedOn w:val="Normal"/>
    <w:next w:val="Normal"/>
    <w:qFormat/>
    <w:rsid w:val="009843D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419B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419B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419B5"/>
    <w:pPr>
      <w:keepNext/>
      <w:numPr>
        <w:ilvl w:val="3"/>
        <w:numId w:val="1"/>
      </w:numPr>
      <w:spacing w:before="240" w:after="60"/>
      <w:outlineLvl w:val="3"/>
    </w:pPr>
    <w:rPr>
      <w:b/>
      <w:bCs/>
      <w:sz w:val="28"/>
      <w:szCs w:val="28"/>
    </w:rPr>
  </w:style>
  <w:style w:type="paragraph" w:styleId="Heading5">
    <w:name w:val="heading 5"/>
    <w:basedOn w:val="Normal"/>
    <w:next w:val="Normal"/>
    <w:qFormat/>
    <w:rsid w:val="003419B5"/>
    <w:pPr>
      <w:numPr>
        <w:ilvl w:val="4"/>
        <w:numId w:val="1"/>
      </w:numPr>
      <w:spacing w:before="240" w:after="60"/>
      <w:outlineLvl w:val="4"/>
    </w:pPr>
    <w:rPr>
      <w:b/>
      <w:bCs/>
      <w:i/>
      <w:iCs/>
      <w:sz w:val="26"/>
      <w:szCs w:val="26"/>
    </w:rPr>
  </w:style>
  <w:style w:type="paragraph" w:styleId="Heading6">
    <w:name w:val="heading 6"/>
    <w:basedOn w:val="Normal"/>
    <w:next w:val="Normal"/>
    <w:qFormat/>
    <w:rsid w:val="003419B5"/>
    <w:pPr>
      <w:numPr>
        <w:ilvl w:val="5"/>
        <w:numId w:val="1"/>
      </w:numPr>
      <w:spacing w:before="240" w:after="60"/>
      <w:outlineLvl w:val="5"/>
    </w:pPr>
    <w:rPr>
      <w:b/>
      <w:bCs/>
      <w:sz w:val="22"/>
      <w:szCs w:val="22"/>
    </w:rPr>
  </w:style>
  <w:style w:type="paragraph" w:styleId="Heading7">
    <w:name w:val="heading 7"/>
    <w:basedOn w:val="Normal"/>
    <w:next w:val="Normal"/>
    <w:qFormat/>
    <w:rsid w:val="003419B5"/>
    <w:pPr>
      <w:numPr>
        <w:ilvl w:val="6"/>
        <w:numId w:val="1"/>
      </w:numPr>
      <w:spacing w:before="240" w:after="60"/>
      <w:outlineLvl w:val="6"/>
    </w:pPr>
  </w:style>
  <w:style w:type="paragraph" w:styleId="Heading8">
    <w:name w:val="heading 8"/>
    <w:basedOn w:val="Normal"/>
    <w:next w:val="Normal"/>
    <w:qFormat/>
    <w:rsid w:val="003419B5"/>
    <w:pPr>
      <w:numPr>
        <w:ilvl w:val="7"/>
        <w:numId w:val="1"/>
      </w:numPr>
      <w:spacing w:before="240" w:after="60"/>
      <w:outlineLvl w:val="7"/>
    </w:pPr>
    <w:rPr>
      <w:i/>
      <w:iCs/>
    </w:rPr>
  </w:style>
  <w:style w:type="paragraph" w:styleId="Heading9">
    <w:name w:val="heading 9"/>
    <w:basedOn w:val="Normal"/>
    <w:next w:val="Normal"/>
    <w:qFormat/>
    <w:rsid w:val="003419B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6DCC"/>
    <w:rPr>
      <w:rFonts w:ascii="Tahoma" w:hAnsi="Tahoma" w:cs="Tahoma"/>
      <w:sz w:val="16"/>
      <w:szCs w:val="16"/>
    </w:rPr>
  </w:style>
  <w:style w:type="paragraph" w:styleId="Footer">
    <w:name w:val="footer"/>
    <w:basedOn w:val="Normal"/>
    <w:rsid w:val="007C6DCC"/>
    <w:pPr>
      <w:tabs>
        <w:tab w:val="center" w:pos="4536"/>
        <w:tab w:val="right" w:pos="9072"/>
      </w:tabs>
    </w:pPr>
  </w:style>
  <w:style w:type="character" w:styleId="PageNumber">
    <w:name w:val="page number"/>
    <w:basedOn w:val="DefaultParagraphFont"/>
    <w:rsid w:val="007C6DCC"/>
  </w:style>
  <w:style w:type="character" w:styleId="Hyperlink">
    <w:name w:val="Hyperlink"/>
    <w:basedOn w:val="DefaultParagraphFont"/>
    <w:uiPriority w:val="99"/>
    <w:rsid w:val="007C6DCC"/>
    <w:rPr>
      <w:color w:val="0000FF"/>
      <w:u w:val="single"/>
    </w:rPr>
  </w:style>
  <w:style w:type="paragraph" w:styleId="TOC1">
    <w:name w:val="toc 1"/>
    <w:basedOn w:val="Normal"/>
    <w:next w:val="Normal"/>
    <w:autoRedefine/>
    <w:uiPriority w:val="39"/>
    <w:rsid w:val="008D1E82"/>
    <w:pPr>
      <w:tabs>
        <w:tab w:val="left" w:pos="480"/>
        <w:tab w:val="right" w:leader="dot" w:pos="9062"/>
      </w:tabs>
    </w:pPr>
    <w:rPr>
      <w:b/>
      <w:noProof/>
      <w:lang w:val="en-GB"/>
    </w:rPr>
  </w:style>
  <w:style w:type="paragraph" w:styleId="TOC2">
    <w:name w:val="toc 2"/>
    <w:basedOn w:val="Normal"/>
    <w:next w:val="Normal"/>
    <w:autoRedefine/>
    <w:uiPriority w:val="39"/>
    <w:rsid w:val="007C64FB"/>
    <w:pPr>
      <w:ind w:left="240"/>
    </w:pPr>
  </w:style>
  <w:style w:type="paragraph" w:styleId="TOC3">
    <w:name w:val="toc 3"/>
    <w:basedOn w:val="Normal"/>
    <w:next w:val="Normal"/>
    <w:autoRedefine/>
    <w:uiPriority w:val="39"/>
    <w:rsid w:val="00E116AB"/>
    <w:pPr>
      <w:ind w:left="480"/>
    </w:pPr>
  </w:style>
  <w:style w:type="paragraph" w:styleId="NormalWeb">
    <w:name w:val="Normal (Web)"/>
    <w:basedOn w:val="Normal"/>
    <w:link w:val="NormalWebChar"/>
    <w:rsid w:val="00940A50"/>
    <w:pPr>
      <w:spacing w:before="100" w:beforeAutospacing="1" w:after="100" w:afterAutospacing="1"/>
    </w:pPr>
  </w:style>
  <w:style w:type="character" w:customStyle="1" w:styleId="NormalWebChar">
    <w:name w:val="Normal (Web) Char"/>
    <w:basedOn w:val="DefaultParagraphFont"/>
    <w:link w:val="NormalWeb"/>
    <w:rsid w:val="007A5006"/>
    <w:rPr>
      <w:sz w:val="24"/>
      <w:szCs w:val="24"/>
      <w:lang w:val="cs-CZ" w:eastAsia="cs-CZ" w:bidi="ar-SA"/>
    </w:rPr>
  </w:style>
  <w:style w:type="character" w:styleId="Strong">
    <w:name w:val="Strong"/>
    <w:basedOn w:val="DefaultParagraphFont"/>
    <w:qFormat/>
    <w:rsid w:val="00940A50"/>
    <w:rPr>
      <w:b/>
      <w:bCs/>
    </w:rPr>
  </w:style>
  <w:style w:type="character" w:styleId="Emphasis">
    <w:name w:val="Emphasis"/>
    <w:basedOn w:val="DefaultParagraphFont"/>
    <w:qFormat/>
    <w:rsid w:val="00940A50"/>
    <w:rPr>
      <w:i/>
      <w:iCs/>
    </w:rPr>
  </w:style>
  <w:style w:type="paragraph" w:styleId="FootnoteText">
    <w:name w:val="footnote text"/>
    <w:basedOn w:val="Normal"/>
    <w:link w:val="FootnoteTextChar"/>
    <w:semiHidden/>
    <w:rsid w:val="00940A50"/>
    <w:rPr>
      <w:sz w:val="20"/>
      <w:szCs w:val="20"/>
    </w:rPr>
  </w:style>
  <w:style w:type="character" w:styleId="FootnoteReference">
    <w:name w:val="footnote reference"/>
    <w:basedOn w:val="DefaultParagraphFont"/>
    <w:semiHidden/>
    <w:rsid w:val="00940A50"/>
    <w:rPr>
      <w:vertAlign w:val="superscript"/>
    </w:rPr>
  </w:style>
  <w:style w:type="table" w:styleId="TableGrid">
    <w:name w:val="Table Grid"/>
    <w:basedOn w:val="TableNormal"/>
    <w:rsid w:val="0010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CharChar">
    <w:name w:val="AODocTxt Char Char"/>
    <w:basedOn w:val="Normal"/>
    <w:link w:val="AODocTxtCharCharChar"/>
    <w:rsid w:val="00B05EA2"/>
    <w:pPr>
      <w:numPr>
        <w:numId w:val="2"/>
      </w:numPr>
      <w:spacing w:before="240" w:line="260" w:lineRule="atLeast"/>
      <w:jc w:val="both"/>
    </w:pPr>
    <w:rPr>
      <w:rFonts w:eastAsia="SimSun"/>
      <w:sz w:val="22"/>
      <w:szCs w:val="22"/>
      <w:lang w:val="en-GB" w:eastAsia="en-US"/>
    </w:rPr>
  </w:style>
  <w:style w:type="character" w:customStyle="1" w:styleId="AODocTxtCharCharChar">
    <w:name w:val="AODocTxt Char Char Char"/>
    <w:basedOn w:val="DefaultParagraphFont"/>
    <w:link w:val="AODocTxtCharChar"/>
    <w:rsid w:val="00B05EA2"/>
    <w:rPr>
      <w:rFonts w:eastAsia="SimSun"/>
      <w:sz w:val="22"/>
      <w:szCs w:val="22"/>
      <w:lang w:val="en-GB" w:eastAsia="en-US"/>
    </w:rPr>
  </w:style>
  <w:style w:type="paragraph" w:customStyle="1" w:styleId="AODocTxtL1">
    <w:name w:val="AODocTxtL1"/>
    <w:basedOn w:val="AODocTxtCharChar"/>
    <w:rsid w:val="00B05EA2"/>
    <w:pPr>
      <w:numPr>
        <w:ilvl w:val="1"/>
      </w:numPr>
      <w:tabs>
        <w:tab w:val="num" w:pos="643"/>
      </w:tabs>
      <w:ind w:left="643" w:hanging="360"/>
    </w:pPr>
  </w:style>
  <w:style w:type="paragraph" w:customStyle="1" w:styleId="AODocTxtL2">
    <w:name w:val="AODocTxtL2"/>
    <w:basedOn w:val="AODocTxtCharChar"/>
    <w:rsid w:val="00B05EA2"/>
    <w:pPr>
      <w:numPr>
        <w:ilvl w:val="2"/>
      </w:numPr>
      <w:tabs>
        <w:tab w:val="num" w:pos="643"/>
      </w:tabs>
      <w:ind w:left="643" w:hanging="360"/>
    </w:pPr>
  </w:style>
  <w:style w:type="paragraph" w:customStyle="1" w:styleId="AODocTxtL3">
    <w:name w:val="AODocTxtL3"/>
    <w:basedOn w:val="AODocTxtCharChar"/>
    <w:rsid w:val="00B05EA2"/>
    <w:pPr>
      <w:numPr>
        <w:numId w:val="0"/>
      </w:numPr>
      <w:tabs>
        <w:tab w:val="num" w:pos="643"/>
      </w:tabs>
      <w:ind w:left="643" w:hanging="360"/>
    </w:pPr>
  </w:style>
  <w:style w:type="paragraph" w:customStyle="1" w:styleId="AODocTxtL4">
    <w:name w:val="AODocTxtL4"/>
    <w:basedOn w:val="AODocTxtCharChar"/>
    <w:rsid w:val="00B05EA2"/>
    <w:pPr>
      <w:numPr>
        <w:numId w:val="0"/>
      </w:numPr>
      <w:tabs>
        <w:tab w:val="num" w:pos="643"/>
      </w:tabs>
      <w:ind w:left="643" w:hanging="360"/>
    </w:pPr>
  </w:style>
  <w:style w:type="paragraph" w:customStyle="1" w:styleId="AODocTxtL5">
    <w:name w:val="AODocTxtL5"/>
    <w:basedOn w:val="AODocTxtCharChar"/>
    <w:rsid w:val="00B05EA2"/>
    <w:pPr>
      <w:numPr>
        <w:numId w:val="0"/>
      </w:numPr>
      <w:tabs>
        <w:tab w:val="num" w:pos="643"/>
      </w:tabs>
      <w:ind w:left="643" w:hanging="360"/>
    </w:pPr>
  </w:style>
  <w:style w:type="paragraph" w:customStyle="1" w:styleId="AODocTxtL6">
    <w:name w:val="AODocTxtL6"/>
    <w:basedOn w:val="AODocTxtCharChar"/>
    <w:rsid w:val="00B05EA2"/>
    <w:pPr>
      <w:numPr>
        <w:numId w:val="0"/>
      </w:numPr>
      <w:tabs>
        <w:tab w:val="num" w:pos="643"/>
      </w:tabs>
      <w:ind w:left="643" w:hanging="360"/>
    </w:pPr>
  </w:style>
  <w:style w:type="paragraph" w:customStyle="1" w:styleId="AODocTxtL7">
    <w:name w:val="AODocTxtL7"/>
    <w:basedOn w:val="AODocTxtCharChar"/>
    <w:rsid w:val="00B05EA2"/>
    <w:pPr>
      <w:numPr>
        <w:numId w:val="0"/>
      </w:numPr>
      <w:tabs>
        <w:tab w:val="num" w:pos="643"/>
      </w:tabs>
      <w:ind w:left="643" w:hanging="360"/>
    </w:pPr>
  </w:style>
  <w:style w:type="paragraph" w:customStyle="1" w:styleId="AODocTxtL8">
    <w:name w:val="AODocTxtL8"/>
    <w:basedOn w:val="AODocTxtCharChar"/>
    <w:rsid w:val="00B05EA2"/>
    <w:pPr>
      <w:numPr>
        <w:numId w:val="0"/>
      </w:numPr>
      <w:tabs>
        <w:tab w:val="num" w:pos="643"/>
      </w:tabs>
      <w:ind w:left="643" w:hanging="360"/>
    </w:pPr>
  </w:style>
  <w:style w:type="paragraph" w:customStyle="1" w:styleId="AOHeading2">
    <w:name w:val="AOHeading2"/>
    <w:basedOn w:val="Normal"/>
    <w:next w:val="Normal"/>
    <w:rsid w:val="00133FEF"/>
    <w:pPr>
      <w:keepNext/>
      <w:spacing w:before="240" w:line="260" w:lineRule="atLeast"/>
      <w:jc w:val="both"/>
      <w:outlineLvl w:val="1"/>
    </w:pPr>
    <w:rPr>
      <w:rFonts w:eastAsia="SimSun"/>
      <w:b/>
      <w:sz w:val="22"/>
      <w:szCs w:val="22"/>
      <w:lang w:val="en-GB" w:eastAsia="en-US"/>
    </w:rPr>
  </w:style>
  <w:style w:type="paragraph" w:customStyle="1" w:styleId="AOHeading6">
    <w:name w:val="AOHeading6"/>
    <w:basedOn w:val="Normal"/>
    <w:next w:val="Normal"/>
    <w:rsid w:val="00133FEF"/>
    <w:pPr>
      <w:keepNext/>
      <w:spacing w:before="240" w:line="260" w:lineRule="atLeast"/>
      <w:jc w:val="both"/>
      <w:outlineLvl w:val="5"/>
    </w:pPr>
    <w:rPr>
      <w:rFonts w:eastAsia="SimSun"/>
      <w:b/>
      <w:i/>
      <w:sz w:val="22"/>
      <w:szCs w:val="22"/>
      <w:lang w:val="en-GB" w:eastAsia="en-US"/>
    </w:rPr>
  </w:style>
  <w:style w:type="paragraph" w:customStyle="1" w:styleId="AODocTxt">
    <w:name w:val="AODocTxt"/>
    <w:basedOn w:val="Normal"/>
    <w:rsid w:val="00963AA8"/>
    <w:pPr>
      <w:spacing w:before="240" w:line="260" w:lineRule="atLeast"/>
      <w:jc w:val="both"/>
    </w:pPr>
    <w:rPr>
      <w:rFonts w:eastAsia="SimSun"/>
      <w:sz w:val="22"/>
      <w:szCs w:val="22"/>
      <w:lang w:val="en-GB" w:eastAsia="en-US"/>
    </w:rPr>
  </w:style>
  <w:style w:type="paragraph" w:customStyle="1" w:styleId="AONormal">
    <w:name w:val="AONormal"/>
    <w:rsid w:val="00A37475"/>
    <w:pPr>
      <w:spacing w:line="260" w:lineRule="atLeast"/>
    </w:pPr>
    <w:rPr>
      <w:rFonts w:eastAsia="SimSun"/>
      <w:sz w:val="22"/>
      <w:szCs w:val="22"/>
      <w:lang w:val="en-GB" w:eastAsia="en-US"/>
    </w:rPr>
  </w:style>
  <w:style w:type="paragraph" w:customStyle="1" w:styleId="AOListNumber">
    <w:name w:val="AOListNumber"/>
    <w:basedOn w:val="Normal"/>
    <w:rsid w:val="002478FB"/>
    <w:pPr>
      <w:numPr>
        <w:numId w:val="3"/>
      </w:numPr>
      <w:tabs>
        <w:tab w:val="clear" w:pos="720"/>
      </w:tabs>
      <w:spacing w:before="240" w:line="260" w:lineRule="atLeast"/>
      <w:jc w:val="both"/>
    </w:pPr>
    <w:rPr>
      <w:rFonts w:eastAsia="SimSun"/>
      <w:sz w:val="22"/>
      <w:szCs w:val="22"/>
      <w:lang w:val="en-GB" w:eastAsia="en-US"/>
    </w:rPr>
  </w:style>
  <w:style w:type="paragraph" w:customStyle="1" w:styleId="AOBullet">
    <w:name w:val="AOBullet"/>
    <w:basedOn w:val="Normal"/>
    <w:rsid w:val="00317ACD"/>
    <w:pPr>
      <w:numPr>
        <w:numId w:val="4"/>
      </w:numPr>
      <w:spacing w:before="240" w:line="260" w:lineRule="atLeast"/>
      <w:jc w:val="both"/>
    </w:pPr>
    <w:rPr>
      <w:rFonts w:eastAsia="SimSun"/>
      <w:sz w:val="22"/>
      <w:szCs w:val="22"/>
      <w:lang w:val="en-GB" w:eastAsia="en-US"/>
    </w:rPr>
  </w:style>
  <w:style w:type="paragraph" w:customStyle="1" w:styleId="AOHeading4">
    <w:name w:val="AOHeading4"/>
    <w:basedOn w:val="Normal"/>
    <w:next w:val="AODocTxt"/>
    <w:rsid w:val="00317ACD"/>
    <w:pPr>
      <w:keepNext/>
      <w:spacing w:before="240" w:line="260" w:lineRule="atLeast"/>
      <w:jc w:val="both"/>
      <w:outlineLvl w:val="3"/>
    </w:pPr>
    <w:rPr>
      <w:rFonts w:eastAsia="SimSun"/>
      <w:i/>
      <w:sz w:val="22"/>
      <w:szCs w:val="22"/>
      <w:lang w:val="en-GB" w:eastAsia="en-US"/>
    </w:rPr>
  </w:style>
  <w:style w:type="paragraph" w:styleId="TOC4">
    <w:name w:val="toc 4"/>
    <w:basedOn w:val="Normal"/>
    <w:next w:val="Normal"/>
    <w:autoRedefine/>
    <w:uiPriority w:val="39"/>
    <w:rsid w:val="003C4C6F"/>
    <w:pPr>
      <w:ind w:left="720"/>
    </w:pPr>
  </w:style>
  <w:style w:type="character" w:customStyle="1" w:styleId="platne1">
    <w:name w:val="platne1"/>
    <w:basedOn w:val="DefaultParagraphFont"/>
    <w:rsid w:val="00374B50"/>
  </w:style>
  <w:style w:type="paragraph" w:styleId="BodyText">
    <w:name w:val="Body Text"/>
    <w:basedOn w:val="Normal"/>
    <w:rsid w:val="00131B3A"/>
    <w:pPr>
      <w:widowControl w:val="0"/>
      <w:tabs>
        <w:tab w:val="left" w:pos="-24"/>
        <w:tab w:val="left" w:pos="408"/>
        <w:tab w:val="left" w:pos="1128"/>
        <w:tab w:val="left" w:pos="1848"/>
        <w:tab w:val="left" w:pos="2568"/>
        <w:tab w:val="left" w:pos="3288"/>
        <w:tab w:val="left" w:pos="4008"/>
        <w:tab w:val="left" w:pos="4728"/>
        <w:tab w:val="left" w:pos="5016"/>
        <w:tab w:val="left" w:pos="5736"/>
        <w:tab w:val="left" w:pos="6456"/>
        <w:tab w:val="left" w:pos="7176"/>
        <w:tab w:val="left" w:pos="7896"/>
        <w:tab w:val="left" w:pos="8616"/>
      </w:tabs>
      <w:suppressAutoHyphens/>
      <w:autoSpaceDE w:val="0"/>
      <w:autoSpaceDN w:val="0"/>
      <w:adjustRightInd w:val="0"/>
      <w:spacing w:line="240" w:lineRule="atLeast"/>
      <w:jc w:val="both"/>
    </w:pPr>
    <w:rPr>
      <w:rFonts w:ascii="Courier" w:hAnsi="Courier"/>
      <w:spacing w:val="-3"/>
      <w:lang w:eastAsia="en-US"/>
    </w:rPr>
  </w:style>
  <w:style w:type="paragraph" w:customStyle="1" w:styleId="euroheading">
    <w:name w:val="euro heading"/>
    <w:basedOn w:val="Normal"/>
    <w:rsid w:val="003322AB"/>
    <w:pPr>
      <w:overflowPunct w:val="0"/>
      <w:autoSpaceDE w:val="0"/>
      <w:autoSpaceDN w:val="0"/>
      <w:adjustRightInd w:val="0"/>
      <w:spacing w:line="260" w:lineRule="atLeast"/>
      <w:jc w:val="both"/>
      <w:textAlignment w:val="baseline"/>
    </w:pPr>
    <w:rPr>
      <w:i/>
      <w:sz w:val="20"/>
      <w:szCs w:val="20"/>
      <w:lang w:val="en-GB" w:eastAsia="en-US"/>
    </w:rPr>
  </w:style>
  <w:style w:type="paragraph" w:customStyle="1" w:styleId="numbertablehead">
    <w:name w:val="number table head"/>
    <w:basedOn w:val="Normal"/>
    <w:rsid w:val="003322AB"/>
    <w:pPr>
      <w:overflowPunct w:val="0"/>
      <w:autoSpaceDE w:val="0"/>
      <w:autoSpaceDN w:val="0"/>
      <w:adjustRightInd w:val="0"/>
      <w:spacing w:line="260" w:lineRule="atLeast"/>
      <w:ind w:right="62"/>
      <w:jc w:val="right"/>
      <w:textAlignment w:val="baseline"/>
    </w:pPr>
    <w:rPr>
      <w:b/>
      <w:sz w:val="20"/>
      <w:szCs w:val="20"/>
      <w:lang w:val="en-GB" w:eastAsia="en-US"/>
    </w:rPr>
  </w:style>
  <w:style w:type="paragraph" w:customStyle="1" w:styleId="numberpositive">
    <w:name w:val="number positive"/>
    <w:basedOn w:val="Normal"/>
    <w:rsid w:val="003322AB"/>
    <w:pPr>
      <w:overflowPunct w:val="0"/>
      <w:autoSpaceDE w:val="0"/>
      <w:autoSpaceDN w:val="0"/>
      <w:adjustRightInd w:val="0"/>
      <w:spacing w:line="260" w:lineRule="atLeast"/>
      <w:ind w:right="62"/>
      <w:jc w:val="right"/>
      <w:textAlignment w:val="baseline"/>
    </w:pPr>
    <w:rPr>
      <w:sz w:val="20"/>
      <w:szCs w:val="20"/>
      <w:lang w:val="en-GB" w:eastAsia="en-US"/>
    </w:rPr>
  </w:style>
  <w:style w:type="paragraph" w:customStyle="1" w:styleId="numbernegative">
    <w:name w:val="number negative"/>
    <w:basedOn w:val="Normal"/>
    <w:rsid w:val="003322AB"/>
    <w:pPr>
      <w:overflowPunct w:val="0"/>
      <w:autoSpaceDE w:val="0"/>
      <w:autoSpaceDN w:val="0"/>
      <w:adjustRightInd w:val="0"/>
      <w:spacing w:line="260" w:lineRule="atLeast"/>
      <w:jc w:val="right"/>
      <w:textAlignment w:val="baseline"/>
    </w:pPr>
    <w:rPr>
      <w:sz w:val="20"/>
      <w:szCs w:val="20"/>
      <w:lang w:val="en-GB" w:eastAsia="en-US"/>
    </w:rPr>
  </w:style>
  <w:style w:type="paragraph" w:customStyle="1" w:styleId="notenumber">
    <w:name w:val="note number"/>
    <w:basedOn w:val="Normal"/>
    <w:rsid w:val="003322AB"/>
    <w:pPr>
      <w:overflowPunct w:val="0"/>
      <w:autoSpaceDE w:val="0"/>
      <w:autoSpaceDN w:val="0"/>
      <w:adjustRightInd w:val="0"/>
      <w:spacing w:line="260" w:lineRule="atLeast"/>
      <w:ind w:right="85"/>
      <w:jc w:val="right"/>
      <w:textAlignment w:val="baseline"/>
    </w:pPr>
    <w:rPr>
      <w:sz w:val="20"/>
      <w:szCs w:val="20"/>
      <w:lang w:val="en-GB" w:eastAsia="en-US"/>
    </w:rPr>
  </w:style>
  <w:style w:type="paragraph" w:styleId="Header">
    <w:name w:val="header"/>
    <w:basedOn w:val="Normal"/>
    <w:link w:val="HeaderChar"/>
    <w:rsid w:val="003322AB"/>
    <w:pPr>
      <w:tabs>
        <w:tab w:val="center" w:pos="4153"/>
        <w:tab w:val="right" w:pos="8306"/>
      </w:tabs>
      <w:overflowPunct w:val="0"/>
      <w:autoSpaceDE w:val="0"/>
      <w:autoSpaceDN w:val="0"/>
      <w:adjustRightInd w:val="0"/>
      <w:spacing w:line="260" w:lineRule="atLeast"/>
      <w:jc w:val="both"/>
      <w:textAlignment w:val="baseline"/>
    </w:pPr>
    <w:rPr>
      <w:sz w:val="20"/>
      <w:szCs w:val="20"/>
      <w:lang w:val="en-GB" w:eastAsia="en-US"/>
    </w:rPr>
  </w:style>
  <w:style w:type="paragraph" w:styleId="BodyTextIndent">
    <w:name w:val="Body Text Indent"/>
    <w:basedOn w:val="Normal"/>
    <w:rsid w:val="00FF3348"/>
    <w:pPr>
      <w:spacing w:after="120"/>
      <w:ind w:left="283"/>
    </w:pPr>
  </w:style>
  <w:style w:type="paragraph" w:customStyle="1" w:styleId="Ne1">
    <w:name w:val="Ne1"/>
    <w:basedOn w:val="Normal"/>
    <w:next w:val="Ne2"/>
    <w:autoRedefine/>
    <w:rsid w:val="00FF3348"/>
    <w:pPr>
      <w:keepNext/>
      <w:keepLines/>
      <w:numPr>
        <w:numId w:val="5"/>
      </w:numPr>
      <w:tabs>
        <w:tab w:val="left" w:pos="8640"/>
      </w:tabs>
      <w:overflowPunct w:val="0"/>
      <w:autoSpaceDE w:val="0"/>
      <w:autoSpaceDN w:val="0"/>
      <w:adjustRightInd w:val="0"/>
      <w:textAlignment w:val="baseline"/>
    </w:pPr>
    <w:rPr>
      <w:rFonts w:ascii="Arial" w:hAnsi="Arial" w:cs="Arial"/>
      <w:b/>
      <w:lang w:eastAsia="en-US"/>
    </w:rPr>
  </w:style>
  <w:style w:type="paragraph" w:customStyle="1" w:styleId="Ne2">
    <w:name w:val="Ne2"/>
    <w:basedOn w:val="Ne1"/>
    <w:next w:val="Ne3"/>
    <w:link w:val="Ne2Char"/>
    <w:rsid w:val="00FF3348"/>
    <w:pPr>
      <w:tabs>
        <w:tab w:val="left" w:pos="851"/>
      </w:tabs>
      <w:spacing w:before="120" w:line="280" w:lineRule="atLeast"/>
      <w:ind w:left="425"/>
      <w:jc w:val="both"/>
    </w:pPr>
    <w:rPr>
      <w:rFonts w:ascii="Times New Roman" w:hAnsi="Times New Roman"/>
      <w:b w:val="0"/>
      <w:sz w:val="22"/>
    </w:rPr>
  </w:style>
  <w:style w:type="paragraph" w:customStyle="1" w:styleId="Ne3">
    <w:name w:val="Ne3"/>
    <w:basedOn w:val="Ne2"/>
    <w:rsid w:val="00FF3348"/>
    <w:pPr>
      <w:tabs>
        <w:tab w:val="clear" w:pos="851"/>
        <w:tab w:val="left" w:pos="-108"/>
      </w:tabs>
      <w:ind w:left="851"/>
    </w:pPr>
  </w:style>
  <w:style w:type="character" w:customStyle="1" w:styleId="Ne2Char">
    <w:name w:val="Ne2 Char"/>
    <w:basedOn w:val="DefaultParagraphFont"/>
    <w:link w:val="Ne2"/>
    <w:rsid w:val="00FF3348"/>
    <w:rPr>
      <w:rFonts w:cs="Arial"/>
      <w:sz w:val="22"/>
      <w:szCs w:val="24"/>
      <w:lang w:val="cs-CZ" w:eastAsia="en-US" w:bidi="ar-SA"/>
    </w:rPr>
  </w:style>
  <w:style w:type="paragraph" w:customStyle="1" w:styleId="Ne4">
    <w:name w:val="Ne4"/>
    <w:basedOn w:val="Ne2"/>
    <w:next w:val="Ne2"/>
    <w:rsid w:val="00FF3348"/>
    <w:pPr>
      <w:spacing w:before="240"/>
    </w:pPr>
    <w:rPr>
      <w:i/>
      <w:iCs/>
    </w:rPr>
  </w:style>
  <w:style w:type="paragraph" w:customStyle="1" w:styleId="Ne0">
    <w:name w:val="Ne 0"/>
    <w:basedOn w:val="Ne1"/>
    <w:next w:val="Ne2"/>
    <w:autoRedefine/>
    <w:rsid w:val="00FF3348"/>
    <w:pPr>
      <w:keepNext w:val="0"/>
      <w:keepLines w:val="0"/>
      <w:tabs>
        <w:tab w:val="clear" w:pos="540"/>
        <w:tab w:val="left" w:pos="480"/>
      </w:tabs>
      <w:spacing w:before="120"/>
    </w:pPr>
    <w:rPr>
      <w:bCs/>
    </w:rPr>
  </w:style>
  <w:style w:type="paragraph" w:styleId="BodyTextIndent2">
    <w:name w:val="Body Text Indent 2"/>
    <w:basedOn w:val="Normal"/>
    <w:rsid w:val="00FF3348"/>
    <w:pPr>
      <w:overflowPunct w:val="0"/>
      <w:autoSpaceDE w:val="0"/>
      <w:autoSpaceDN w:val="0"/>
      <w:adjustRightInd w:val="0"/>
      <w:spacing w:before="120"/>
      <w:ind w:left="425"/>
      <w:textAlignment w:val="baseline"/>
    </w:pPr>
    <w:rPr>
      <w:rFonts w:ascii="Times" w:hAnsi="Times"/>
      <w:sz w:val="22"/>
      <w:szCs w:val="20"/>
      <w:lang w:val="en-GB" w:eastAsia="en-US"/>
    </w:rPr>
  </w:style>
  <w:style w:type="paragraph" w:styleId="BodyTextIndent3">
    <w:name w:val="Body Text Indent 3"/>
    <w:basedOn w:val="Normal"/>
    <w:rsid w:val="00FF3348"/>
    <w:pPr>
      <w:spacing w:before="120" w:line="240" w:lineRule="atLeast"/>
      <w:ind w:left="426"/>
      <w:jc w:val="both"/>
    </w:pPr>
    <w:rPr>
      <w:szCs w:val="20"/>
      <w:lang w:eastAsia="en-US"/>
    </w:rPr>
  </w:style>
  <w:style w:type="paragraph" w:customStyle="1" w:styleId="CVtextheader1">
    <w:name w:val="CV text  header 1"/>
    <w:link w:val="CVtextheader1Char"/>
    <w:rsid w:val="00FF3348"/>
    <w:pPr>
      <w:spacing w:before="120" w:line="280" w:lineRule="atLeast"/>
      <w:ind w:left="567"/>
      <w:jc w:val="both"/>
    </w:pPr>
    <w:rPr>
      <w:sz w:val="22"/>
      <w:szCs w:val="24"/>
      <w:lang w:eastAsia="en-US"/>
    </w:rPr>
  </w:style>
  <w:style w:type="character" w:customStyle="1" w:styleId="CVtextheader1Char">
    <w:name w:val="CV text  header 1 Char"/>
    <w:basedOn w:val="DefaultParagraphFont"/>
    <w:link w:val="CVtextheader1"/>
    <w:rsid w:val="00FF3348"/>
    <w:rPr>
      <w:sz w:val="22"/>
      <w:szCs w:val="24"/>
      <w:lang w:val="cs-CZ" w:eastAsia="en-US" w:bidi="ar-SA"/>
    </w:rPr>
  </w:style>
  <w:style w:type="table" w:customStyle="1" w:styleId="CVtable1header1">
    <w:name w:val="CV table 1 header 1"/>
    <w:basedOn w:val="TableNormal"/>
    <w:rsid w:val="00FF3348"/>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
    <w:name w:val="CV body table"/>
    <w:rsid w:val="00FF3348"/>
    <w:rPr>
      <w:sz w:val="18"/>
      <w:szCs w:val="18"/>
      <w:lang w:eastAsia="en-US"/>
    </w:rPr>
  </w:style>
  <w:style w:type="paragraph" w:customStyle="1" w:styleId="CVbodytablerowheader">
    <w:name w:val="CV body table row header"/>
    <w:rsid w:val="00FF3348"/>
    <w:pPr>
      <w:jc w:val="right"/>
    </w:pPr>
    <w:rPr>
      <w:sz w:val="18"/>
      <w:szCs w:val="18"/>
      <w:lang w:eastAsia="en-US"/>
    </w:rPr>
  </w:style>
  <w:style w:type="paragraph" w:styleId="CommentText">
    <w:name w:val="annotation text"/>
    <w:basedOn w:val="Normal"/>
    <w:semiHidden/>
    <w:rsid w:val="00FF3348"/>
    <w:rPr>
      <w:sz w:val="20"/>
      <w:szCs w:val="20"/>
    </w:rPr>
  </w:style>
  <w:style w:type="paragraph" w:customStyle="1" w:styleId="SPPbasic">
    <w:name w:val="SPP_basic"/>
    <w:basedOn w:val="Normal"/>
    <w:rsid w:val="00FF3348"/>
    <w:pPr>
      <w:suppressAutoHyphens/>
      <w:spacing w:before="240"/>
      <w:ind w:left="567"/>
      <w:jc w:val="both"/>
    </w:pPr>
    <w:rPr>
      <w:sz w:val="22"/>
      <w:szCs w:val="22"/>
      <w:lang w:eastAsia="en-US"/>
    </w:rPr>
  </w:style>
  <w:style w:type="paragraph" w:customStyle="1" w:styleId="BodyText31">
    <w:name w:val="Body Text 31"/>
    <w:basedOn w:val="Normal"/>
    <w:link w:val="BodyText31Char"/>
    <w:rsid w:val="00FF3348"/>
    <w:pPr>
      <w:overflowPunct w:val="0"/>
      <w:autoSpaceDE w:val="0"/>
      <w:autoSpaceDN w:val="0"/>
      <w:adjustRightInd w:val="0"/>
      <w:spacing w:before="120" w:line="240" w:lineRule="atLeast"/>
      <w:jc w:val="both"/>
      <w:textAlignment w:val="baseline"/>
    </w:pPr>
    <w:rPr>
      <w:rFonts w:ascii="Arial" w:hAnsi="Arial"/>
    </w:rPr>
  </w:style>
  <w:style w:type="character" w:customStyle="1" w:styleId="BodyText31Char">
    <w:name w:val="Body Text 31 Char"/>
    <w:basedOn w:val="DefaultParagraphFont"/>
    <w:link w:val="BodyText31"/>
    <w:rsid w:val="00FF3348"/>
    <w:rPr>
      <w:rFonts w:ascii="Arial" w:hAnsi="Arial"/>
      <w:sz w:val="24"/>
      <w:szCs w:val="24"/>
      <w:lang w:val="cs-CZ" w:eastAsia="cs-CZ" w:bidi="ar-SA"/>
    </w:rPr>
  </w:style>
  <w:style w:type="character" w:styleId="CommentReference">
    <w:name w:val="annotation reference"/>
    <w:basedOn w:val="DefaultParagraphFont"/>
    <w:semiHidden/>
    <w:rsid w:val="00FF3348"/>
    <w:rPr>
      <w:sz w:val="16"/>
      <w:szCs w:val="16"/>
    </w:rPr>
  </w:style>
  <w:style w:type="character" w:customStyle="1" w:styleId="editace2">
    <w:name w:val="editace2"/>
    <w:basedOn w:val="DefaultParagraphFont"/>
    <w:rsid w:val="00FF3348"/>
    <w:rPr>
      <w:b/>
      <w:bCs/>
      <w:strike/>
      <w:dstrike w:val="0"/>
      <w:color w:val="FF0000"/>
      <w:vertAlign w:val="baseline"/>
      <w:lang w:val="en-GB"/>
    </w:rPr>
  </w:style>
  <w:style w:type="paragraph" w:customStyle="1" w:styleId="Style1">
    <w:name w:val="Style1"/>
    <w:basedOn w:val="Normal"/>
    <w:next w:val="Normal"/>
    <w:rsid w:val="00FF3348"/>
    <w:pPr>
      <w:ind w:left="600"/>
      <w:jc w:val="both"/>
    </w:pPr>
    <w:rPr>
      <w:rFonts w:cs="Arial"/>
      <w:color w:val="000080"/>
      <w:u w:val="single"/>
      <w:lang w:val="en-GB" w:eastAsia="en-US"/>
    </w:rPr>
  </w:style>
  <w:style w:type="paragraph" w:customStyle="1" w:styleId="CVtextheader2italics">
    <w:name w:val="CV text header 2 italics"/>
    <w:rsid w:val="00FF3348"/>
    <w:pPr>
      <w:spacing w:before="120" w:line="280" w:lineRule="atLeast"/>
      <w:ind w:left="1134"/>
      <w:jc w:val="both"/>
    </w:pPr>
    <w:rPr>
      <w:i/>
      <w:sz w:val="22"/>
      <w:lang w:eastAsia="en-US"/>
    </w:rPr>
  </w:style>
  <w:style w:type="paragraph" w:styleId="CommentSubject">
    <w:name w:val="annotation subject"/>
    <w:basedOn w:val="CommentText"/>
    <w:next w:val="CommentText"/>
    <w:semiHidden/>
    <w:rsid w:val="00BD690A"/>
    <w:rPr>
      <w:b/>
      <w:bCs/>
      <w:lang w:val="en-US" w:eastAsia="en-US"/>
    </w:rPr>
  </w:style>
  <w:style w:type="paragraph" w:customStyle="1" w:styleId="AODocTxtChar">
    <w:name w:val="AODocTxt Char"/>
    <w:basedOn w:val="Normal"/>
    <w:rsid w:val="00D27E52"/>
    <w:pPr>
      <w:spacing w:before="240" w:line="260" w:lineRule="atLeast"/>
      <w:jc w:val="both"/>
    </w:pPr>
    <w:rPr>
      <w:rFonts w:eastAsia="SimSun"/>
      <w:sz w:val="22"/>
      <w:szCs w:val="22"/>
      <w:lang w:val="en-GB" w:eastAsia="en-US"/>
    </w:rPr>
  </w:style>
  <w:style w:type="table" w:styleId="TableGrid8">
    <w:name w:val="Table Grid 8"/>
    <w:basedOn w:val="TableNormal"/>
    <w:rsid w:val="00B520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O1">
    <w:name w:val="AO(1)"/>
    <w:basedOn w:val="Normal"/>
    <w:next w:val="AODocTxt"/>
    <w:rsid w:val="00DD5D2E"/>
    <w:pPr>
      <w:numPr>
        <w:numId w:val="6"/>
      </w:numPr>
      <w:spacing w:before="240" w:line="260" w:lineRule="atLeast"/>
      <w:jc w:val="both"/>
    </w:pPr>
    <w:rPr>
      <w:rFonts w:eastAsia="SimSun"/>
      <w:sz w:val="22"/>
      <w:szCs w:val="22"/>
      <w:lang w:val="fr-FR" w:eastAsia="en-US"/>
    </w:rPr>
  </w:style>
  <w:style w:type="paragraph" w:customStyle="1" w:styleId="AOHead1">
    <w:name w:val="AOHead1"/>
    <w:basedOn w:val="Normal"/>
    <w:next w:val="AODocTxtL1"/>
    <w:rsid w:val="004863AD"/>
    <w:pPr>
      <w:keepNext/>
      <w:numPr>
        <w:numId w:val="7"/>
      </w:numPr>
      <w:spacing w:before="240" w:line="260" w:lineRule="atLeast"/>
      <w:jc w:val="both"/>
      <w:outlineLvl w:val="0"/>
    </w:pPr>
    <w:rPr>
      <w:rFonts w:eastAsia="SimSun"/>
      <w:b/>
      <w:caps/>
      <w:kern w:val="28"/>
      <w:sz w:val="22"/>
      <w:szCs w:val="22"/>
      <w:lang w:val="fr-FR" w:eastAsia="en-US"/>
    </w:rPr>
  </w:style>
  <w:style w:type="paragraph" w:customStyle="1" w:styleId="AOHead2">
    <w:name w:val="AOHead2"/>
    <w:basedOn w:val="Normal"/>
    <w:next w:val="AODocTxtL1"/>
    <w:rsid w:val="004863AD"/>
    <w:pPr>
      <w:keepNext/>
      <w:tabs>
        <w:tab w:val="num" w:pos="862"/>
      </w:tabs>
      <w:spacing w:before="240" w:line="260" w:lineRule="atLeast"/>
      <w:ind w:left="862" w:hanging="720"/>
      <w:jc w:val="both"/>
      <w:outlineLvl w:val="1"/>
    </w:pPr>
    <w:rPr>
      <w:rFonts w:eastAsia="SimSun"/>
      <w:b/>
      <w:sz w:val="22"/>
      <w:szCs w:val="22"/>
      <w:lang w:val="fr-FR" w:eastAsia="en-US"/>
    </w:rPr>
  </w:style>
  <w:style w:type="paragraph" w:customStyle="1" w:styleId="AOHead3">
    <w:name w:val="AOHead3"/>
    <w:basedOn w:val="Normal"/>
    <w:next w:val="AODocTxtL2"/>
    <w:rsid w:val="004863AD"/>
    <w:pPr>
      <w:tabs>
        <w:tab w:val="num" w:pos="1440"/>
      </w:tabs>
      <w:spacing w:before="240" w:line="260" w:lineRule="atLeast"/>
      <w:ind w:left="1440" w:hanging="720"/>
      <w:jc w:val="both"/>
      <w:outlineLvl w:val="2"/>
    </w:pPr>
    <w:rPr>
      <w:rFonts w:eastAsia="SimSun"/>
      <w:sz w:val="22"/>
      <w:szCs w:val="22"/>
      <w:lang w:val="fr-FR" w:eastAsia="en-US"/>
    </w:rPr>
  </w:style>
  <w:style w:type="paragraph" w:customStyle="1" w:styleId="AOHead4">
    <w:name w:val="AOHead4"/>
    <w:basedOn w:val="Normal"/>
    <w:next w:val="AODocTxtL3"/>
    <w:rsid w:val="004863AD"/>
    <w:pPr>
      <w:tabs>
        <w:tab w:val="num" w:pos="2160"/>
      </w:tabs>
      <w:spacing w:before="240" w:line="260" w:lineRule="atLeast"/>
      <w:ind w:left="2160" w:hanging="720"/>
      <w:jc w:val="both"/>
      <w:outlineLvl w:val="3"/>
    </w:pPr>
    <w:rPr>
      <w:rFonts w:eastAsia="SimSun"/>
      <w:sz w:val="22"/>
      <w:szCs w:val="22"/>
      <w:lang w:val="fr-FR" w:eastAsia="en-US"/>
    </w:rPr>
  </w:style>
  <w:style w:type="paragraph" w:customStyle="1" w:styleId="AOHead5">
    <w:name w:val="AOHead5"/>
    <w:basedOn w:val="Normal"/>
    <w:next w:val="AODocTxtL4"/>
    <w:rsid w:val="004863AD"/>
    <w:pPr>
      <w:tabs>
        <w:tab w:val="num" w:pos="2880"/>
      </w:tabs>
      <w:spacing w:before="240" w:line="260" w:lineRule="atLeast"/>
      <w:ind w:left="2880" w:hanging="720"/>
      <w:jc w:val="both"/>
      <w:outlineLvl w:val="4"/>
    </w:pPr>
    <w:rPr>
      <w:rFonts w:eastAsia="SimSun"/>
      <w:sz w:val="22"/>
      <w:szCs w:val="22"/>
      <w:lang w:val="fr-FR" w:eastAsia="en-US"/>
    </w:rPr>
  </w:style>
  <w:style w:type="paragraph" w:customStyle="1" w:styleId="AOHead6">
    <w:name w:val="AOHead6"/>
    <w:basedOn w:val="Normal"/>
    <w:next w:val="AODocTxtL5"/>
    <w:rsid w:val="004863AD"/>
    <w:pPr>
      <w:tabs>
        <w:tab w:val="num" w:pos="3600"/>
      </w:tabs>
      <w:spacing w:before="240" w:line="260" w:lineRule="atLeast"/>
      <w:ind w:left="3600" w:hanging="720"/>
      <w:jc w:val="both"/>
      <w:outlineLvl w:val="5"/>
    </w:pPr>
    <w:rPr>
      <w:rFonts w:eastAsia="SimSun"/>
      <w:sz w:val="22"/>
      <w:szCs w:val="22"/>
      <w:lang w:val="fr-FR" w:eastAsia="en-US"/>
    </w:rPr>
  </w:style>
  <w:style w:type="paragraph" w:styleId="DocumentMap">
    <w:name w:val="Document Map"/>
    <w:basedOn w:val="Normal"/>
    <w:semiHidden/>
    <w:rsid w:val="00A219DB"/>
    <w:pPr>
      <w:shd w:val="clear" w:color="auto" w:fill="000080"/>
    </w:pPr>
    <w:rPr>
      <w:rFonts w:ascii="Tahoma" w:hAnsi="Tahoma" w:cs="Tahoma"/>
    </w:rPr>
  </w:style>
  <w:style w:type="paragraph" w:customStyle="1" w:styleId="aodoctxt0">
    <w:name w:val="aodoctxt"/>
    <w:basedOn w:val="Normal"/>
    <w:rsid w:val="007D3921"/>
    <w:pPr>
      <w:spacing w:before="100" w:beforeAutospacing="1" w:after="100" w:afterAutospacing="1"/>
    </w:pPr>
  </w:style>
  <w:style w:type="paragraph" w:styleId="z-TopofForm">
    <w:name w:val="HTML Top of Form"/>
    <w:basedOn w:val="Normal"/>
    <w:next w:val="Normal"/>
    <w:hidden/>
    <w:rsid w:val="00046C4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46C4B"/>
    <w:pPr>
      <w:pBdr>
        <w:top w:val="single" w:sz="6" w:space="1" w:color="auto"/>
      </w:pBdr>
      <w:jc w:val="center"/>
    </w:pPr>
    <w:rPr>
      <w:rFonts w:ascii="Arial" w:hAnsi="Arial" w:cs="Arial"/>
      <w:vanish/>
      <w:sz w:val="16"/>
      <w:szCs w:val="16"/>
    </w:rPr>
  </w:style>
  <w:style w:type="character" w:customStyle="1" w:styleId="vcblt1">
    <w:name w:val="vcb_lt1"/>
    <w:basedOn w:val="DefaultParagraphFont"/>
    <w:rsid w:val="00967059"/>
    <w:rPr>
      <w:rFonts w:ascii="Arial" w:hAnsi="Arial" w:cs="Arial" w:hint="default"/>
      <w:b w:val="0"/>
      <w:bCs w:val="0"/>
      <w:strike w:val="0"/>
      <w:dstrike w:val="0"/>
      <w:color w:val="0000FF"/>
      <w:sz w:val="20"/>
      <w:szCs w:val="20"/>
      <w:u w:val="none"/>
      <w:effect w:val="none"/>
    </w:rPr>
  </w:style>
  <w:style w:type="character" w:customStyle="1" w:styleId="vcbrt1">
    <w:name w:val="vcb_rt1"/>
    <w:basedOn w:val="DefaultParagraphFont"/>
    <w:rsid w:val="00967059"/>
    <w:rPr>
      <w:rFonts w:ascii="Arial" w:hAnsi="Arial" w:cs="Arial" w:hint="default"/>
      <w:b w:val="0"/>
      <w:bCs w:val="0"/>
      <w:strike w:val="0"/>
      <w:dstrike w:val="0"/>
      <w:color w:val="008000"/>
      <w:sz w:val="20"/>
      <w:szCs w:val="20"/>
      <w:u w:val="none"/>
      <w:effect w:val="none"/>
    </w:rPr>
  </w:style>
  <w:style w:type="character" w:customStyle="1" w:styleId="DeltaViewInsertion">
    <w:name w:val="DeltaView Insertion"/>
    <w:rsid w:val="00284831"/>
    <w:rPr>
      <w:color w:val="0000FF"/>
      <w:spacing w:val="0"/>
      <w:u w:val="double"/>
    </w:rPr>
  </w:style>
  <w:style w:type="paragraph" w:customStyle="1" w:styleId="CM38">
    <w:name w:val="CM38"/>
    <w:basedOn w:val="Normal"/>
    <w:next w:val="Normal"/>
    <w:uiPriority w:val="99"/>
    <w:rsid w:val="008E60DA"/>
    <w:pPr>
      <w:widowControl w:val="0"/>
      <w:autoSpaceDE w:val="0"/>
      <w:autoSpaceDN w:val="0"/>
      <w:adjustRightInd w:val="0"/>
    </w:pPr>
    <w:rPr>
      <w:rFonts w:ascii="EurostileTEEBla" w:hAnsi="EurostileTEEBla"/>
    </w:rPr>
  </w:style>
  <w:style w:type="paragraph" w:customStyle="1" w:styleId="CM42">
    <w:name w:val="CM42"/>
    <w:basedOn w:val="Normal"/>
    <w:next w:val="Normal"/>
    <w:uiPriority w:val="99"/>
    <w:rsid w:val="008E60DA"/>
    <w:pPr>
      <w:widowControl w:val="0"/>
      <w:autoSpaceDE w:val="0"/>
      <w:autoSpaceDN w:val="0"/>
      <w:adjustRightInd w:val="0"/>
    </w:pPr>
    <w:rPr>
      <w:rFonts w:ascii="EurostileTEEBla" w:hAnsi="EurostileTEEBla"/>
    </w:rPr>
  </w:style>
  <w:style w:type="character" w:styleId="FollowedHyperlink">
    <w:name w:val="FollowedHyperlink"/>
    <w:basedOn w:val="DefaultParagraphFont"/>
    <w:rsid w:val="00875F2A"/>
    <w:rPr>
      <w:color w:val="800080"/>
      <w:u w:val="single"/>
    </w:rPr>
  </w:style>
  <w:style w:type="paragraph" w:customStyle="1" w:styleId="Odstavecseseznamem1">
    <w:name w:val="Odstavec se seznamem1"/>
    <w:basedOn w:val="Normal"/>
    <w:rsid w:val="008F2F2C"/>
    <w:pPr>
      <w:spacing w:after="200" w:line="276" w:lineRule="auto"/>
      <w:ind w:left="720"/>
      <w:contextualSpacing/>
    </w:pPr>
    <w:rPr>
      <w:rFonts w:ascii="Calibri" w:hAnsi="Calibri"/>
      <w:sz w:val="22"/>
      <w:szCs w:val="22"/>
      <w:lang w:eastAsia="en-US"/>
    </w:rPr>
  </w:style>
  <w:style w:type="paragraph" w:styleId="TOCHeading">
    <w:name w:val="TOC Heading"/>
    <w:basedOn w:val="Heading1"/>
    <w:next w:val="Normal"/>
    <w:uiPriority w:val="39"/>
    <w:semiHidden/>
    <w:unhideWhenUsed/>
    <w:qFormat/>
    <w:rsid w:val="009843D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NoSpacing">
    <w:name w:val="No Spacing"/>
    <w:link w:val="NoSpacingChar"/>
    <w:uiPriority w:val="1"/>
    <w:qFormat/>
    <w:rsid w:val="009843D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9843DC"/>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E825A9"/>
    <w:pPr>
      <w:ind w:left="720"/>
      <w:contextualSpacing/>
    </w:pPr>
  </w:style>
  <w:style w:type="character" w:customStyle="1" w:styleId="HeaderChar">
    <w:name w:val="Header Char"/>
    <w:basedOn w:val="DefaultParagraphFont"/>
    <w:link w:val="Header"/>
    <w:rsid w:val="00A33834"/>
    <w:rPr>
      <w:lang w:val="en-GB" w:eastAsia="en-US"/>
    </w:rPr>
  </w:style>
  <w:style w:type="character" w:customStyle="1" w:styleId="FootnoteTextChar">
    <w:name w:val="Footnote Text Char"/>
    <w:basedOn w:val="DefaultParagraphFont"/>
    <w:link w:val="FootnoteText"/>
    <w:semiHidden/>
    <w:rsid w:val="00A33834"/>
  </w:style>
  <w:style w:type="paragraph" w:styleId="Revision">
    <w:name w:val="Revision"/>
    <w:hidden/>
    <w:uiPriority w:val="99"/>
    <w:semiHidden/>
    <w:rsid w:val="00014B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3CB"/>
    <w:rPr>
      <w:sz w:val="24"/>
      <w:szCs w:val="24"/>
    </w:rPr>
  </w:style>
  <w:style w:type="paragraph" w:styleId="Heading1">
    <w:name w:val="heading 1"/>
    <w:basedOn w:val="Normal"/>
    <w:next w:val="Normal"/>
    <w:qFormat/>
    <w:rsid w:val="009843D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419B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419B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419B5"/>
    <w:pPr>
      <w:keepNext/>
      <w:numPr>
        <w:ilvl w:val="3"/>
        <w:numId w:val="1"/>
      </w:numPr>
      <w:spacing w:before="240" w:after="60"/>
      <w:outlineLvl w:val="3"/>
    </w:pPr>
    <w:rPr>
      <w:b/>
      <w:bCs/>
      <w:sz w:val="28"/>
      <w:szCs w:val="28"/>
    </w:rPr>
  </w:style>
  <w:style w:type="paragraph" w:styleId="Heading5">
    <w:name w:val="heading 5"/>
    <w:basedOn w:val="Normal"/>
    <w:next w:val="Normal"/>
    <w:qFormat/>
    <w:rsid w:val="003419B5"/>
    <w:pPr>
      <w:numPr>
        <w:ilvl w:val="4"/>
        <w:numId w:val="1"/>
      </w:numPr>
      <w:spacing w:before="240" w:after="60"/>
      <w:outlineLvl w:val="4"/>
    </w:pPr>
    <w:rPr>
      <w:b/>
      <w:bCs/>
      <w:i/>
      <w:iCs/>
      <w:sz w:val="26"/>
      <w:szCs w:val="26"/>
    </w:rPr>
  </w:style>
  <w:style w:type="paragraph" w:styleId="Heading6">
    <w:name w:val="heading 6"/>
    <w:basedOn w:val="Normal"/>
    <w:next w:val="Normal"/>
    <w:qFormat/>
    <w:rsid w:val="003419B5"/>
    <w:pPr>
      <w:numPr>
        <w:ilvl w:val="5"/>
        <w:numId w:val="1"/>
      </w:numPr>
      <w:spacing w:before="240" w:after="60"/>
      <w:outlineLvl w:val="5"/>
    </w:pPr>
    <w:rPr>
      <w:b/>
      <w:bCs/>
      <w:sz w:val="22"/>
      <w:szCs w:val="22"/>
    </w:rPr>
  </w:style>
  <w:style w:type="paragraph" w:styleId="Heading7">
    <w:name w:val="heading 7"/>
    <w:basedOn w:val="Normal"/>
    <w:next w:val="Normal"/>
    <w:qFormat/>
    <w:rsid w:val="003419B5"/>
    <w:pPr>
      <w:numPr>
        <w:ilvl w:val="6"/>
        <w:numId w:val="1"/>
      </w:numPr>
      <w:spacing w:before="240" w:after="60"/>
      <w:outlineLvl w:val="6"/>
    </w:pPr>
  </w:style>
  <w:style w:type="paragraph" w:styleId="Heading8">
    <w:name w:val="heading 8"/>
    <w:basedOn w:val="Normal"/>
    <w:next w:val="Normal"/>
    <w:qFormat/>
    <w:rsid w:val="003419B5"/>
    <w:pPr>
      <w:numPr>
        <w:ilvl w:val="7"/>
        <w:numId w:val="1"/>
      </w:numPr>
      <w:spacing w:before="240" w:after="60"/>
      <w:outlineLvl w:val="7"/>
    </w:pPr>
    <w:rPr>
      <w:i/>
      <w:iCs/>
    </w:rPr>
  </w:style>
  <w:style w:type="paragraph" w:styleId="Heading9">
    <w:name w:val="heading 9"/>
    <w:basedOn w:val="Normal"/>
    <w:next w:val="Normal"/>
    <w:qFormat/>
    <w:rsid w:val="003419B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6DCC"/>
    <w:rPr>
      <w:rFonts w:ascii="Tahoma" w:hAnsi="Tahoma" w:cs="Tahoma"/>
      <w:sz w:val="16"/>
      <w:szCs w:val="16"/>
    </w:rPr>
  </w:style>
  <w:style w:type="paragraph" w:styleId="Footer">
    <w:name w:val="footer"/>
    <w:basedOn w:val="Normal"/>
    <w:rsid w:val="007C6DCC"/>
    <w:pPr>
      <w:tabs>
        <w:tab w:val="center" w:pos="4536"/>
        <w:tab w:val="right" w:pos="9072"/>
      </w:tabs>
    </w:pPr>
  </w:style>
  <w:style w:type="character" w:styleId="PageNumber">
    <w:name w:val="page number"/>
    <w:basedOn w:val="DefaultParagraphFont"/>
    <w:rsid w:val="007C6DCC"/>
  </w:style>
  <w:style w:type="character" w:styleId="Hyperlink">
    <w:name w:val="Hyperlink"/>
    <w:basedOn w:val="DefaultParagraphFont"/>
    <w:uiPriority w:val="99"/>
    <w:rsid w:val="007C6DCC"/>
    <w:rPr>
      <w:color w:val="0000FF"/>
      <w:u w:val="single"/>
    </w:rPr>
  </w:style>
  <w:style w:type="paragraph" w:styleId="TOC1">
    <w:name w:val="toc 1"/>
    <w:basedOn w:val="Normal"/>
    <w:next w:val="Normal"/>
    <w:autoRedefine/>
    <w:uiPriority w:val="39"/>
    <w:rsid w:val="008D1E82"/>
    <w:pPr>
      <w:tabs>
        <w:tab w:val="left" w:pos="480"/>
        <w:tab w:val="right" w:leader="dot" w:pos="9062"/>
      </w:tabs>
    </w:pPr>
    <w:rPr>
      <w:b/>
      <w:noProof/>
      <w:lang w:val="en-GB"/>
    </w:rPr>
  </w:style>
  <w:style w:type="paragraph" w:styleId="TOC2">
    <w:name w:val="toc 2"/>
    <w:basedOn w:val="Normal"/>
    <w:next w:val="Normal"/>
    <w:autoRedefine/>
    <w:uiPriority w:val="39"/>
    <w:rsid w:val="007C64FB"/>
    <w:pPr>
      <w:ind w:left="240"/>
    </w:pPr>
  </w:style>
  <w:style w:type="paragraph" w:styleId="TOC3">
    <w:name w:val="toc 3"/>
    <w:basedOn w:val="Normal"/>
    <w:next w:val="Normal"/>
    <w:autoRedefine/>
    <w:uiPriority w:val="39"/>
    <w:rsid w:val="00E116AB"/>
    <w:pPr>
      <w:ind w:left="480"/>
    </w:pPr>
  </w:style>
  <w:style w:type="paragraph" w:styleId="NormalWeb">
    <w:name w:val="Normal (Web)"/>
    <w:basedOn w:val="Normal"/>
    <w:link w:val="NormalWebChar"/>
    <w:rsid w:val="00940A50"/>
    <w:pPr>
      <w:spacing w:before="100" w:beforeAutospacing="1" w:after="100" w:afterAutospacing="1"/>
    </w:pPr>
  </w:style>
  <w:style w:type="character" w:customStyle="1" w:styleId="NormalWebChar">
    <w:name w:val="Normal (Web) Char"/>
    <w:basedOn w:val="DefaultParagraphFont"/>
    <w:link w:val="NormalWeb"/>
    <w:rsid w:val="007A5006"/>
    <w:rPr>
      <w:sz w:val="24"/>
      <w:szCs w:val="24"/>
      <w:lang w:val="cs-CZ" w:eastAsia="cs-CZ" w:bidi="ar-SA"/>
    </w:rPr>
  </w:style>
  <w:style w:type="character" w:styleId="Strong">
    <w:name w:val="Strong"/>
    <w:basedOn w:val="DefaultParagraphFont"/>
    <w:qFormat/>
    <w:rsid w:val="00940A50"/>
    <w:rPr>
      <w:b/>
      <w:bCs/>
    </w:rPr>
  </w:style>
  <w:style w:type="character" w:styleId="Emphasis">
    <w:name w:val="Emphasis"/>
    <w:basedOn w:val="DefaultParagraphFont"/>
    <w:qFormat/>
    <w:rsid w:val="00940A50"/>
    <w:rPr>
      <w:i/>
      <w:iCs/>
    </w:rPr>
  </w:style>
  <w:style w:type="paragraph" w:styleId="FootnoteText">
    <w:name w:val="footnote text"/>
    <w:basedOn w:val="Normal"/>
    <w:link w:val="FootnoteTextChar"/>
    <w:semiHidden/>
    <w:rsid w:val="00940A50"/>
    <w:rPr>
      <w:sz w:val="20"/>
      <w:szCs w:val="20"/>
    </w:rPr>
  </w:style>
  <w:style w:type="character" w:styleId="FootnoteReference">
    <w:name w:val="footnote reference"/>
    <w:basedOn w:val="DefaultParagraphFont"/>
    <w:semiHidden/>
    <w:rsid w:val="00940A50"/>
    <w:rPr>
      <w:vertAlign w:val="superscript"/>
    </w:rPr>
  </w:style>
  <w:style w:type="table" w:styleId="TableGrid">
    <w:name w:val="Table Grid"/>
    <w:basedOn w:val="TableNormal"/>
    <w:rsid w:val="0010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CharChar">
    <w:name w:val="AODocTxt Char Char"/>
    <w:basedOn w:val="Normal"/>
    <w:link w:val="AODocTxtCharCharChar"/>
    <w:rsid w:val="00B05EA2"/>
    <w:pPr>
      <w:numPr>
        <w:numId w:val="2"/>
      </w:numPr>
      <w:spacing w:before="240" w:line="260" w:lineRule="atLeast"/>
      <w:jc w:val="both"/>
    </w:pPr>
    <w:rPr>
      <w:rFonts w:eastAsia="SimSun"/>
      <w:sz w:val="22"/>
      <w:szCs w:val="22"/>
      <w:lang w:val="en-GB" w:eastAsia="en-US"/>
    </w:rPr>
  </w:style>
  <w:style w:type="character" w:customStyle="1" w:styleId="AODocTxtCharCharChar">
    <w:name w:val="AODocTxt Char Char Char"/>
    <w:basedOn w:val="DefaultParagraphFont"/>
    <w:link w:val="AODocTxtCharChar"/>
    <w:rsid w:val="00B05EA2"/>
    <w:rPr>
      <w:rFonts w:eastAsia="SimSun"/>
      <w:sz w:val="22"/>
      <w:szCs w:val="22"/>
      <w:lang w:val="en-GB" w:eastAsia="en-US"/>
    </w:rPr>
  </w:style>
  <w:style w:type="paragraph" w:customStyle="1" w:styleId="AODocTxtL1">
    <w:name w:val="AODocTxtL1"/>
    <w:basedOn w:val="AODocTxtCharChar"/>
    <w:rsid w:val="00B05EA2"/>
    <w:pPr>
      <w:numPr>
        <w:ilvl w:val="1"/>
      </w:numPr>
      <w:tabs>
        <w:tab w:val="num" w:pos="643"/>
      </w:tabs>
      <w:ind w:left="643" w:hanging="360"/>
    </w:pPr>
  </w:style>
  <w:style w:type="paragraph" w:customStyle="1" w:styleId="AODocTxtL2">
    <w:name w:val="AODocTxtL2"/>
    <w:basedOn w:val="AODocTxtCharChar"/>
    <w:rsid w:val="00B05EA2"/>
    <w:pPr>
      <w:numPr>
        <w:ilvl w:val="2"/>
      </w:numPr>
      <w:tabs>
        <w:tab w:val="num" w:pos="643"/>
      </w:tabs>
      <w:ind w:left="643" w:hanging="360"/>
    </w:pPr>
  </w:style>
  <w:style w:type="paragraph" w:customStyle="1" w:styleId="AODocTxtL3">
    <w:name w:val="AODocTxtL3"/>
    <w:basedOn w:val="AODocTxtCharChar"/>
    <w:rsid w:val="00B05EA2"/>
    <w:pPr>
      <w:numPr>
        <w:numId w:val="0"/>
      </w:numPr>
      <w:tabs>
        <w:tab w:val="num" w:pos="643"/>
      </w:tabs>
      <w:ind w:left="643" w:hanging="360"/>
    </w:pPr>
  </w:style>
  <w:style w:type="paragraph" w:customStyle="1" w:styleId="AODocTxtL4">
    <w:name w:val="AODocTxtL4"/>
    <w:basedOn w:val="AODocTxtCharChar"/>
    <w:rsid w:val="00B05EA2"/>
    <w:pPr>
      <w:numPr>
        <w:numId w:val="0"/>
      </w:numPr>
      <w:tabs>
        <w:tab w:val="num" w:pos="643"/>
      </w:tabs>
      <w:ind w:left="643" w:hanging="360"/>
    </w:pPr>
  </w:style>
  <w:style w:type="paragraph" w:customStyle="1" w:styleId="AODocTxtL5">
    <w:name w:val="AODocTxtL5"/>
    <w:basedOn w:val="AODocTxtCharChar"/>
    <w:rsid w:val="00B05EA2"/>
    <w:pPr>
      <w:numPr>
        <w:numId w:val="0"/>
      </w:numPr>
      <w:tabs>
        <w:tab w:val="num" w:pos="643"/>
      </w:tabs>
      <w:ind w:left="643" w:hanging="360"/>
    </w:pPr>
  </w:style>
  <w:style w:type="paragraph" w:customStyle="1" w:styleId="AODocTxtL6">
    <w:name w:val="AODocTxtL6"/>
    <w:basedOn w:val="AODocTxtCharChar"/>
    <w:rsid w:val="00B05EA2"/>
    <w:pPr>
      <w:numPr>
        <w:numId w:val="0"/>
      </w:numPr>
      <w:tabs>
        <w:tab w:val="num" w:pos="643"/>
      </w:tabs>
      <w:ind w:left="643" w:hanging="360"/>
    </w:pPr>
  </w:style>
  <w:style w:type="paragraph" w:customStyle="1" w:styleId="AODocTxtL7">
    <w:name w:val="AODocTxtL7"/>
    <w:basedOn w:val="AODocTxtCharChar"/>
    <w:rsid w:val="00B05EA2"/>
    <w:pPr>
      <w:numPr>
        <w:numId w:val="0"/>
      </w:numPr>
      <w:tabs>
        <w:tab w:val="num" w:pos="643"/>
      </w:tabs>
      <w:ind w:left="643" w:hanging="360"/>
    </w:pPr>
  </w:style>
  <w:style w:type="paragraph" w:customStyle="1" w:styleId="AODocTxtL8">
    <w:name w:val="AODocTxtL8"/>
    <w:basedOn w:val="AODocTxtCharChar"/>
    <w:rsid w:val="00B05EA2"/>
    <w:pPr>
      <w:numPr>
        <w:numId w:val="0"/>
      </w:numPr>
      <w:tabs>
        <w:tab w:val="num" w:pos="643"/>
      </w:tabs>
      <w:ind w:left="643" w:hanging="360"/>
    </w:pPr>
  </w:style>
  <w:style w:type="paragraph" w:customStyle="1" w:styleId="AOHeading2">
    <w:name w:val="AOHeading2"/>
    <w:basedOn w:val="Normal"/>
    <w:next w:val="Normal"/>
    <w:rsid w:val="00133FEF"/>
    <w:pPr>
      <w:keepNext/>
      <w:spacing w:before="240" w:line="260" w:lineRule="atLeast"/>
      <w:jc w:val="both"/>
      <w:outlineLvl w:val="1"/>
    </w:pPr>
    <w:rPr>
      <w:rFonts w:eastAsia="SimSun"/>
      <w:b/>
      <w:sz w:val="22"/>
      <w:szCs w:val="22"/>
      <w:lang w:val="en-GB" w:eastAsia="en-US"/>
    </w:rPr>
  </w:style>
  <w:style w:type="paragraph" w:customStyle="1" w:styleId="AOHeading6">
    <w:name w:val="AOHeading6"/>
    <w:basedOn w:val="Normal"/>
    <w:next w:val="Normal"/>
    <w:rsid w:val="00133FEF"/>
    <w:pPr>
      <w:keepNext/>
      <w:spacing w:before="240" w:line="260" w:lineRule="atLeast"/>
      <w:jc w:val="both"/>
      <w:outlineLvl w:val="5"/>
    </w:pPr>
    <w:rPr>
      <w:rFonts w:eastAsia="SimSun"/>
      <w:b/>
      <w:i/>
      <w:sz w:val="22"/>
      <w:szCs w:val="22"/>
      <w:lang w:val="en-GB" w:eastAsia="en-US"/>
    </w:rPr>
  </w:style>
  <w:style w:type="paragraph" w:customStyle="1" w:styleId="AODocTxt">
    <w:name w:val="AODocTxt"/>
    <w:basedOn w:val="Normal"/>
    <w:rsid w:val="00963AA8"/>
    <w:pPr>
      <w:spacing w:before="240" w:line="260" w:lineRule="atLeast"/>
      <w:jc w:val="both"/>
    </w:pPr>
    <w:rPr>
      <w:rFonts w:eastAsia="SimSun"/>
      <w:sz w:val="22"/>
      <w:szCs w:val="22"/>
      <w:lang w:val="en-GB" w:eastAsia="en-US"/>
    </w:rPr>
  </w:style>
  <w:style w:type="paragraph" w:customStyle="1" w:styleId="AONormal">
    <w:name w:val="AONormal"/>
    <w:rsid w:val="00A37475"/>
    <w:pPr>
      <w:spacing w:line="260" w:lineRule="atLeast"/>
    </w:pPr>
    <w:rPr>
      <w:rFonts w:eastAsia="SimSun"/>
      <w:sz w:val="22"/>
      <w:szCs w:val="22"/>
      <w:lang w:val="en-GB" w:eastAsia="en-US"/>
    </w:rPr>
  </w:style>
  <w:style w:type="paragraph" w:customStyle="1" w:styleId="AOListNumber">
    <w:name w:val="AOListNumber"/>
    <w:basedOn w:val="Normal"/>
    <w:rsid w:val="002478FB"/>
    <w:pPr>
      <w:numPr>
        <w:numId w:val="3"/>
      </w:numPr>
      <w:tabs>
        <w:tab w:val="clear" w:pos="720"/>
      </w:tabs>
      <w:spacing w:before="240" w:line="260" w:lineRule="atLeast"/>
      <w:jc w:val="both"/>
    </w:pPr>
    <w:rPr>
      <w:rFonts w:eastAsia="SimSun"/>
      <w:sz w:val="22"/>
      <w:szCs w:val="22"/>
      <w:lang w:val="en-GB" w:eastAsia="en-US"/>
    </w:rPr>
  </w:style>
  <w:style w:type="paragraph" w:customStyle="1" w:styleId="AOBullet">
    <w:name w:val="AOBullet"/>
    <w:basedOn w:val="Normal"/>
    <w:rsid w:val="00317ACD"/>
    <w:pPr>
      <w:numPr>
        <w:numId w:val="4"/>
      </w:numPr>
      <w:spacing w:before="240" w:line="260" w:lineRule="atLeast"/>
      <w:jc w:val="both"/>
    </w:pPr>
    <w:rPr>
      <w:rFonts w:eastAsia="SimSun"/>
      <w:sz w:val="22"/>
      <w:szCs w:val="22"/>
      <w:lang w:val="en-GB" w:eastAsia="en-US"/>
    </w:rPr>
  </w:style>
  <w:style w:type="paragraph" w:customStyle="1" w:styleId="AOHeading4">
    <w:name w:val="AOHeading4"/>
    <w:basedOn w:val="Normal"/>
    <w:next w:val="AODocTxt"/>
    <w:rsid w:val="00317ACD"/>
    <w:pPr>
      <w:keepNext/>
      <w:spacing w:before="240" w:line="260" w:lineRule="atLeast"/>
      <w:jc w:val="both"/>
      <w:outlineLvl w:val="3"/>
    </w:pPr>
    <w:rPr>
      <w:rFonts w:eastAsia="SimSun"/>
      <w:i/>
      <w:sz w:val="22"/>
      <w:szCs w:val="22"/>
      <w:lang w:val="en-GB" w:eastAsia="en-US"/>
    </w:rPr>
  </w:style>
  <w:style w:type="paragraph" w:styleId="TOC4">
    <w:name w:val="toc 4"/>
    <w:basedOn w:val="Normal"/>
    <w:next w:val="Normal"/>
    <w:autoRedefine/>
    <w:uiPriority w:val="39"/>
    <w:rsid w:val="003C4C6F"/>
    <w:pPr>
      <w:ind w:left="720"/>
    </w:pPr>
  </w:style>
  <w:style w:type="character" w:customStyle="1" w:styleId="platne1">
    <w:name w:val="platne1"/>
    <w:basedOn w:val="DefaultParagraphFont"/>
    <w:rsid w:val="00374B50"/>
  </w:style>
  <w:style w:type="paragraph" w:styleId="BodyText">
    <w:name w:val="Body Text"/>
    <w:basedOn w:val="Normal"/>
    <w:rsid w:val="00131B3A"/>
    <w:pPr>
      <w:widowControl w:val="0"/>
      <w:tabs>
        <w:tab w:val="left" w:pos="-24"/>
        <w:tab w:val="left" w:pos="408"/>
        <w:tab w:val="left" w:pos="1128"/>
        <w:tab w:val="left" w:pos="1848"/>
        <w:tab w:val="left" w:pos="2568"/>
        <w:tab w:val="left" w:pos="3288"/>
        <w:tab w:val="left" w:pos="4008"/>
        <w:tab w:val="left" w:pos="4728"/>
        <w:tab w:val="left" w:pos="5016"/>
        <w:tab w:val="left" w:pos="5736"/>
        <w:tab w:val="left" w:pos="6456"/>
        <w:tab w:val="left" w:pos="7176"/>
        <w:tab w:val="left" w:pos="7896"/>
        <w:tab w:val="left" w:pos="8616"/>
      </w:tabs>
      <w:suppressAutoHyphens/>
      <w:autoSpaceDE w:val="0"/>
      <w:autoSpaceDN w:val="0"/>
      <w:adjustRightInd w:val="0"/>
      <w:spacing w:line="240" w:lineRule="atLeast"/>
      <w:jc w:val="both"/>
    </w:pPr>
    <w:rPr>
      <w:rFonts w:ascii="Courier" w:hAnsi="Courier"/>
      <w:spacing w:val="-3"/>
      <w:lang w:eastAsia="en-US"/>
    </w:rPr>
  </w:style>
  <w:style w:type="paragraph" w:customStyle="1" w:styleId="euroheading">
    <w:name w:val="euro heading"/>
    <w:basedOn w:val="Normal"/>
    <w:rsid w:val="003322AB"/>
    <w:pPr>
      <w:overflowPunct w:val="0"/>
      <w:autoSpaceDE w:val="0"/>
      <w:autoSpaceDN w:val="0"/>
      <w:adjustRightInd w:val="0"/>
      <w:spacing w:line="260" w:lineRule="atLeast"/>
      <w:jc w:val="both"/>
      <w:textAlignment w:val="baseline"/>
    </w:pPr>
    <w:rPr>
      <w:i/>
      <w:sz w:val="20"/>
      <w:szCs w:val="20"/>
      <w:lang w:val="en-GB" w:eastAsia="en-US"/>
    </w:rPr>
  </w:style>
  <w:style w:type="paragraph" w:customStyle="1" w:styleId="numbertablehead">
    <w:name w:val="number table head"/>
    <w:basedOn w:val="Normal"/>
    <w:rsid w:val="003322AB"/>
    <w:pPr>
      <w:overflowPunct w:val="0"/>
      <w:autoSpaceDE w:val="0"/>
      <w:autoSpaceDN w:val="0"/>
      <w:adjustRightInd w:val="0"/>
      <w:spacing w:line="260" w:lineRule="atLeast"/>
      <w:ind w:right="62"/>
      <w:jc w:val="right"/>
      <w:textAlignment w:val="baseline"/>
    </w:pPr>
    <w:rPr>
      <w:b/>
      <w:sz w:val="20"/>
      <w:szCs w:val="20"/>
      <w:lang w:val="en-GB" w:eastAsia="en-US"/>
    </w:rPr>
  </w:style>
  <w:style w:type="paragraph" w:customStyle="1" w:styleId="numberpositive">
    <w:name w:val="number positive"/>
    <w:basedOn w:val="Normal"/>
    <w:rsid w:val="003322AB"/>
    <w:pPr>
      <w:overflowPunct w:val="0"/>
      <w:autoSpaceDE w:val="0"/>
      <w:autoSpaceDN w:val="0"/>
      <w:adjustRightInd w:val="0"/>
      <w:spacing w:line="260" w:lineRule="atLeast"/>
      <w:ind w:right="62"/>
      <w:jc w:val="right"/>
      <w:textAlignment w:val="baseline"/>
    </w:pPr>
    <w:rPr>
      <w:sz w:val="20"/>
      <w:szCs w:val="20"/>
      <w:lang w:val="en-GB" w:eastAsia="en-US"/>
    </w:rPr>
  </w:style>
  <w:style w:type="paragraph" w:customStyle="1" w:styleId="numbernegative">
    <w:name w:val="number negative"/>
    <w:basedOn w:val="Normal"/>
    <w:rsid w:val="003322AB"/>
    <w:pPr>
      <w:overflowPunct w:val="0"/>
      <w:autoSpaceDE w:val="0"/>
      <w:autoSpaceDN w:val="0"/>
      <w:adjustRightInd w:val="0"/>
      <w:spacing w:line="260" w:lineRule="atLeast"/>
      <w:jc w:val="right"/>
      <w:textAlignment w:val="baseline"/>
    </w:pPr>
    <w:rPr>
      <w:sz w:val="20"/>
      <w:szCs w:val="20"/>
      <w:lang w:val="en-GB" w:eastAsia="en-US"/>
    </w:rPr>
  </w:style>
  <w:style w:type="paragraph" w:customStyle="1" w:styleId="notenumber">
    <w:name w:val="note number"/>
    <w:basedOn w:val="Normal"/>
    <w:rsid w:val="003322AB"/>
    <w:pPr>
      <w:overflowPunct w:val="0"/>
      <w:autoSpaceDE w:val="0"/>
      <w:autoSpaceDN w:val="0"/>
      <w:adjustRightInd w:val="0"/>
      <w:spacing w:line="260" w:lineRule="atLeast"/>
      <w:ind w:right="85"/>
      <w:jc w:val="right"/>
      <w:textAlignment w:val="baseline"/>
    </w:pPr>
    <w:rPr>
      <w:sz w:val="20"/>
      <w:szCs w:val="20"/>
      <w:lang w:val="en-GB" w:eastAsia="en-US"/>
    </w:rPr>
  </w:style>
  <w:style w:type="paragraph" w:styleId="Header">
    <w:name w:val="header"/>
    <w:basedOn w:val="Normal"/>
    <w:link w:val="HeaderChar"/>
    <w:rsid w:val="003322AB"/>
    <w:pPr>
      <w:tabs>
        <w:tab w:val="center" w:pos="4153"/>
        <w:tab w:val="right" w:pos="8306"/>
      </w:tabs>
      <w:overflowPunct w:val="0"/>
      <w:autoSpaceDE w:val="0"/>
      <w:autoSpaceDN w:val="0"/>
      <w:adjustRightInd w:val="0"/>
      <w:spacing w:line="260" w:lineRule="atLeast"/>
      <w:jc w:val="both"/>
      <w:textAlignment w:val="baseline"/>
    </w:pPr>
    <w:rPr>
      <w:sz w:val="20"/>
      <w:szCs w:val="20"/>
      <w:lang w:val="en-GB" w:eastAsia="en-US"/>
    </w:rPr>
  </w:style>
  <w:style w:type="paragraph" w:styleId="BodyTextIndent">
    <w:name w:val="Body Text Indent"/>
    <w:basedOn w:val="Normal"/>
    <w:rsid w:val="00FF3348"/>
    <w:pPr>
      <w:spacing w:after="120"/>
      <w:ind w:left="283"/>
    </w:pPr>
  </w:style>
  <w:style w:type="paragraph" w:customStyle="1" w:styleId="Ne1">
    <w:name w:val="Ne1"/>
    <w:basedOn w:val="Normal"/>
    <w:next w:val="Ne2"/>
    <w:autoRedefine/>
    <w:rsid w:val="00FF3348"/>
    <w:pPr>
      <w:keepNext/>
      <w:keepLines/>
      <w:numPr>
        <w:numId w:val="5"/>
      </w:numPr>
      <w:tabs>
        <w:tab w:val="left" w:pos="8640"/>
      </w:tabs>
      <w:overflowPunct w:val="0"/>
      <w:autoSpaceDE w:val="0"/>
      <w:autoSpaceDN w:val="0"/>
      <w:adjustRightInd w:val="0"/>
      <w:textAlignment w:val="baseline"/>
    </w:pPr>
    <w:rPr>
      <w:rFonts w:ascii="Arial" w:hAnsi="Arial" w:cs="Arial"/>
      <w:b/>
      <w:lang w:eastAsia="en-US"/>
    </w:rPr>
  </w:style>
  <w:style w:type="paragraph" w:customStyle="1" w:styleId="Ne2">
    <w:name w:val="Ne2"/>
    <w:basedOn w:val="Ne1"/>
    <w:next w:val="Ne3"/>
    <w:link w:val="Ne2Char"/>
    <w:rsid w:val="00FF3348"/>
    <w:pPr>
      <w:tabs>
        <w:tab w:val="left" w:pos="851"/>
      </w:tabs>
      <w:spacing w:before="120" w:line="280" w:lineRule="atLeast"/>
      <w:ind w:left="425"/>
      <w:jc w:val="both"/>
    </w:pPr>
    <w:rPr>
      <w:rFonts w:ascii="Times New Roman" w:hAnsi="Times New Roman"/>
      <w:b w:val="0"/>
      <w:sz w:val="22"/>
    </w:rPr>
  </w:style>
  <w:style w:type="paragraph" w:customStyle="1" w:styleId="Ne3">
    <w:name w:val="Ne3"/>
    <w:basedOn w:val="Ne2"/>
    <w:rsid w:val="00FF3348"/>
    <w:pPr>
      <w:tabs>
        <w:tab w:val="clear" w:pos="851"/>
        <w:tab w:val="left" w:pos="-108"/>
      </w:tabs>
      <w:ind w:left="851"/>
    </w:pPr>
  </w:style>
  <w:style w:type="character" w:customStyle="1" w:styleId="Ne2Char">
    <w:name w:val="Ne2 Char"/>
    <w:basedOn w:val="DefaultParagraphFont"/>
    <w:link w:val="Ne2"/>
    <w:rsid w:val="00FF3348"/>
    <w:rPr>
      <w:rFonts w:cs="Arial"/>
      <w:sz w:val="22"/>
      <w:szCs w:val="24"/>
      <w:lang w:val="cs-CZ" w:eastAsia="en-US" w:bidi="ar-SA"/>
    </w:rPr>
  </w:style>
  <w:style w:type="paragraph" w:customStyle="1" w:styleId="Ne4">
    <w:name w:val="Ne4"/>
    <w:basedOn w:val="Ne2"/>
    <w:next w:val="Ne2"/>
    <w:rsid w:val="00FF3348"/>
    <w:pPr>
      <w:spacing w:before="240"/>
    </w:pPr>
    <w:rPr>
      <w:i/>
      <w:iCs/>
    </w:rPr>
  </w:style>
  <w:style w:type="paragraph" w:customStyle="1" w:styleId="Ne0">
    <w:name w:val="Ne 0"/>
    <w:basedOn w:val="Ne1"/>
    <w:next w:val="Ne2"/>
    <w:autoRedefine/>
    <w:rsid w:val="00FF3348"/>
    <w:pPr>
      <w:keepNext w:val="0"/>
      <w:keepLines w:val="0"/>
      <w:tabs>
        <w:tab w:val="clear" w:pos="540"/>
        <w:tab w:val="left" w:pos="480"/>
      </w:tabs>
      <w:spacing w:before="120"/>
    </w:pPr>
    <w:rPr>
      <w:bCs/>
    </w:rPr>
  </w:style>
  <w:style w:type="paragraph" w:styleId="BodyTextIndent2">
    <w:name w:val="Body Text Indent 2"/>
    <w:basedOn w:val="Normal"/>
    <w:rsid w:val="00FF3348"/>
    <w:pPr>
      <w:overflowPunct w:val="0"/>
      <w:autoSpaceDE w:val="0"/>
      <w:autoSpaceDN w:val="0"/>
      <w:adjustRightInd w:val="0"/>
      <w:spacing w:before="120"/>
      <w:ind w:left="425"/>
      <w:textAlignment w:val="baseline"/>
    </w:pPr>
    <w:rPr>
      <w:rFonts w:ascii="Times" w:hAnsi="Times"/>
      <w:sz w:val="22"/>
      <w:szCs w:val="20"/>
      <w:lang w:val="en-GB" w:eastAsia="en-US"/>
    </w:rPr>
  </w:style>
  <w:style w:type="paragraph" w:styleId="BodyTextIndent3">
    <w:name w:val="Body Text Indent 3"/>
    <w:basedOn w:val="Normal"/>
    <w:rsid w:val="00FF3348"/>
    <w:pPr>
      <w:spacing w:before="120" w:line="240" w:lineRule="atLeast"/>
      <w:ind w:left="426"/>
      <w:jc w:val="both"/>
    </w:pPr>
    <w:rPr>
      <w:szCs w:val="20"/>
      <w:lang w:eastAsia="en-US"/>
    </w:rPr>
  </w:style>
  <w:style w:type="paragraph" w:customStyle="1" w:styleId="CVtextheader1">
    <w:name w:val="CV text  header 1"/>
    <w:link w:val="CVtextheader1Char"/>
    <w:rsid w:val="00FF3348"/>
    <w:pPr>
      <w:spacing w:before="120" w:line="280" w:lineRule="atLeast"/>
      <w:ind w:left="567"/>
      <w:jc w:val="both"/>
    </w:pPr>
    <w:rPr>
      <w:sz w:val="22"/>
      <w:szCs w:val="24"/>
      <w:lang w:eastAsia="en-US"/>
    </w:rPr>
  </w:style>
  <w:style w:type="character" w:customStyle="1" w:styleId="CVtextheader1Char">
    <w:name w:val="CV text  header 1 Char"/>
    <w:basedOn w:val="DefaultParagraphFont"/>
    <w:link w:val="CVtextheader1"/>
    <w:rsid w:val="00FF3348"/>
    <w:rPr>
      <w:sz w:val="22"/>
      <w:szCs w:val="24"/>
      <w:lang w:val="cs-CZ" w:eastAsia="en-US" w:bidi="ar-SA"/>
    </w:rPr>
  </w:style>
  <w:style w:type="table" w:customStyle="1" w:styleId="CVtable1header1">
    <w:name w:val="CV table 1 header 1"/>
    <w:basedOn w:val="TableNormal"/>
    <w:rsid w:val="00FF3348"/>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
    <w:name w:val="CV body table"/>
    <w:rsid w:val="00FF3348"/>
    <w:rPr>
      <w:sz w:val="18"/>
      <w:szCs w:val="18"/>
      <w:lang w:eastAsia="en-US"/>
    </w:rPr>
  </w:style>
  <w:style w:type="paragraph" w:customStyle="1" w:styleId="CVbodytablerowheader">
    <w:name w:val="CV body table row header"/>
    <w:rsid w:val="00FF3348"/>
    <w:pPr>
      <w:jc w:val="right"/>
    </w:pPr>
    <w:rPr>
      <w:sz w:val="18"/>
      <w:szCs w:val="18"/>
      <w:lang w:eastAsia="en-US"/>
    </w:rPr>
  </w:style>
  <w:style w:type="paragraph" w:styleId="CommentText">
    <w:name w:val="annotation text"/>
    <w:basedOn w:val="Normal"/>
    <w:semiHidden/>
    <w:rsid w:val="00FF3348"/>
    <w:rPr>
      <w:sz w:val="20"/>
      <w:szCs w:val="20"/>
    </w:rPr>
  </w:style>
  <w:style w:type="paragraph" w:customStyle="1" w:styleId="SPPbasic">
    <w:name w:val="SPP_basic"/>
    <w:basedOn w:val="Normal"/>
    <w:rsid w:val="00FF3348"/>
    <w:pPr>
      <w:suppressAutoHyphens/>
      <w:spacing w:before="240"/>
      <w:ind w:left="567"/>
      <w:jc w:val="both"/>
    </w:pPr>
    <w:rPr>
      <w:sz w:val="22"/>
      <w:szCs w:val="22"/>
      <w:lang w:eastAsia="en-US"/>
    </w:rPr>
  </w:style>
  <w:style w:type="paragraph" w:customStyle="1" w:styleId="BodyText31">
    <w:name w:val="Body Text 31"/>
    <w:basedOn w:val="Normal"/>
    <w:link w:val="BodyText31Char"/>
    <w:rsid w:val="00FF3348"/>
    <w:pPr>
      <w:overflowPunct w:val="0"/>
      <w:autoSpaceDE w:val="0"/>
      <w:autoSpaceDN w:val="0"/>
      <w:adjustRightInd w:val="0"/>
      <w:spacing w:before="120" w:line="240" w:lineRule="atLeast"/>
      <w:jc w:val="both"/>
      <w:textAlignment w:val="baseline"/>
    </w:pPr>
    <w:rPr>
      <w:rFonts w:ascii="Arial" w:hAnsi="Arial"/>
    </w:rPr>
  </w:style>
  <w:style w:type="character" w:customStyle="1" w:styleId="BodyText31Char">
    <w:name w:val="Body Text 31 Char"/>
    <w:basedOn w:val="DefaultParagraphFont"/>
    <w:link w:val="BodyText31"/>
    <w:rsid w:val="00FF3348"/>
    <w:rPr>
      <w:rFonts w:ascii="Arial" w:hAnsi="Arial"/>
      <w:sz w:val="24"/>
      <w:szCs w:val="24"/>
      <w:lang w:val="cs-CZ" w:eastAsia="cs-CZ" w:bidi="ar-SA"/>
    </w:rPr>
  </w:style>
  <w:style w:type="character" w:styleId="CommentReference">
    <w:name w:val="annotation reference"/>
    <w:basedOn w:val="DefaultParagraphFont"/>
    <w:semiHidden/>
    <w:rsid w:val="00FF3348"/>
    <w:rPr>
      <w:sz w:val="16"/>
      <w:szCs w:val="16"/>
    </w:rPr>
  </w:style>
  <w:style w:type="character" w:customStyle="1" w:styleId="editace2">
    <w:name w:val="editace2"/>
    <w:basedOn w:val="DefaultParagraphFont"/>
    <w:rsid w:val="00FF3348"/>
    <w:rPr>
      <w:b/>
      <w:bCs/>
      <w:strike/>
      <w:dstrike w:val="0"/>
      <w:color w:val="FF0000"/>
      <w:vertAlign w:val="baseline"/>
      <w:lang w:val="en-GB"/>
    </w:rPr>
  </w:style>
  <w:style w:type="paragraph" w:customStyle="1" w:styleId="Style1">
    <w:name w:val="Style1"/>
    <w:basedOn w:val="Normal"/>
    <w:next w:val="Normal"/>
    <w:rsid w:val="00FF3348"/>
    <w:pPr>
      <w:ind w:left="600"/>
      <w:jc w:val="both"/>
    </w:pPr>
    <w:rPr>
      <w:rFonts w:cs="Arial"/>
      <w:color w:val="000080"/>
      <w:u w:val="single"/>
      <w:lang w:val="en-GB" w:eastAsia="en-US"/>
    </w:rPr>
  </w:style>
  <w:style w:type="paragraph" w:customStyle="1" w:styleId="CVtextheader2italics">
    <w:name w:val="CV text header 2 italics"/>
    <w:rsid w:val="00FF3348"/>
    <w:pPr>
      <w:spacing w:before="120" w:line="280" w:lineRule="atLeast"/>
      <w:ind w:left="1134"/>
      <w:jc w:val="both"/>
    </w:pPr>
    <w:rPr>
      <w:i/>
      <w:sz w:val="22"/>
      <w:lang w:eastAsia="en-US"/>
    </w:rPr>
  </w:style>
  <w:style w:type="paragraph" w:styleId="CommentSubject">
    <w:name w:val="annotation subject"/>
    <w:basedOn w:val="CommentText"/>
    <w:next w:val="CommentText"/>
    <w:semiHidden/>
    <w:rsid w:val="00BD690A"/>
    <w:rPr>
      <w:b/>
      <w:bCs/>
      <w:lang w:val="en-US" w:eastAsia="en-US"/>
    </w:rPr>
  </w:style>
  <w:style w:type="paragraph" w:customStyle="1" w:styleId="AODocTxtChar">
    <w:name w:val="AODocTxt Char"/>
    <w:basedOn w:val="Normal"/>
    <w:rsid w:val="00D27E52"/>
    <w:pPr>
      <w:spacing w:before="240" w:line="260" w:lineRule="atLeast"/>
      <w:jc w:val="both"/>
    </w:pPr>
    <w:rPr>
      <w:rFonts w:eastAsia="SimSun"/>
      <w:sz w:val="22"/>
      <w:szCs w:val="22"/>
      <w:lang w:val="en-GB" w:eastAsia="en-US"/>
    </w:rPr>
  </w:style>
  <w:style w:type="table" w:styleId="TableGrid8">
    <w:name w:val="Table Grid 8"/>
    <w:basedOn w:val="TableNormal"/>
    <w:rsid w:val="00B520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O1">
    <w:name w:val="AO(1)"/>
    <w:basedOn w:val="Normal"/>
    <w:next w:val="AODocTxt"/>
    <w:rsid w:val="00DD5D2E"/>
    <w:pPr>
      <w:numPr>
        <w:numId w:val="6"/>
      </w:numPr>
      <w:spacing w:before="240" w:line="260" w:lineRule="atLeast"/>
      <w:jc w:val="both"/>
    </w:pPr>
    <w:rPr>
      <w:rFonts w:eastAsia="SimSun"/>
      <w:sz w:val="22"/>
      <w:szCs w:val="22"/>
      <w:lang w:val="fr-FR" w:eastAsia="en-US"/>
    </w:rPr>
  </w:style>
  <w:style w:type="paragraph" w:customStyle="1" w:styleId="AOHead1">
    <w:name w:val="AOHead1"/>
    <w:basedOn w:val="Normal"/>
    <w:next w:val="AODocTxtL1"/>
    <w:rsid w:val="004863AD"/>
    <w:pPr>
      <w:keepNext/>
      <w:numPr>
        <w:numId w:val="7"/>
      </w:numPr>
      <w:spacing w:before="240" w:line="260" w:lineRule="atLeast"/>
      <w:jc w:val="both"/>
      <w:outlineLvl w:val="0"/>
    </w:pPr>
    <w:rPr>
      <w:rFonts w:eastAsia="SimSun"/>
      <w:b/>
      <w:caps/>
      <w:kern w:val="28"/>
      <w:sz w:val="22"/>
      <w:szCs w:val="22"/>
      <w:lang w:val="fr-FR" w:eastAsia="en-US"/>
    </w:rPr>
  </w:style>
  <w:style w:type="paragraph" w:customStyle="1" w:styleId="AOHead2">
    <w:name w:val="AOHead2"/>
    <w:basedOn w:val="Normal"/>
    <w:next w:val="AODocTxtL1"/>
    <w:rsid w:val="004863AD"/>
    <w:pPr>
      <w:keepNext/>
      <w:tabs>
        <w:tab w:val="num" w:pos="862"/>
      </w:tabs>
      <w:spacing w:before="240" w:line="260" w:lineRule="atLeast"/>
      <w:ind w:left="862" w:hanging="720"/>
      <w:jc w:val="both"/>
      <w:outlineLvl w:val="1"/>
    </w:pPr>
    <w:rPr>
      <w:rFonts w:eastAsia="SimSun"/>
      <w:b/>
      <w:sz w:val="22"/>
      <w:szCs w:val="22"/>
      <w:lang w:val="fr-FR" w:eastAsia="en-US"/>
    </w:rPr>
  </w:style>
  <w:style w:type="paragraph" w:customStyle="1" w:styleId="AOHead3">
    <w:name w:val="AOHead3"/>
    <w:basedOn w:val="Normal"/>
    <w:next w:val="AODocTxtL2"/>
    <w:rsid w:val="004863AD"/>
    <w:pPr>
      <w:tabs>
        <w:tab w:val="num" w:pos="1440"/>
      </w:tabs>
      <w:spacing w:before="240" w:line="260" w:lineRule="atLeast"/>
      <w:ind w:left="1440" w:hanging="720"/>
      <w:jc w:val="both"/>
      <w:outlineLvl w:val="2"/>
    </w:pPr>
    <w:rPr>
      <w:rFonts w:eastAsia="SimSun"/>
      <w:sz w:val="22"/>
      <w:szCs w:val="22"/>
      <w:lang w:val="fr-FR" w:eastAsia="en-US"/>
    </w:rPr>
  </w:style>
  <w:style w:type="paragraph" w:customStyle="1" w:styleId="AOHead4">
    <w:name w:val="AOHead4"/>
    <w:basedOn w:val="Normal"/>
    <w:next w:val="AODocTxtL3"/>
    <w:rsid w:val="004863AD"/>
    <w:pPr>
      <w:tabs>
        <w:tab w:val="num" w:pos="2160"/>
      </w:tabs>
      <w:spacing w:before="240" w:line="260" w:lineRule="atLeast"/>
      <w:ind w:left="2160" w:hanging="720"/>
      <w:jc w:val="both"/>
      <w:outlineLvl w:val="3"/>
    </w:pPr>
    <w:rPr>
      <w:rFonts w:eastAsia="SimSun"/>
      <w:sz w:val="22"/>
      <w:szCs w:val="22"/>
      <w:lang w:val="fr-FR" w:eastAsia="en-US"/>
    </w:rPr>
  </w:style>
  <w:style w:type="paragraph" w:customStyle="1" w:styleId="AOHead5">
    <w:name w:val="AOHead5"/>
    <w:basedOn w:val="Normal"/>
    <w:next w:val="AODocTxtL4"/>
    <w:rsid w:val="004863AD"/>
    <w:pPr>
      <w:tabs>
        <w:tab w:val="num" w:pos="2880"/>
      </w:tabs>
      <w:spacing w:before="240" w:line="260" w:lineRule="atLeast"/>
      <w:ind w:left="2880" w:hanging="720"/>
      <w:jc w:val="both"/>
      <w:outlineLvl w:val="4"/>
    </w:pPr>
    <w:rPr>
      <w:rFonts w:eastAsia="SimSun"/>
      <w:sz w:val="22"/>
      <w:szCs w:val="22"/>
      <w:lang w:val="fr-FR" w:eastAsia="en-US"/>
    </w:rPr>
  </w:style>
  <w:style w:type="paragraph" w:customStyle="1" w:styleId="AOHead6">
    <w:name w:val="AOHead6"/>
    <w:basedOn w:val="Normal"/>
    <w:next w:val="AODocTxtL5"/>
    <w:rsid w:val="004863AD"/>
    <w:pPr>
      <w:tabs>
        <w:tab w:val="num" w:pos="3600"/>
      </w:tabs>
      <w:spacing w:before="240" w:line="260" w:lineRule="atLeast"/>
      <w:ind w:left="3600" w:hanging="720"/>
      <w:jc w:val="both"/>
      <w:outlineLvl w:val="5"/>
    </w:pPr>
    <w:rPr>
      <w:rFonts w:eastAsia="SimSun"/>
      <w:sz w:val="22"/>
      <w:szCs w:val="22"/>
      <w:lang w:val="fr-FR" w:eastAsia="en-US"/>
    </w:rPr>
  </w:style>
  <w:style w:type="paragraph" w:styleId="DocumentMap">
    <w:name w:val="Document Map"/>
    <w:basedOn w:val="Normal"/>
    <w:semiHidden/>
    <w:rsid w:val="00A219DB"/>
    <w:pPr>
      <w:shd w:val="clear" w:color="auto" w:fill="000080"/>
    </w:pPr>
    <w:rPr>
      <w:rFonts w:ascii="Tahoma" w:hAnsi="Tahoma" w:cs="Tahoma"/>
    </w:rPr>
  </w:style>
  <w:style w:type="paragraph" w:customStyle="1" w:styleId="aodoctxt0">
    <w:name w:val="aodoctxt"/>
    <w:basedOn w:val="Normal"/>
    <w:rsid w:val="007D3921"/>
    <w:pPr>
      <w:spacing w:before="100" w:beforeAutospacing="1" w:after="100" w:afterAutospacing="1"/>
    </w:pPr>
  </w:style>
  <w:style w:type="paragraph" w:styleId="z-TopofForm">
    <w:name w:val="HTML Top of Form"/>
    <w:basedOn w:val="Normal"/>
    <w:next w:val="Normal"/>
    <w:hidden/>
    <w:rsid w:val="00046C4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46C4B"/>
    <w:pPr>
      <w:pBdr>
        <w:top w:val="single" w:sz="6" w:space="1" w:color="auto"/>
      </w:pBdr>
      <w:jc w:val="center"/>
    </w:pPr>
    <w:rPr>
      <w:rFonts w:ascii="Arial" w:hAnsi="Arial" w:cs="Arial"/>
      <w:vanish/>
      <w:sz w:val="16"/>
      <w:szCs w:val="16"/>
    </w:rPr>
  </w:style>
  <w:style w:type="character" w:customStyle="1" w:styleId="vcblt1">
    <w:name w:val="vcb_lt1"/>
    <w:basedOn w:val="DefaultParagraphFont"/>
    <w:rsid w:val="00967059"/>
    <w:rPr>
      <w:rFonts w:ascii="Arial" w:hAnsi="Arial" w:cs="Arial" w:hint="default"/>
      <w:b w:val="0"/>
      <w:bCs w:val="0"/>
      <w:strike w:val="0"/>
      <w:dstrike w:val="0"/>
      <w:color w:val="0000FF"/>
      <w:sz w:val="20"/>
      <w:szCs w:val="20"/>
      <w:u w:val="none"/>
      <w:effect w:val="none"/>
    </w:rPr>
  </w:style>
  <w:style w:type="character" w:customStyle="1" w:styleId="vcbrt1">
    <w:name w:val="vcb_rt1"/>
    <w:basedOn w:val="DefaultParagraphFont"/>
    <w:rsid w:val="00967059"/>
    <w:rPr>
      <w:rFonts w:ascii="Arial" w:hAnsi="Arial" w:cs="Arial" w:hint="default"/>
      <w:b w:val="0"/>
      <w:bCs w:val="0"/>
      <w:strike w:val="0"/>
      <w:dstrike w:val="0"/>
      <w:color w:val="008000"/>
      <w:sz w:val="20"/>
      <w:szCs w:val="20"/>
      <w:u w:val="none"/>
      <w:effect w:val="none"/>
    </w:rPr>
  </w:style>
  <w:style w:type="character" w:customStyle="1" w:styleId="DeltaViewInsertion">
    <w:name w:val="DeltaView Insertion"/>
    <w:rsid w:val="00284831"/>
    <w:rPr>
      <w:color w:val="0000FF"/>
      <w:spacing w:val="0"/>
      <w:u w:val="double"/>
    </w:rPr>
  </w:style>
  <w:style w:type="paragraph" w:customStyle="1" w:styleId="CM38">
    <w:name w:val="CM38"/>
    <w:basedOn w:val="Normal"/>
    <w:next w:val="Normal"/>
    <w:uiPriority w:val="99"/>
    <w:rsid w:val="008E60DA"/>
    <w:pPr>
      <w:widowControl w:val="0"/>
      <w:autoSpaceDE w:val="0"/>
      <w:autoSpaceDN w:val="0"/>
      <w:adjustRightInd w:val="0"/>
    </w:pPr>
    <w:rPr>
      <w:rFonts w:ascii="EurostileTEEBla" w:hAnsi="EurostileTEEBla"/>
    </w:rPr>
  </w:style>
  <w:style w:type="paragraph" w:customStyle="1" w:styleId="CM42">
    <w:name w:val="CM42"/>
    <w:basedOn w:val="Normal"/>
    <w:next w:val="Normal"/>
    <w:uiPriority w:val="99"/>
    <w:rsid w:val="008E60DA"/>
    <w:pPr>
      <w:widowControl w:val="0"/>
      <w:autoSpaceDE w:val="0"/>
      <w:autoSpaceDN w:val="0"/>
      <w:adjustRightInd w:val="0"/>
    </w:pPr>
    <w:rPr>
      <w:rFonts w:ascii="EurostileTEEBla" w:hAnsi="EurostileTEEBla"/>
    </w:rPr>
  </w:style>
  <w:style w:type="character" w:styleId="FollowedHyperlink">
    <w:name w:val="FollowedHyperlink"/>
    <w:basedOn w:val="DefaultParagraphFont"/>
    <w:rsid w:val="00875F2A"/>
    <w:rPr>
      <w:color w:val="800080"/>
      <w:u w:val="single"/>
    </w:rPr>
  </w:style>
  <w:style w:type="paragraph" w:customStyle="1" w:styleId="Odstavecseseznamem1">
    <w:name w:val="Odstavec se seznamem1"/>
    <w:basedOn w:val="Normal"/>
    <w:rsid w:val="008F2F2C"/>
    <w:pPr>
      <w:spacing w:after="200" w:line="276" w:lineRule="auto"/>
      <w:ind w:left="720"/>
      <w:contextualSpacing/>
    </w:pPr>
    <w:rPr>
      <w:rFonts w:ascii="Calibri" w:hAnsi="Calibri"/>
      <w:sz w:val="22"/>
      <w:szCs w:val="22"/>
      <w:lang w:eastAsia="en-US"/>
    </w:rPr>
  </w:style>
  <w:style w:type="paragraph" w:styleId="TOCHeading">
    <w:name w:val="TOC Heading"/>
    <w:basedOn w:val="Heading1"/>
    <w:next w:val="Normal"/>
    <w:uiPriority w:val="39"/>
    <w:semiHidden/>
    <w:unhideWhenUsed/>
    <w:qFormat/>
    <w:rsid w:val="009843D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NoSpacing">
    <w:name w:val="No Spacing"/>
    <w:link w:val="NoSpacingChar"/>
    <w:uiPriority w:val="1"/>
    <w:qFormat/>
    <w:rsid w:val="009843D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9843DC"/>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E825A9"/>
    <w:pPr>
      <w:ind w:left="720"/>
      <w:contextualSpacing/>
    </w:pPr>
  </w:style>
  <w:style w:type="character" w:customStyle="1" w:styleId="HeaderChar">
    <w:name w:val="Header Char"/>
    <w:basedOn w:val="DefaultParagraphFont"/>
    <w:link w:val="Header"/>
    <w:rsid w:val="00A33834"/>
    <w:rPr>
      <w:lang w:val="en-GB" w:eastAsia="en-US"/>
    </w:rPr>
  </w:style>
  <w:style w:type="character" w:customStyle="1" w:styleId="FootnoteTextChar">
    <w:name w:val="Footnote Text Char"/>
    <w:basedOn w:val="DefaultParagraphFont"/>
    <w:link w:val="FootnoteText"/>
    <w:semiHidden/>
    <w:rsid w:val="00A33834"/>
  </w:style>
  <w:style w:type="paragraph" w:styleId="Revision">
    <w:name w:val="Revision"/>
    <w:hidden/>
    <w:uiPriority w:val="99"/>
    <w:semiHidden/>
    <w:rsid w:val="00014B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7958">
      <w:bodyDiv w:val="1"/>
      <w:marLeft w:val="0"/>
      <w:marRight w:val="0"/>
      <w:marTop w:val="0"/>
      <w:marBottom w:val="0"/>
      <w:divBdr>
        <w:top w:val="none" w:sz="0" w:space="0" w:color="auto"/>
        <w:left w:val="none" w:sz="0" w:space="0" w:color="auto"/>
        <w:bottom w:val="none" w:sz="0" w:space="0" w:color="auto"/>
        <w:right w:val="none" w:sz="0" w:space="0" w:color="auto"/>
      </w:divBdr>
    </w:div>
    <w:div w:id="269241097">
      <w:bodyDiv w:val="1"/>
      <w:marLeft w:val="0"/>
      <w:marRight w:val="0"/>
      <w:marTop w:val="0"/>
      <w:marBottom w:val="0"/>
      <w:divBdr>
        <w:top w:val="none" w:sz="0" w:space="0" w:color="auto"/>
        <w:left w:val="none" w:sz="0" w:space="0" w:color="auto"/>
        <w:bottom w:val="none" w:sz="0" w:space="0" w:color="auto"/>
        <w:right w:val="none" w:sz="0" w:space="0" w:color="auto"/>
      </w:divBdr>
    </w:div>
    <w:div w:id="292752752">
      <w:bodyDiv w:val="1"/>
      <w:marLeft w:val="0"/>
      <w:marRight w:val="0"/>
      <w:marTop w:val="0"/>
      <w:marBottom w:val="0"/>
      <w:divBdr>
        <w:top w:val="none" w:sz="0" w:space="0" w:color="auto"/>
        <w:left w:val="none" w:sz="0" w:space="0" w:color="auto"/>
        <w:bottom w:val="none" w:sz="0" w:space="0" w:color="auto"/>
        <w:right w:val="none" w:sz="0" w:space="0" w:color="auto"/>
      </w:divBdr>
    </w:div>
    <w:div w:id="490291527">
      <w:bodyDiv w:val="1"/>
      <w:marLeft w:val="0"/>
      <w:marRight w:val="0"/>
      <w:marTop w:val="0"/>
      <w:marBottom w:val="0"/>
      <w:divBdr>
        <w:top w:val="none" w:sz="0" w:space="0" w:color="auto"/>
        <w:left w:val="none" w:sz="0" w:space="0" w:color="auto"/>
        <w:bottom w:val="none" w:sz="0" w:space="0" w:color="auto"/>
        <w:right w:val="none" w:sz="0" w:space="0" w:color="auto"/>
      </w:divBdr>
    </w:div>
    <w:div w:id="496379762">
      <w:bodyDiv w:val="1"/>
      <w:marLeft w:val="0"/>
      <w:marRight w:val="0"/>
      <w:marTop w:val="0"/>
      <w:marBottom w:val="0"/>
      <w:divBdr>
        <w:top w:val="none" w:sz="0" w:space="0" w:color="auto"/>
        <w:left w:val="none" w:sz="0" w:space="0" w:color="auto"/>
        <w:bottom w:val="none" w:sz="0" w:space="0" w:color="auto"/>
        <w:right w:val="none" w:sz="0" w:space="0" w:color="auto"/>
      </w:divBdr>
    </w:div>
    <w:div w:id="501167855">
      <w:bodyDiv w:val="1"/>
      <w:marLeft w:val="0"/>
      <w:marRight w:val="0"/>
      <w:marTop w:val="0"/>
      <w:marBottom w:val="0"/>
      <w:divBdr>
        <w:top w:val="none" w:sz="0" w:space="0" w:color="auto"/>
        <w:left w:val="none" w:sz="0" w:space="0" w:color="auto"/>
        <w:bottom w:val="none" w:sz="0" w:space="0" w:color="auto"/>
        <w:right w:val="none" w:sz="0" w:space="0" w:color="auto"/>
      </w:divBdr>
    </w:div>
    <w:div w:id="654727847">
      <w:bodyDiv w:val="1"/>
      <w:marLeft w:val="0"/>
      <w:marRight w:val="0"/>
      <w:marTop w:val="0"/>
      <w:marBottom w:val="0"/>
      <w:divBdr>
        <w:top w:val="none" w:sz="0" w:space="0" w:color="auto"/>
        <w:left w:val="none" w:sz="0" w:space="0" w:color="auto"/>
        <w:bottom w:val="none" w:sz="0" w:space="0" w:color="auto"/>
        <w:right w:val="none" w:sz="0" w:space="0" w:color="auto"/>
      </w:divBdr>
      <w:divsChild>
        <w:div w:id="2111974067">
          <w:marLeft w:val="0"/>
          <w:marRight w:val="0"/>
          <w:marTop w:val="0"/>
          <w:marBottom w:val="0"/>
          <w:divBdr>
            <w:top w:val="none" w:sz="0" w:space="0" w:color="auto"/>
            <w:left w:val="none" w:sz="0" w:space="0" w:color="auto"/>
            <w:bottom w:val="none" w:sz="0" w:space="0" w:color="auto"/>
            <w:right w:val="none" w:sz="0" w:space="0" w:color="auto"/>
          </w:divBdr>
        </w:div>
      </w:divsChild>
    </w:div>
    <w:div w:id="667557110">
      <w:bodyDiv w:val="1"/>
      <w:marLeft w:val="0"/>
      <w:marRight w:val="0"/>
      <w:marTop w:val="0"/>
      <w:marBottom w:val="0"/>
      <w:divBdr>
        <w:top w:val="none" w:sz="0" w:space="0" w:color="auto"/>
        <w:left w:val="none" w:sz="0" w:space="0" w:color="auto"/>
        <w:bottom w:val="none" w:sz="0" w:space="0" w:color="auto"/>
        <w:right w:val="none" w:sz="0" w:space="0" w:color="auto"/>
      </w:divBdr>
      <w:divsChild>
        <w:div w:id="1828285932">
          <w:marLeft w:val="0"/>
          <w:marRight w:val="0"/>
          <w:marTop w:val="100"/>
          <w:marBottom w:val="100"/>
          <w:divBdr>
            <w:top w:val="none" w:sz="0" w:space="0" w:color="auto"/>
            <w:left w:val="none" w:sz="0" w:space="0" w:color="auto"/>
            <w:bottom w:val="none" w:sz="0" w:space="0" w:color="auto"/>
            <w:right w:val="none" w:sz="0" w:space="0" w:color="auto"/>
          </w:divBdr>
          <w:divsChild>
            <w:div w:id="2039768684">
              <w:marLeft w:val="0"/>
              <w:marRight w:val="0"/>
              <w:marTop w:val="0"/>
              <w:marBottom w:val="0"/>
              <w:divBdr>
                <w:top w:val="none" w:sz="0" w:space="0" w:color="auto"/>
                <w:left w:val="none" w:sz="0" w:space="0" w:color="auto"/>
                <w:bottom w:val="none" w:sz="0" w:space="0" w:color="auto"/>
                <w:right w:val="none" w:sz="0" w:space="0" w:color="auto"/>
              </w:divBdr>
              <w:divsChild>
                <w:div w:id="2073889879">
                  <w:marLeft w:val="0"/>
                  <w:marRight w:val="0"/>
                  <w:marTop w:val="153"/>
                  <w:marBottom w:val="0"/>
                  <w:divBdr>
                    <w:top w:val="single" w:sz="6" w:space="4" w:color="CCCCCC"/>
                    <w:left w:val="none" w:sz="0" w:space="0" w:color="auto"/>
                    <w:bottom w:val="none" w:sz="0" w:space="0" w:color="auto"/>
                    <w:right w:val="none" w:sz="0" w:space="0" w:color="auto"/>
                  </w:divBdr>
                  <w:divsChild>
                    <w:div w:id="1712025511">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75629">
      <w:bodyDiv w:val="1"/>
      <w:marLeft w:val="0"/>
      <w:marRight w:val="0"/>
      <w:marTop w:val="0"/>
      <w:marBottom w:val="0"/>
      <w:divBdr>
        <w:top w:val="none" w:sz="0" w:space="0" w:color="auto"/>
        <w:left w:val="none" w:sz="0" w:space="0" w:color="auto"/>
        <w:bottom w:val="none" w:sz="0" w:space="0" w:color="auto"/>
        <w:right w:val="none" w:sz="0" w:space="0" w:color="auto"/>
      </w:divBdr>
    </w:div>
    <w:div w:id="844247088">
      <w:bodyDiv w:val="1"/>
      <w:marLeft w:val="0"/>
      <w:marRight w:val="0"/>
      <w:marTop w:val="0"/>
      <w:marBottom w:val="0"/>
      <w:divBdr>
        <w:top w:val="none" w:sz="0" w:space="0" w:color="auto"/>
        <w:left w:val="none" w:sz="0" w:space="0" w:color="auto"/>
        <w:bottom w:val="none" w:sz="0" w:space="0" w:color="auto"/>
        <w:right w:val="none" w:sz="0" w:space="0" w:color="auto"/>
      </w:divBdr>
    </w:div>
    <w:div w:id="928927109">
      <w:bodyDiv w:val="1"/>
      <w:marLeft w:val="0"/>
      <w:marRight w:val="0"/>
      <w:marTop w:val="0"/>
      <w:marBottom w:val="0"/>
      <w:divBdr>
        <w:top w:val="none" w:sz="0" w:space="0" w:color="auto"/>
        <w:left w:val="none" w:sz="0" w:space="0" w:color="auto"/>
        <w:bottom w:val="none" w:sz="0" w:space="0" w:color="auto"/>
        <w:right w:val="none" w:sz="0" w:space="0" w:color="auto"/>
      </w:divBdr>
    </w:div>
    <w:div w:id="1019621467">
      <w:bodyDiv w:val="1"/>
      <w:marLeft w:val="0"/>
      <w:marRight w:val="0"/>
      <w:marTop w:val="0"/>
      <w:marBottom w:val="0"/>
      <w:divBdr>
        <w:top w:val="none" w:sz="0" w:space="0" w:color="auto"/>
        <w:left w:val="none" w:sz="0" w:space="0" w:color="auto"/>
        <w:bottom w:val="none" w:sz="0" w:space="0" w:color="auto"/>
        <w:right w:val="none" w:sz="0" w:space="0" w:color="auto"/>
      </w:divBdr>
      <w:divsChild>
        <w:div w:id="339743043">
          <w:marLeft w:val="0"/>
          <w:marRight w:val="0"/>
          <w:marTop w:val="0"/>
          <w:marBottom w:val="0"/>
          <w:divBdr>
            <w:top w:val="none" w:sz="0" w:space="0" w:color="auto"/>
            <w:left w:val="none" w:sz="0" w:space="0" w:color="auto"/>
            <w:bottom w:val="none" w:sz="0" w:space="0" w:color="auto"/>
            <w:right w:val="none" w:sz="0" w:space="0" w:color="auto"/>
          </w:divBdr>
        </w:div>
      </w:divsChild>
    </w:div>
    <w:div w:id="1144396698">
      <w:bodyDiv w:val="1"/>
      <w:marLeft w:val="0"/>
      <w:marRight w:val="0"/>
      <w:marTop w:val="0"/>
      <w:marBottom w:val="0"/>
      <w:divBdr>
        <w:top w:val="none" w:sz="0" w:space="0" w:color="auto"/>
        <w:left w:val="none" w:sz="0" w:space="0" w:color="auto"/>
        <w:bottom w:val="none" w:sz="0" w:space="0" w:color="auto"/>
        <w:right w:val="none" w:sz="0" w:space="0" w:color="auto"/>
      </w:divBdr>
    </w:div>
    <w:div w:id="1154561477">
      <w:bodyDiv w:val="1"/>
      <w:marLeft w:val="0"/>
      <w:marRight w:val="0"/>
      <w:marTop w:val="0"/>
      <w:marBottom w:val="0"/>
      <w:divBdr>
        <w:top w:val="none" w:sz="0" w:space="0" w:color="auto"/>
        <w:left w:val="none" w:sz="0" w:space="0" w:color="auto"/>
        <w:bottom w:val="none" w:sz="0" w:space="0" w:color="auto"/>
        <w:right w:val="none" w:sz="0" w:space="0" w:color="auto"/>
      </w:divBdr>
    </w:div>
    <w:div w:id="1223641580">
      <w:bodyDiv w:val="1"/>
      <w:marLeft w:val="0"/>
      <w:marRight w:val="0"/>
      <w:marTop w:val="0"/>
      <w:marBottom w:val="0"/>
      <w:divBdr>
        <w:top w:val="none" w:sz="0" w:space="0" w:color="auto"/>
        <w:left w:val="none" w:sz="0" w:space="0" w:color="auto"/>
        <w:bottom w:val="none" w:sz="0" w:space="0" w:color="auto"/>
        <w:right w:val="none" w:sz="0" w:space="0" w:color="auto"/>
      </w:divBdr>
    </w:div>
    <w:div w:id="1314143329">
      <w:bodyDiv w:val="1"/>
      <w:marLeft w:val="0"/>
      <w:marRight w:val="0"/>
      <w:marTop w:val="0"/>
      <w:marBottom w:val="0"/>
      <w:divBdr>
        <w:top w:val="none" w:sz="0" w:space="0" w:color="auto"/>
        <w:left w:val="none" w:sz="0" w:space="0" w:color="auto"/>
        <w:bottom w:val="none" w:sz="0" w:space="0" w:color="auto"/>
        <w:right w:val="none" w:sz="0" w:space="0" w:color="auto"/>
      </w:divBdr>
      <w:divsChild>
        <w:div w:id="1525820941">
          <w:marLeft w:val="0"/>
          <w:marRight w:val="0"/>
          <w:marTop w:val="0"/>
          <w:marBottom w:val="0"/>
          <w:divBdr>
            <w:top w:val="none" w:sz="0" w:space="0" w:color="auto"/>
            <w:left w:val="none" w:sz="0" w:space="0" w:color="auto"/>
            <w:bottom w:val="none" w:sz="0" w:space="0" w:color="auto"/>
            <w:right w:val="none" w:sz="0" w:space="0" w:color="auto"/>
          </w:divBdr>
        </w:div>
      </w:divsChild>
    </w:div>
    <w:div w:id="1337732009">
      <w:bodyDiv w:val="1"/>
      <w:marLeft w:val="0"/>
      <w:marRight w:val="0"/>
      <w:marTop w:val="0"/>
      <w:marBottom w:val="0"/>
      <w:divBdr>
        <w:top w:val="none" w:sz="0" w:space="0" w:color="auto"/>
        <w:left w:val="none" w:sz="0" w:space="0" w:color="auto"/>
        <w:bottom w:val="none" w:sz="0" w:space="0" w:color="auto"/>
        <w:right w:val="none" w:sz="0" w:space="0" w:color="auto"/>
      </w:divBdr>
    </w:div>
    <w:div w:id="1690375886">
      <w:bodyDiv w:val="1"/>
      <w:marLeft w:val="0"/>
      <w:marRight w:val="0"/>
      <w:marTop w:val="0"/>
      <w:marBottom w:val="0"/>
      <w:divBdr>
        <w:top w:val="none" w:sz="0" w:space="0" w:color="auto"/>
        <w:left w:val="none" w:sz="0" w:space="0" w:color="auto"/>
        <w:bottom w:val="none" w:sz="0" w:space="0" w:color="auto"/>
        <w:right w:val="none" w:sz="0" w:space="0" w:color="auto"/>
      </w:divBdr>
    </w:div>
    <w:div w:id="1744373126">
      <w:bodyDiv w:val="1"/>
      <w:marLeft w:val="0"/>
      <w:marRight w:val="0"/>
      <w:marTop w:val="0"/>
      <w:marBottom w:val="0"/>
      <w:divBdr>
        <w:top w:val="none" w:sz="0" w:space="0" w:color="auto"/>
        <w:left w:val="none" w:sz="0" w:space="0" w:color="auto"/>
        <w:bottom w:val="none" w:sz="0" w:space="0" w:color="auto"/>
        <w:right w:val="none" w:sz="0" w:space="0" w:color="auto"/>
      </w:divBdr>
      <w:divsChild>
        <w:div w:id="189489285">
          <w:marLeft w:val="0"/>
          <w:marRight w:val="0"/>
          <w:marTop w:val="0"/>
          <w:marBottom w:val="0"/>
          <w:divBdr>
            <w:top w:val="none" w:sz="0" w:space="0" w:color="auto"/>
            <w:left w:val="none" w:sz="0" w:space="0" w:color="auto"/>
            <w:bottom w:val="none" w:sz="0" w:space="0" w:color="auto"/>
            <w:right w:val="none" w:sz="0" w:space="0" w:color="auto"/>
          </w:divBdr>
          <w:divsChild>
            <w:div w:id="20001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2439">
      <w:bodyDiv w:val="1"/>
      <w:marLeft w:val="0"/>
      <w:marRight w:val="0"/>
      <w:marTop w:val="0"/>
      <w:marBottom w:val="0"/>
      <w:divBdr>
        <w:top w:val="none" w:sz="0" w:space="0" w:color="auto"/>
        <w:left w:val="none" w:sz="0" w:space="0" w:color="auto"/>
        <w:bottom w:val="none" w:sz="0" w:space="0" w:color="auto"/>
        <w:right w:val="none" w:sz="0" w:space="0" w:color="auto"/>
      </w:divBdr>
    </w:div>
    <w:div w:id="1874420904">
      <w:bodyDiv w:val="1"/>
      <w:marLeft w:val="0"/>
      <w:marRight w:val="0"/>
      <w:marTop w:val="0"/>
      <w:marBottom w:val="0"/>
      <w:divBdr>
        <w:top w:val="none" w:sz="0" w:space="0" w:color="auto"/>
        <w:left w:val="none" w:sz="0" w:space="0" w:color="auto"/>
        <w:bottom w:val="none" w:sz="0" w:space="0" w:color="auto"/>
        <w:right w:val="none" w:sz="0" w:space="0" w:color="auto"/>
      </w:divBdr>
    </w:div>
    <w:div w:id="2002418099">
      <w:bodyDiv w:val="1"/>
      <w:marLeft w:val="0"/>
      <w:marRight w:val="0"/>
      <w:marTop w:val="0"/>
      <w:marBottom w:val="0"/>
      <w:divBdr>
        <w:top w:val="none" w:sz="0" w:space="0" w:color="auto"/>
        <w:left w:val="none" w:sz="0" w:space="0" w:color="auto"/>
        <w:bottom w:val="none" w:sz="0" w:space="0" w:color="auto"/>
        <w:right w:val="none" w:sz="0" w:space="0" w:color="auto"/>
      </w:divBdr>
    </w:div>
    <w:div w:id="2066445018">
      <w:bodyDiv w:val="1"/>
      <w:marLeft w:val="0"/>
      <w:marRight w:val="0"/>
      <w:marTop w:val="0"/>
      <w:marBottom w:val="0"/>
      <w:divBdr>
        <w:top w:val="none" w:sz="0" w:space="0" w:color="auto"/>
        <w:left w:val="none" w:sz="0" w:space="0" w:color="auto"/>
        <w:bottom w:val="none" w:sz="0" w:space="0" w:color="auto"/>
        <w:right w:val="none" w:sz="0" w:space="0" w:color="auto"/>
      </w:divBdr>
    </w:div>
    <w:div w:id="2135519289">
      <w:bodyDiv w:val="1"/>
      <w:marLeft w:val="0"/>
      <w:marRight w:val="0"/>
      <w:marTop w:val="0"/>
      <w:marBottom w:val="0"/>
      <w:divBdr>
        <w:top w:val="none" w:sz="0" w:space="0" w:color="auto"/>
        <w:left w:val="none" w:sz="0" w:space="0" w:color="auto"/>
        <w:bottom w:val="none" w:sz="0" w:space="0" w:color="auto"/>
        <w:right w:val="none" w:sz="0" w:space="0" w:color="auto"/>
      </w:divBdr>
      <w:divsChild>
        <w:div w:id="1524435032">
          <w:marLeft w:val="0"/>
          <w:marRight w:val="0"/>
          <w:marTop w:val="0"/>
          <w:marBottom w:val="0"/>
          <w:divBdr>
            <w:top w:val="none" w:sz="0" w:space="0" w:color="auto"/>
            <w:left w:val="none" w:sz="0" w:space="0" w:color="auto"/>
            <w:bottom w:val="none" w:sz="0" w:space="0" w:color="auto"/>
            <w:right w:val="none" w:sz="0" w:space="0" w:color="auto"/>
          </w:divBdr>
        </w:div>
        <w:div w:id="707025641">
          <w:marLeft w:val="0"/>
          <w:marRight w:val="0"/>
          <w:marTop w:val="0"/>
          <w:marBottom w:val="0"/>
          <w:divBdr>
            <w:top w:val="none" w:sz="0" w:space="0" w:color="auto"/>
            <w:left w:val="none" w:sz="0" w:space="0" w:color="auto"/>
            <w:bottom w:val="none" w:sz="0" w:space="0" w:color="auto"/>
            <w:right w:val="none" w:sz="0" w:space="0" w:color="auto"/>
          </w:divBdr>
        </w:div>
        <w:div w:id="1375351377">
          <w:marLeft w:val="0"/>
          <w:marRight w:val="0"/>
          <w:marTop w:val="0"/>
          <w:marBottom w:val="0"/>
          <w:divBdr>
            <w:top w:val="none" w:sz="0" w:space="0" w:color="auto"/>
            <w:left w:val="none" w:sz="0" w:space="0" w:color="auto"/>
            <w:bottom w:val="none" w:sz="0" w:space="0" w:color="auto"/>
            <w:right w:val="none" w:sz="0" w:space="0" w:color="auto"/>
          </w:divBdr>
        </w:div>
        <w:div w:id="1464350216">
          <w:marLeft w:val="0"/>
          <w:marRight w:val="0"/>
          <w:marTop w:val="0"/>
          <w:marBottom w:val="0"/>
          <w:divBdr>
            <w:top w:val="none" w:sz="0" w:space="0" w:color="auto"/>
            <w:left w:val="none" w:sz="0" w:space="0" w:color="auto"/>
            <w:bottom w:val="none" w:sz="0" w:space="0" w:color="auto"/>
            <w:right w:val="none" w:sz="0" w:space="0" w:color="auto"/>
          </w:divBdr>
        </w:div>
        <w:div w:id="1504006943">
          <w:marLeft w:val="0"/>
          <w:marRight w:val="0"/>
          <w:marTop w:val="0"/>
          <w:marBottom w:val="0"/>
          <w:divBdr>
            <w:top w:val="none" w:sz="0" w:space="0" w:color="auto"/>
            <w:left w:val="none" w:sz="0" w:space="0" w:color="auto"/>
            <w:bottom w:val="none" w:sz="0" w:space="0" w:color="auto"/>
            <w:right w:val="none" w:sz="0" w:space="0" w:color="auto"/>
          </w:divBdr>
        </w:div>
        <w:div w:id="2041127688">
          <w:marLeft w:val="0"/>
          <w:marRight w:val="0"/>
          <w:marTop w:val="0"/>
          <w:marBottom w:val="0"/>
          <w:divBdr>
            <w:top w:val="none" w:sz="0" w:space="0" w:color="auto"/>
            <w:left w:val="none" w:sz="0" w:space="0" w:color="auto"/>
            <w:bottom w:val="none" w:sz="0" w:space="0" w:color="auto"/>
            <w:right w:val="none" w:sz="0" w:space="0" w:color="auto"/>
          </w:divBdr>
        </w:div>
        <w:div w:id="2071003789">
          <w:marLeft w:val="0"/>
          <w:marRight w:val="0"/>
          <w:marTop w:val="0"/>
          <w:marBottom w:val="0"/>
          <w:divBdr>
            <w:top w:val="none" w:sz="0" w:space="0" w:color="auto"/>
            <w:left w:val="none" w:sz="0" w:space="0" w:color="auto"/>
            <w:bottom w:val="none" w:sz="0" w:space="0" w:color="auto"/>
            <w:right w:val="none" w:sz="0" w:space="0" w:color="auto"/>
          </w:divBdr>
        </w:div>
        <w:div w:id="1554999034">
          <w:marLeft w:val="0"/>
          <w:marRight w:val="0"/>
          <w:marTop w:val="0"/>
          <w:marBottom w:val="0"/>
          <w:divBdr>
            <w:top w:val="none" w:sz="0" w:space="0" w:color="auto"/>
            <w:left w:val="none" w:sz="0" w:space="0" w:color="auto"/>
            <w:bottom w:val="none" w:sz="0" w:space="0" w:color="auto"/>
            <w:right w:val="none" w:sz="0" w:space="0" w:color="auto"/>
          </w:divBdr>
        </w:div>
        <w:div w:id="459227578">
          <w:marLeft w:val="0"/>
          <w:marRight w:val="0"/>
          <w:marTop w:val="0"/>
          <w:marBottom w:val="0"/>
          <w:divBdr>
            <w:top w:val="none" w:sz="0" w:space="0" w:color="auto"/>
            <w:left w:val="none" w:sz="0" w:space="0" w:color="auto"/>
            <w:bottom w:val="none" w:sz="0" w:space="0" w:color="auto"/>
            <w:right w:val="none" w:sz="0" w:space="0" w:color="auto"/>
          </w:divBdr>
        </w:div>
        <w:div w:id="468591065">
          <w:marLeft w:val="0"/>
          <w:marRight w:val="0"/>
          <w:marTop w:val="0"/>
          <w:marBottom w:val="0"/>
          <w:divBdr>
            <w:top w:val="none" w:sz="0" w:space="0" w:color="auto"/>
            <w:left w:val="none" w:sz="0" w:space="0" w:color="auto"/>
            <w:bottom w:val="none" w:sz="0" w:space="0" w:color="auto"/>
            <w:right w:val="none" w:sz="0" w:space="0" w:color="auto"/>
          </w:divBdr>
        </w:div>
        <w:div w:id="75979224">
          <w:marLeft w:val="0"/>
          <w:marRight w:val="0"/>
          <w:marTop w:val="0"/>
          <w:marBottom w:val="0"/>
          <w:divBdr>
            <w:top w:val="none" w:sz="0" w:space="0" w:color="auto"/>
            <w:left w:val="none" w:sz="0" w:space="0" w:color="auto"/>
            <w:bottom w:val="none" w:sz="0" w:space="0" w:color="auto"/>
            <w:right w:val="none" w:sz="0" w:space="0" w:color="auto"/>
          </w:divBdr>
        </w:div>
        <w:div w:id="1549024110">
          <w:marLeft w:val="0"/>
          <w:marRight w:val="0"/>
          <w:marTop w:val="0"/>
          <w:marBottom w:val="0"/>
          <w:divBdr>
            <w:top w:val="none" w:sz="0" w:space="0" w:color="auto"/>
            <w:left w:val="none" w:sz="0" w:space="0" w:color="auto"/>
            <w:bottom w:val="none" w:sz="0" w:space="0" w:color="auto"/>
            <w:right w:val="none" w:sz="0" w:space="0" w:color="auto"/>
          </w:divBdr>
        </w:div>
        <w:div w:id="1927104849">
          <w:marLeft w:val="0"/>
          <w:marRight w:val="0"/>
          <w:marTop w:val="0"/>
          <w:marBottom w:val="0"/>
          <w:divBdr>
            <w:top w:val="none" w:sz="0" w:space="0" w:color="auto"/>
            <w:left w:val="none" w:sz="0" w:space="0" w:color="auto"/>
            <w:bottom w:val="none" w:sz="0" w:space="0" w:color="auto"/>
            <w:right w:val="none" w:sz="0" w:space="0" w:color="auto"/>
          </w:divBdr>
        </w:div>
        <w:div w:id="1201627908">
          <w:marLeft w:val="0"/>
          <w:marRight w:val="0"/>
          <w:marTop w:val="0"/>
          <w:marBottom w:val="0"/>
          <w:divBdr>
            <w:top w:val="none" w:sz="0" w:space="0" w:color="auto"/>
            <w:left w:val="none" w:sz="0" w:space="0" w:color="auto"/>
            <w:bottom w:val="none" w:sz="0" w:space="0" w:color="auto"/>
            <w:right w:val="none" w:sz="0" w:space="0" w:color="auto"/>
          </w:divBdr>
        </w:div>
        <w:div w:id="1037505465">
          <w:marLeft w:val="0"/>
          <w:marRight w:val="0"/>
          <w:marTop w:val="0"/>
          <w:marBottom w:val="0"/>
          <w:divBdr>
            <w:top w:val="none" w:sz="0" w:space="0" w:color="auto"/>
            <w:left w:val="none" w:sz="0" w:space="0" w:color="auto"/>
            <w:bottom w:val="none" w:sz="0" w:space="0" w:color="auto"/>
            <w:right w:val="none" w:sz="0" w:space="0" w:color="auto"/>
          </w:divBdr>
        </w:div>
        <w:div w:id="659892108">
          <w:marLeft w:val="0"/>
          <w:marRight w:val="0"/>
          <w:marTop w:val="0"/>
          <w:marBottom w:val="0"/>
          <w:divBdr>
            <w:top w:val="none" w:sz="0" w:space="0" w:color="auto"/>
            <w:left w:val="none" w:sz="0" w:space="0" w:color="auto"/>
            <w:bottom w:val="none" w:sz="0" w:space="0" w:color="auto"/>
            <w:right w:val="none" w:sz="0" w:space="0" w:color="auto"/>
          </w:divBdr>
        </w:div>
        <w:div w:id="939409306">
          <w:marLeft w:val="0"/>
          <w:marRight w:val="0"/>
          <w:marTop w:val="0"/>
          <w:marBottom w:val="0"/>
          <w:divBdr>
            <w:top w:val="none" w:sz="0" w:space="0" w:color="auto"/>
            <w:left w:val="none" w:sz="0" w:space="0" w:color="auto"/>
            <w:bottom w:val="none" w:sz="0" w:space="0" w:color="auto"/>
            <w:right w:val="none" w:sz="0" w:space="0" w:color="auto"/>
          </w:divBdr>
        </w:div>
        <w:div w:id="413236746">
          <w:marLeft w:val="0"/>
          <w:marRight w:val="0"/>
          <w:marTop w:val="0"/>
          <w:marBottom w:val="0"/>
          <w:divBdr>
            <w:top w:val="none" w:sz="0" w:space="0" w:color="auto"/>
            <w:left w:val="none" w:sz="0" w:space="0" w:color="auto"/>
            <w:bottom w:val="none" w:sz="0" w:space="0" w:color="auto"/>
            <w:right w:val="none" w:sz="0" w:space="0" w:color="auto"/>
          </w:divBdr>
        </w:div>
        <w:div w:id="1879733193">
          <w:marLeft w:val="0"/>
          <w:marRight w:val="0"/>
          <w:marTop w:val="0"/>
          <w:marBottom w:val="0"/>
          <w:divBdr>
            <w:top w:val="none" w:sz="0" w:space="0" w:color="auto"/>
            <w:left w:val="none" w:sz="0" w:space="0" w:color="auto"/>
            <w:bottom w:val="none" w:sz="0" w:space="0" w:color="auto"/>
            <w:right w:val="none" w:sz="0" w:space="0" w:color="auto"/>
          </w:divBdr>
        </w:div>
        <w:div w:id="421030334">
          <w:marLeft w:val="0"/>
          <w:marRight w:val="0"/>
          <w:marTop w:val="0"/>
          <w:marBottom w:val="0"/>
          <w:divBdr>
            <w:top w:val="none" w:sz="0" w:space="0" w:color="auto"/>
            <w:left w:val="none" w:sz="0" w:space="0" w:color="auto"/>
            <w:bottom w:val="none" w:sz="0" w:space="0" w:color="auto"/>
            <w:right w:val="none" w:sz="0" w:space="0" w:color="auto"/>
          </w:divBdr>
        </w:div>
        <w:div w:id="962999499">
          <w:marLeft w:val="0"/>
          <w:marRight w:val="0"/>
          <w:marTop w:val="0"/>
          <w:marBottom w:val="0"/>
          <w:divBdr>
            <w:top w:val="none" w:sz="0" w:space="0" w:color="auto"/>
            <w:left w:val="none" w:sz="0" w:space="0" w:color="auto"/>
            <w:bottom w:val="none" w:sz="0" w:space="0" w:color="auto"/>
            <w:right w:val="none" w:sz="0" w:space="0" w:color="auto"/>
          </w:divBdr>
        </w:div>
        <w:div w:id="1781728780">
          <w:marLeft w:val="0"/>
          <w:marRight w:val="0"/>
          <w:marTop w:val="0"/>
          <w:marBottom w:val="0"/>
          <w:divBdr>
            <w:top w:val="none" w:sz="0" w:space="0" w:color="auto"/>
            <w:left w:val="none" w:sz="0" w:space="0" w:color="auto"/>
            <w:bottom w:val="none" w:sz="0" w:space="0" w:color="auto"/>
            <w:right w:val="none" w:sz="0" w:space="0" w:color="auto"/>
          </w:divBdr>
        </w:div>
        <w:div w:id="2014141677">
          <w:marLeft w:val="0"/>
          <w:marRight w:val="0"/>
          <w:marTop w:val="0"/>
          <w:marBottom w:val="0"/>
          <w:divBdr>
            <w:top w:val="none" w:sz="0" w:space="0" w:color="auto"/>
            <w:left w:val="none" w:sz="0" w:space="0" w:color="auto"/>
            <w:bottom w:val="none" w:sz="0" w:space="0" w:color="auto"/>
            <w:right w:val="none" w:sz="0" w:space="0" w:color="auto"/>
          </w:divBdr>
        </w:div>
        <w:div w:id="243224968">
          <w:marLeft w:val="0"/>
          <w:marRight w:val="0"/>
          <w:marTop w:val="0"/>
          <w:marBottom w:val="0"/>
          <w:divBdr>
            <w:top w:val="none" w:sz="0" w:space="0" w:color="auto"/>
            <w:left w:val="none" w:sz="0" w:space="0" w:color="auto"/>
            <w:bottom w:val="none" w:sz="0" w:space="0" w:color="auto"/>
            <w:right w:val="none" w:sz="0" w:space="0" w:color="auto"/>
          </w:divBdr>
        </w:div>
        <w:div w:id="1987778470">
          <w:marLeft w:val="0"/>
          <w:marRight w:val="0"/>
          <w:marTop w:val="0"/>
          <w:marBottom w:val="0"/>
          <w:divBdr>
            <w:top w:val="none" w:sz="0" w:space="0" w:color="auto"/>
            <w:left w:val="none" w:sz="0" w:space="0" w:color="auto"/>
            <w:bottom w:val="none" w:sz="0" w:space="0" w:color="auto"/>
            <w:right w:val="none" w:sz="0" w:space="0" w:color="auto"/>
          </w:divBdr>
        </w:div>
        <w:div w:id="1280649440">
          <w:marLeft w:val="0"/>
          <w:marRight w:val="0"/>
          <w:marTop w:val="0"/>
          <w:marBottom w:val="0"/>
          <w:divBdr>
            <w:top w:val="none" w:sz="0" w:space="0" w:color="auto"/>
            <w:left w:val="none" w:sz="0" w:space="0" w:color="auto"/>
            <w:bottom w:val="none" w:sz="0" w:space="0" w:color="auto"/>
            <w:right w:val="none" w:sz="0" w:space="0" w:color="auto"/>
          </w:divBdr>
        </w:div>
        <w:div w:id="644512422">
          <w:marLeft w:val="0"/>
          <w:marRight w:val="0"/>
          <w:marTop w:val="0"/>
          <w:marBottom w:val="0"/>
          <w:divBdr>
            <w:top w:val="none" w:sz="0" w:space="0" w:color="auto"/>
            <w:left w:val="none" w:sz="0" w:space="0" w:color="auto"/>
            <w:bottom w:val="none" w:sz="0" w:space="0" w:color="auto"/>
            <w:right w:val="none" w:sz="0" w:space="0" w:color="auto"/>
          </w:divBdr>
        </w:div>
        <w:div w:id="1870140174">
          <w:marLeft w:val="0"/>
          <w:marRight w:val="0"/>
          <w:marTop w:val="0"/>
          <w:marBottom w:val="0"/>
          <w:divBdr>
            <w:top w:val="none" w:sz="0" w:space="0" w:color="auto"/>
            <w:left w:val="none" w:sz="0" w:space="0" w:color="auto"/>
            <w:bottom w:val="none" w:sz="0" w:space="0" w:color="auto"/>
            <w:right w:val="none" w:sz="0" w:space="0" w:color="auto"/>
          </w:divBdr>
        </w:div>
        <w:div w:id="219096457">
          <w:marLeft w:val="0"/>
          <w:marRight w:val="0"/>
          <w:marTop w:val="0"/>
          <w:marBottom w:val="0"/>
          <w:divBdr>
            <w:top w:val="none" w:sz="0" w:space="0" w:color="auto"/>
            <w:left w:val="none" w:sz="0" w:space="0" w:color="auto"/>
            <w:bottom w:val="none" w:sz="0" w:space="0" w:color="auto"/>
            <w:right w:val="none" w:sz="0" w:space="0" w:color="auto"/>
          </w:divBdr>
        </w:div>
        <w:div w:id="518202612">
          <w:marLeft w:val="0"/>
          <w:marRight w:val="0"/>
          <w:marTop w:val="0"/>
          <w:marBottom w:val="0"/>
          <w:divBdr>
            <w:top w:val="none" w:sz="0" w:space="0" w:color="auto"/>
            <w:left w:val="none" w:sz="0" w:space="0" w:color="auto"/>
            <w:bottom w:val="none" w:sz="0" w:space="0" w:color="auto"/>
            <w:right w:val="none" w:sz="0" w:space="0" w:color="auto"/>
          </w:divBdr>
        </w:div>
        <w:div w:id="1199659673">
          <w:marLeft w:val="0"/>
          <w:marRight w:val="0"/>
          <w:marTop w:val="0"/>
          <w:marBottom w:val="0"/>
          <w:divBdr>
            <w:top w:val="none" w:sz="0" w:space="0" w:color="auto"/>
            <w:left w:val="none" w:sz="0" w:space="0" w:color="auto"/>
            <w:bottom w:val="none" w:sz="0" w:space="0" w:color="auto"/>
            <w:right w:val="none" w:sz="0" w:space="0" w:color="auto"/>
          </w:divBdr>
        </w:div>
        <w:div w:id="1432044798">
          <w:marLeft w:val="0"/>
          <w:marRight w:val="0"/>
          <w:marTop w:val="0"/>
          <w:marBottom w:val="0"/>
          <w:divBdr>
            <w:top w:val="none" w:sz="0" w:space="0" w:color="auto"/>
            <w:left w:val="none" w:sz="0" w:space="0" w:color="auto"/>
            <w:bottom w:val="none" w:sz="0" w:space="0" w:color="auto"/>
            <w:right w:val="none" w:sz="0" w:space="0" w:color="auto"/>
          </w:divBdr>
        </w:div>
        <w:div w:id="1357584744">
          <w:marLeft w:val="0"/>
          <w:marRight w:val="0"/>
          <w:marTop w:val="0"/>
          <w:marBottom w:val="0"/>
          <w:divBdr>
            <w:top w:val="none" w:sz="0" w:space="0" w:color="auto"/>
            <w:left w:val="none" w:sz="0" w:space="0" w:color="auto"/>
            <w:bottom w:val="none" w:sz="0" w:space="0" w:color="auto"/>
            <w:right w:val="none" w:sz="0" w:space="0" w:color="auto"/>
          </w:divBdr>
        </w:div>
        <w:div w:id="920483346">
          <w:marLeft w:val="0"/>
          <w:marRight w:val="0"/>
          <w:marTop w:val="0"/>
          <w:marBottom w:val="0"/>
          <w:divBdr>
            <w:top w:val="none" w:sz="0" w:space="0" w:color="auto"/>
            <w:left w:val="none" w:sz="0" w:space="0" w:color="auto"/>
            <w:bottom w:val="none" w:sz="0" w:space="0" w:color="auto"/>
            <w:right w:val="none" w:sz="0" w:space="0" w:color="auto"/>
          </w:divBdr>
        </w:div>
        <w:div w:id="727534359">
          <w:marLeft w:val="0"/>
          <w:marRight w:val="0"/>
          <w:marTop w:val="0"/>
          <w:marBottom w:val="0"/>
          <w:divBdr>
            <w:top w:val="none" w:sz="0" w:space="0" w:color="auto"/>
            <w:left w:val="none" w:sz="0" w:space="0" w:color="auto"/>
            <w:bottom w:val="none" w:sz="0" w:space="0" w:color="auto"/>
            <w:right w:val="none" w:sz="0" w:space="0" w:color="auto"/>
          </w:divBdr>
        </w:div>
        <w:div w:id="1104762711">
          <w:marLeft w:val="0"/>
          <w:marRight w:val="0"/>
          <w:marTop w:val="0"/>
          <w:marBottom w:val="0"/>
          <w:divBdr>
            <w:top w:val="none" w:sz="0" w:space="0" w:color="auto"/>
            <w:left w:val="none" w:sz="0" w:space="0" w:color="auto"/>
            <w:bottom w:val="none" w:sz="0" w:space="0" w:color="auto"/>
            <w:right w:val="none" w:sz="0" w:space="0" w:color="auto"/>
          </w:divBdr>
        </w:div>
        <w:div w:id="1333609061">
          <w:marLeft w:val="0"/>
          <w:marRight w:val="0"/>
          <w:marTop w:val="0"/>
          <w:marBottom w:val="0"/>
          <w:divBdr>
            <w:top w:val="none" w:sz="0" w:space="0" w:color="auto"/>
            <w:left w:val="none" w:sz="0" w:space="0" w:color="auto"/>
            <w:bottom w:val="none" w:sz="0" w:space="0" w:color="auto"/>
            <w:right w:val="none" w:sz="0" w:space="0" w:color="auto"/>
          </w:divBdr>
        </w:div>
        <w:div w:id="914166444">
          <w:marLeft w:val="0"/>
          <w:marRight w:val="0"/>
          <w:marTop w:val="0"/>
          <w:marBottom w:val="0"/>
          <w:divBdr>
            <w:top w:val="none" w:sz="0" w:space="0" w:color="auto"/>
            <w:left w:val="none" w:sz="0" w:space="0" w:color="auto"/>
            <w:bottom w:val="none" w:sz="0" w:space="0" w:color="auto"/>
            <w:right w:val="none" w:sz="0" w:space="0" w:color="auto"/>
          </w:divBdr>
        </w:div>
        <w:div w:id="1432893594">
          <w:marLeft w:val="0"/>
          <w:marRight w:val="0"/>
          <w:marTop w:val="0"/>
          <w:marBottom w:val="0"/>
          <w:divBdr>
            <w:top w:val="none" w:sz="0" w:space="0" w:color="auto"/>
            <w:left w:val="none" w:sz="0" w:space="0" w:color="auto"/>
            <w:bottom w:val="none" w:sz="0" w:space="0" w:color="auto"/>
            <w:right w:val="none" w:sz="0" w:space="0" w:color="auto"/>
          </w:divBdr>
        </w:div>
        <w:div w:id="1947611103">
          <w:marLeft w:val="0"/>
          <w:marRight w:val="0"/>
          <w:marTop w:val="0"/>
          <w:marBottom w:val="0"/>
          <w:divBdr>
            <w:top w:val="none" w:sz="0" w:space="0" w:color="auto"/>
            <w:left w:val="none" w:sz="0" w:space="0" w:color="auto"/>
            <w:bottom w:val="none" w:sz="0" w:space="0" w:color="auto"/>
            <w:right w:val="none" w:sz="0" w:space="0" w:color="auto"/>
          </w:divBdr>
        </w:div>
        <w:div w:id="500464358">
          <w:marLeft w:val="0"/>
          <w:marRight w:val="0"/>
          <w:marTop w:val="0"/>
          <w:marBottom w:val="0"/>
          <w:divBdr>
            <w:top w:val="none" w:sz="0" w:space="0" w:color="auto"/>
            <w:left w:val="none" w:sz="0" w:space="0" w:color="auto"/>
            <w:bottom w:val="none" w:sz="0" w:space="0" w:color="auto"/>
            <w:right w:val="none" w:sz="0" w:space="0" w:color="auto"/>
          </w:divBdr>
        </w:div>
        <w:div w:id="1910655027">
          <w:marLeft w:val="0"/>
          <w:marRight w:val="0"/>
          <w:marTop w:val="0"/>
          <w:marBottom w:val="0"/>
          <w:divBdr>
            <w:top w:val="none" w:sz="0" w:space="0" w:color="auto"/>
            <w:left w:val="none" w:sz="0" w:space="0" w:color="auto"/>
            <w:bottom w:val="none" w:sz="0" w:space="0" w:color="auto"/>
            <w:right w:val="none" w:sz="0" w:space="0" w:color="auto"/>
          </w:divBdr>
        </w:div>
        <w:div w:id="1727140817">
          <w:marLeft w:val="0"/>
          <w:marRight w:val="0"/>
          <w:marTop w:val="0"/>
          <w:marBottom w:val="0"/>
          <w:divBdr>
            <w:top w:val="none" w:sz="0" w:space="0" w:color="auto"/>
            <w:left w:val="none" w:sz="0" w:space="0" w:color="auto"/>
            <w:bottom w:val="none" w:sz="0" w:space="0" w:color="auto"/>
            <w:right w:val="none" w:sz="0" w:space="0" w:color="auto"/>
          </w:divBdr>
        </w:div>
        <w:div w:id="1071737653">
          <w:marLeft w:val="0"/>
          <w:marRight w:val="0"/>
          <w:marTop w:val="0"/>
          <w:marBottom w:val="0"/>
          <w:divBdr>
            <w:top w:val="none" w:sz="0" w:space="0" w:color="auto"/>
            <w:left w:val="none" w:sz="0" w:space="0" w:color="auto"/>
            <w:bottom w:val="none" w:sz="0" w:space="0" w:color="auto"/>
            <w:right w:val="none" w:sz="0" w:space="0" w:color="auto"/>
          </w:divBdr>
        </w:div>
        <w:div w:id="1932396022">
          <w:marLeft w:val="0"/>
          <w:marRight w:val="0"/>
          <w:marTop w:val="0"/>
          <w:marBottom w:val="0"/>
          <w:divBdr>
            <w:top w:val="none" w:sz="0" w:space="0" w:color="auto"/>
            <w:left w:val="none" w:sz="0" w:space="0" w:color="auto"/>
            <w:bottom w:val="none" w:sz="0" w:space="0" w:color="auto"/>
            <w:right w:val="none" w:sz="0" w:space="0" w:color="auto"/>
          </w:divBdr>
        </w:div>
        <w:div w:id="1014964654">
          <w:marLeft w:val="0"/>
          <w:marRight w:val="0"/>
          <w:marTop w:val="0"/>
          <w:marBottom w:val="0"/>
          <w:divBdr>
            <w:top w:val="none" w:sz="0" w:space="0" w:color="auto"/>
            <w:left w:val="none" w:sz="0" w:space="0" w:color="auto"/>
            <w:bottom w:val="none" w:sz="0" w:space="0" w:color="auto"/>
            <w:right w:val="none" w:sz="0" w:space="0" w:color="auto"/>
          </w:divBdr>
        </w:div>
        <w:div w:id="361397594">
          <w:marLeft w:val="0"/>
          <w:marRight w:val="0"/>
          <w:marTop w:val="0"/>
          <w:marBottom w:val="0"/>
          <w:divBdr>
            <w:top w:val="none" w:sz="0" w:space="0" w:color="auto"/>
            <w:left w:val="none" w:sz="0" w:space="0" w:color="auto"/>
            <w:bottom w:val="none" w:sz="0" w:space="0" w:color="auto"/>
            <w:right w:val="none" w:sz="0" w:space="0" w:color="auto"/>
          </w:divBdr>
        </w:div>
        <w:div w:id="180125587">
          <w:marLeft w:val="0"/>
          <w:marRight w:val="0"/>
          <w:marTop w:val="0"/>
          <w:marBottom w:val="0"/>
          <w:divBdr>
            <w:top w:val="none" w:sz="0" w:space="0" w:color="auto"/>
            <w:left w:val="none" w:sz="0" w:space="0" w:color="auto"/>
            <w:bottom w:val="none" w:sz="0" w:space="0" w:color="auto"/>
            <w:right w:val="none" w:sz="0" w:space="0" w:color="auto"/>
          </w:divBdr>
        </w:div>
        <w:div w:id="1321689411">
          <w:marLeft w:val="0"/>
          <w:marRight w:val="0"/>
          <w:marTop w:val="0"/>
          <w:marBottom w:val="0"/>
          <w:divBdr>
            <w:top w:val="none" w:sz="0" w:space="0" w:color="auto"/>
            <w:left w:val="none" w:sz="0" w:space="0" w:color="auto"/>
            <w:bottom w:val="none" w:sz="0" w:space="0" w:color="auto"/>
            <w:right w:val="none" w:sz="0" w:space="0" w:color="auto"/>
          </w:divBdr>
        </w:div>
        <w:div w:id="1934821871">
          <w:marLeft w:val="0"/>
          <w:marRight w:val="0"/>
          <w:marTop w:val="0"/>
          <w:marBottom w:val="0"/>
          <w:divBdr>
            <w:top w:val="none" w:sz="0" w:space="0" w:color="auto"/>
            <w:left w:val="none" w:sz="0" w:space="0" w:color="auto"/>
            <w:bottom w:val="none" w:sz="0" w:space="0" w:color="auto"/>
            <w:right w:val="none" w:sz="0" w:space="0" w:color="auto"/>
          </w:divBdr>
        </w:div>
        <w:div w:id="524515067">
          <w:marLeft w:val="0"/>
          <w:marRight w:val="0"/>
          <w:marTop w:val="0"/>
          <w:marBottom w:val="0"/>
          <w:divBdr>
            <w:top w:val="none" w:sz="0" w:space="0" w:color="auto"/>
            <w:left w:val="none" w:sz="0" w:space="0" w:color="auto"/>
            <w:bottom w:val="none" w:sz="0" w:space="0" w:color="auto"/>
            <w:right w:val="none" w:sz="0" w:space="0" w:color="auto"/>
          </w:divBdr>
        </w:div>
        <w:div w:id="835919819">
          <w:marLeft w:val="0"/>
          <w:marRight w:val="0"/>
          <w:marTop w:val="0"/>
          <w:marBottom w:val="0"/>
          <w:divBdr>
            <w:top w:val="none" w:sz="0" w:space="0" w:color="auto"/>
            <w:left w:val="none" w:sz="0" w:space="0" w:color="auto"/>
            <w:bottom w:val="none" w:sz="0" w:space="0" w:color="auto"/>
            <w:right w:val="none" w:sz="0" w:space="0" w:color="auto"/>
          </w:divBdr>
        </w:div>
        <w:div w:id="1096100767">
          <w:marLeft w:val="0"/>
          <w:marRight w:val="0"/>
          <w:marTop w:val="0"/>
          <w:marBottom w:val="0"/>
          <w:divBdr>
            <w:top w:val="none" w:sz="0" w:space="0" w:color="auto"/>
            <w:left w:val="none" w:sz="0" w:space="0" w:color="auto"/>
            <w:bottom w:val="none" w:sz="0" w:space="0" w:color="auto"/>
            <w:right w:val="none" w:sz="0" w:space="0" w:color="auto"/>
          </w:divBdr>
        </w:div>
        <w:div w:id="2063282816">
          <w:marLeft w:val="0"/>
          <w:marRight w:val="0"/>
          <w:marTop w:val="0"/>
          <w:marBottom w:val="0"/>
          <w:divBdr>
            <w:top w:val="none" w:sz="0" w:space="0" w:color="auto"/>
            <w:left w:val="none" w:sz="0" w:space="0" w:color="auto"/>
            <w:bottom w:val="none" w:sz="0" w:space="0" w:color="auto"/>
            <w:right w:val="none" w:sz="0" w:space="0" w:color="auto"/>
          </w:divBdr>
        </w:div>
        <w:div w:id="1745300451">
          <w:marLeft w:val="0"/>
          <w:marRight w:val="0"/>
          <w:marTop w:val="0"/>
          <w:marBottom w:val="0"/>
          <w:divBdr>
            <w:top w:val="none" w:sz="0" w:space="0" w:color="auto"/>
            <w:left w:val="none" w:sz="0" w:space="0" w:color="auto"/>
            <w:bottom w:val="none" w:sz="0" w:space="0" w:color="auto"/>
            <w:right w:val="none" w:sz="0" w:space="0" w:color="auto"/>
          </w:divBdr>
        </w:div>
        <w:div w:id="1104420279">
          <w:marLeft w:val="0"/>
          <w:marRight w:val="0"/>
          <w:marTop w:val="0"/>
          <w:marBottom w:val="0"/>
          <w:divBdr>
            <w:top w:val="none" w:sz="0" w:space="0" w:color="auto"/>
            <w:left w:val="none" w:sz="0" w:space="0" w:color="auto"/>
            <w:bottom w:val="none" w:sz="0" w:space="0" w:color="auto"/>
            <w:right w:val="none" w:sz="0" w:space="0" w:color="auto"/>
          </w:divBdr>
        </w:div>
        <w:div w:id="116418698">
          <w:marLeft w:val="0"/>
          <w:marRight w:val="0"/>
          <w:marTop w:val="0"/>
          <w:marBottom w:val="0"/>
          <w:divBdr>
            <w:top w:val="none" w:sz="0" w:space="0" w:color="auto"/>
            <w:left w:val="none" w:sz="0" w:space="0" w:color="auto"/>
            <w:bottom w:val="none" w:sz="0" w:space="0" w:color="auto"/>
            <w:right w:val="none" w:sz="0" w:space="0" w:color="auto"/>
          </w:divBdr>
        </w:div>
        <w:div w:id="188029735">
          <w:marLeft w:val="0"/>
          <w:marRight w:val="0"/>
          <w:marTop w:val="0"/>
          <w:marBottom w:val="0"/>
          <w:divBdr>
            <w:top w:val="none" w:sz="0" w:space="0" w:color="auto"/>
            <w:left w:val="none" w:sz="0" w:space="0" w:color="auto"/>
            <w:bottom w:val="none" w:sz="0" w:space="0" w:color="auto"/>
            <w:right w:val="none" w:sz="0" w:space="0" w:color="auto"/>
          </w:divBdr>
        </w:div>
        <w:div w:id="739444680">
          <w:marLeft w:val="0"/>
          <w:marRight w:val="0"/>
          <w:marTop w:val="0"/>
          <w:marBottom w:val="0"/>
          <w:divBdr>
            <w:top w:val="none" w:sz="0" w:space="0" w:color="auto"/>
            <w:left w:val="none" w:sz="0" w:space="0" w:color="auto"/>
            <w:bottom w:val="none" w:sz="0" w:space="0" w:color="auto"/>
            <w:right w:val="none" w:sz="0" w:space="0" w:color="auto"/>
          </w:divBdr>
        </w:div>
        <w:div w:id="32744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ro@pega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218D8A-2332-4354-B864-6198DB93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38</Pages>
  <Words>11026</Words>
  <Characters>63709</Characters>
  <Application>Microsoft Office Word</Application>
  <DocSecurity>0</DocSecurity>
  <Lines>530</Lines>
  <Paragraphs>149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Pololetní zpráva 2015</vt:lpstr>
      <vt:lpstr>Pololetní zpráva 2015</vt:lpstr>
    </vt:vector>
  </TitlesOfParts>
  <Company>PEGAS NONWOVENS SA</Company>
  <LinksUpToDate>false</LinksUpToDate>
  <CharactersWithSpaces>74586</CharactersWithSpaces>
  <SharedDoc>false</SharedDoc>
  <HLinks>
    <vt:vector size="150" baseType="variant">
      <vt:variant>
        <vt:i4>6488146</vt:i4>
      </vt:variant>
      <vt:variant>
        <vt:i4>153</vt:i4>
      </vt:variant>
      <vt:variant>
        <vt:i4>0</vt:i4>
      </vt:variant>
      <vt:variant>
        <vt:i4>5</vt:i4>
      </vt:variant>
      <vt:variant>
        <vt:lpwstr>mailto:iro@pegas.cz</vt:lpwstr>
      </vt:variant>
      <vt:variant>
        <vt:lpwstr/>
      </vt:variant>
      <vt:variant>
        <vt:i4>2031678</vt:i4>
      </vt:variant>
      <vt:variant>
        <vt:i4>140</vt:i4>
      </vt:variant>
      <vt:variant>
        <vt:i4>0</vt:i4>
      </vt:variant>
      <vt:variant>
        <vt:i4>5</vt:i4>
      </vt:variant>
      <vt:variant>
        <vt:lpwstr/>
      </vt:variant>
      <vt:variant>
        <vt:lpwstr>_Toc269907507</vt:lpwstr>
      </vt:variant>
      <vt:variant>
        <vt:i4>2031678</vt:i4>
      </vt:variant>
      <vt:variant>
        <vt:i4>134</vt:i4>
      </vt:variant>
      <vt:variant>
        <vt:i4>0</vt:i4>
      </vt:variant>
      <vt:variant>
        <vt:i4>5</vt:i4>
      </vt:variant>
      <vt:variant>
        <vt:lpwstr/>
      </vt:variant>
      <vt:variant>
        <vt:lpwstr>_Toc269907506</vt:lpwstr>
      </vt:variant>
      <vt:variant>
        <vt:i4>2031678</vt:i4>
      </vt:variant>
      <vt:variant>
        <vt:i4>128</vt:i4>
      </vt:variant>
      <vt:variant>
        <vt:i4>0</vt:i4>
      </vt:variant>
      <vt:variant>
        <vt:i4>5</vt:i4>
      </vt:variant>
      <vt:variant>
        <vt:lpwstr/>
      </vt:variant>
      <vt:variant>
        <vt:lpwstr>_Toc269907505</vt:lpwstr>
      </vt:variant>
      <vt:variant>
        <vt:i4>2031678</vt:i4>
      </vt:variant>
      <vt:variant>
        <vt:i4>122</vt:i4>
      </vt:variant>
      <vt:variant>
        <vt:i4>0</vt:i4>
      </vt:variant>
      <vt:variant>
        <vt:i4>5</vt:i4>
      </vt:variant>
      <vt:variant>
        <vt:lpwstr/>
      </vt:variant>
      <vt:variant>
        <vt:lpwstr>_Toc269907504</vt:lpwstr>
      </vt:variant>
      <vt:variant>
        <vt:i4>2031678</vt:i4>
      </vt:variant>
      <vt:variant>
        <vt:i4>116</vt:i4>
      </vt:variant>
      <vt:variant>
        <vt:i4>0</vt:i4>
      </vt:variant>
      <vt:variant>
        <vt:i4>5</vt:i4>
      </vt:variant>
      <vt:variant>
        <vt:lpwstr/>
      </vt:variant>
      <vt:variant>
        <vt:lpwstr>_Toc269907503</vt:lpwstr>
      </vt:variant>
      <vt:variant>
        <vt:i4>2031678</vt:i4>
      </vt:variant>
      <vt:variant>
        <vt:i4>110</vt:i4>
      </vt:variant>
      <vt:variant>
        <vt:i4>0</vt:i4>
      </vt:variant>
      <vt:variant>
        <vt:i4>5</vt:i4>
      </vt:variant>
      <vt:variant>
        <vt:lpwstr/>
      </vt:variant>
      <vt:variant>
        <vt:lpwstr>_Toc269907502</vt:lpwstr>
      </vt:variant>
      <vt:variant>
        <vt:i4>2031678</vt:i4>
      </vt:variant>
      <vt:variant>
        <vt:i4>104</vt:i4>
      </vt:variant>
      <vt:variant>
        <vt:i4>0</vt:i4>
      </vt:variant>
      <vt:variant>
        <vt:i4>5</vt:i4>
      </vt:variant>
      <vt:variant>
        <vt:lpwstr/>
      </vt:variant>
      <vt:variant>
        <vt:lpwstr>_Toc269907501</vt:lpwstr>
      </vt:variant>
      <vt:variant>
        <vt:i4>2031678</vt:i4>
      </vt:variant>
      <vt:variant>
        <vt:i4>98</vt:i4>
      </vt:variant>
      <vt:variant>
        <vt:i4>0</vt:i4>
      </vt:variant>
      <vt:variant>
        <vt:i4>5</vt:i4>
      </vt:variant>
      <vt:variant>
        <vt:lpwstr/>
      </vt:variant>
      <vt:variant>
        <vt:lpwstr>_Toc269907500</vt:lpwstr>
      </vt:variant>
      <vt:variant>
        <vt:i4>1441855</vt:i4>
      </vt:variant>
      <vt:variant>
        <vt:i4>92</vt:i4>
      </vt:variant>
      <vt:variant>
        <vt:i4>0</vt:i4>
      </vt:variant>
      <vt:variant>
        <vt:i4>5</vt:i4>
      </vt:variant>
      <vt:variant>
        <vt:lpwstr/>
      </vt:variant>
      <vt:variant>
        <vt:lpwstr>_Toc269907499</vt:lpwstr>
      </vt:variant>
      <vt:variant>
        <vt:i4>1441855</vt:i4>
      </vt:variant>
      <vt:variant>
        <vt:i4>86</vt:i4>
      </vt:variant>
      <vt:variant>
        <vt:i4>0</vt:i4>
      </vt:variant>
      <vt:variant>
        <vt:i4>5</vt:i4>
      </vt:variant>
      <vt:variant>
        <vt:lpwstr/>
      </vt:variant>
      <vt:variant>
        <vt:lpwstr>_Toc269907498</vt:lpwstr>
      </vt:variant>
      <vt:variant>
        <vt:i4>1441855</vt:i4>
      </vt:variant>
      <vt:variant>
        <vt:i4>80</vt:i4>
      </vt:variant>
      <vt:variant>
        <vt:i4>0</vt:i4>
      </vt:variant>
      <vt:variant>
        <vt:i4>5</vt:i4>
      </vt:variant>
      <vt:variant>
        <vt:lpwstr/>
      </vt:variant>
      <vt:variant>
        <vt:lpwstr>_Toc269907497</vt:lpwstr>
      </vt:variant>
      <vt:variant>
        <vt:i4>1441855</vt:i4>
      </vt:variant>
      <vt:variant>
        <vt:i4>74</vt:i4>
      </vt:variant>
      <vt:variant>
        <vt:i4>0</vt:i4>
      </vt:variant>
      <vt:variant>
        <vt:i4>5</vt:i4>
      </vt:variant>
      <vt:variant>
        <vt:lpwstr/>
      </vt:variant>
      <vt:variant>
        <vt:lpwstr>_Toc269907496</vt:lpwstr>
      </vt:variant>
      <vt:variant>
        <vt:i4>1441855</vt:i4>
      </vt:variant>
      <vt:variant>
        <vt:i4>68</vt:i4>
      </vt:variant>
      <vt:variant>
        <vt:i4>0</vt:i4>
      </vt:variant>
      <vt:variant>
        <vt:i4>5</vt:i4>
      </vt:variant>
      <vt:variant>
        <vt:lpwstr/>
      </vt:variant>
      <vt:variant>
        <vt:lpwstr>_Toc269907495</vt:lpwstr>
      </vt:variant>
      <vt:variant>
        <vt:i4>1441855</vt:i4>
      </vt:variant>
      <vt:variant>
        <vt:i4>62</vt:i4>
      </vt:variant>
      <vt:variant>
        <vt:i4>0</vt:i4>
      </vt:variant>
      <vt:variant>
        <vt:i4>5</vt:i4>
      </vt:variant>
      <vt:variant>
        <vt:lpwstr/>
      </vt:variant>
      <vt:variant>
        <vt:lpwstr>_Toc269907494</vt:lpwstr>
      </vt:variant>
      <vt:variant>
        <vt:i4>1441855</vt:i4>
      </vt:variant>
      <vt:variant>
        <vt:i4>56</vt:i4>
      </vt:variant>
      <vt:variant>
        <vt:i4>0</vt:i4>
      </vt:variant>
      <vt:variant>
        <vt:i4>5</vt:i4>
      </vt:variant>
      <vt:variant>
        <vt:lpwstr/>
      </vt:variant>
      <vt:variant>
        <vt:lpwstr>_Toc269907493</vt:lpwstr>
      </vt:variant>
      <vt:variant>
        <vt:i4>1441855</vt:i4>
      </vt:variant>
      <vt:variant>
        <vt:i4>50</vt:i4>
      </vt:variant>
      <vt:variant>
        <vt:i4>0</vt:i4>
      </vt:variant>
      <vt:variant>
        <vt:i4>5</vt:i4>
      </vt:variant>
      <vt:variant>
        <vt:lpwstr/>
      </vt:variant>
      <vt:variant>
        <vt:lpwstr>_Toc269907492</vt:lpwstr>
      </vt:variant>
      <vt:variant>
        <vt:i4>1441855</vt:i4>
      </vt:variant>
      <vt:variant>
        <vt:i4>44</vt:i4>
      </vt:variant>
      <vt:variant>
        <vt:i4>0</vt:i4>
      </vt:variant>
      <vt:variant>
        <vt:i4>5</vt:i4>
      </vt:variant>
      <vt:variant>
        <vt:lpwstr/>
      </vt:variant>
      <vt:variant>
        <vt:lpwstr>_Toc269907491</vt:lpwstr>
      </vt:variant>
      <vt:variant>
        <vt:i4>1441855</vt:i4>
      </vt:variant>
      <vt:variant>
        <vt:i4>38</vt:i4>
      </vt:variant>
      <vt:variant>
        <vt:i4>0</vt:i4>
      </vt:variant>
      <vt:variant>
        <vt:i4>5</vt:i4>
      </vt:variant>
      <vt:variant>
        <vt:lpwstr/>
      </vt:variant>
      <vt:variant>
        <vt:lpwstr>_Toc269907490</vt:lpwstr>
      </vt:variant>
      <vt:variant>
        <vt:i4>1507391</vt:i4>
      </vt:variant>
      <vt:variant>
        <vt:i4>32</vt:i4>
      </vt:variant>
      <vt:variant>
        <vt:i4>0</vt:i4>
      </vt:variant>
      <vt:variant>
        <vt:i4>5</vt:i4>
      </vt:variant>
      <vt:variant>
        <vt:lpwstr/>
      </vt:variant>
      <vt:variant>
        <vt:lpwstr>_Toc269907489</vt:lpwstr>
      </vt:variant>
      <vt:variant>
        <vt:i4>1507391</vt:i4>
      </vt:variant>
      <vt:variant>
        <vt:i4>26</vt:i4>
      </vt:variant>
      <vt:variant>
        <vt:i4>0</vt:i4>
      </vt:variant>
      <vt:variant>
        <vt:i4>5</vt:i4>
      </vt:variant>
      <vt:variant>
        <vt:lpwstr/>
      </vt:variant>
      <vt:variant>
        <vt:lpwstr>_Toc269907488</vt:lpwstr>
      </vt:variant>
      <vt:variant>
        <vt:i4>1507391</vt:i4>
      </vt:variant>
      <vt:variant>
        <vt:i4>20</vt:i4>
      </vt:variant>
      <vt:variant>
        <vt:i4>0</vt:i4>
      </vt:variant>
      <vt:variant>
        <vt:i4>5</vt:i4>
      </vt:variant>
      <vt:variant>
        <vt:lpwstr/>
      </vt:variant>
      <vt:variant>
        <vt:lpwstr>_Toc269907487</vt:lpwstr>
      </vt:variant>
      <vt:variant>
        <vt:i4>1507391</vt:i4>
      </vt:variant>
      <vt:variant>
        <vt:i4>14</vt:i4>
      </vt:variant>
      <vt:variant>
        <vt:i4>0</vt:i4>
      </vt:variant>
      <vt:variant>
        <vt:i4>5</vt:i4>
      </vt:variant>
      <vt:variant>
        <vt:lpwstr/>
      </vt:variant>
      <vt:variant>
        <vt:lpwstr>_Toc269907486</vt:lpwstr>
      </vt:variant>
      <vt:variant>
        <vt:i4>1507391</vt:i4>
      </vt:variant>
      <vt:variant>
        <vt:i4>8</vt:i4>
      </vt:variant>
      <vt:variant>
        <vt:i4>0</vt:i4>
      </vt:variant>
      <vt:variant>
        <vt:i4>5</vt:i4>
      </vt:variant>
      <vt:variant>
        <vt:lpwstr/>
      </vt:variant>
      <vt:variant>
        <vt:lpwstr>_Toc269907485</vt:lpwstr>
      </vt:variant>
      <vt:variant>
        <vt:i4>1507391</vt:i4>
      </vt:variant>
      <vt:variant>
        <vt:i4>2</vt:i4>
      </vt:variant>
      <vt:variant>
        <vt:i4>0</vt:i4>
      </vt:variant>
      <vt:variant>
        <vt:i4>5</vt:i4>
      </vt:variant>
      <vt:variant>
        <vt:lpwstr/>
      </vt:variant>
      <vt:variant>
        <vt:lpwstr>_Toc269907484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Pololetní zpráva 2015</dc:title>
  <dc:subject>Draft</dc:subject>
  <dc:creator>Klára Klímová</dc:creator>
  <cp:lastModifiedBy>Jan Zidek</cp:lastModifiedBy>
  <cp:revision>15</cp:revision>
  <cp:lastPrinted>2015-07-31T11:17:00Z</cp:lastPrinted>
  <dcterms:created xsi:type="dcterms:W3CDTF">2015-08-21T08:58:00Z</dcterms:created>
  <dcterms:modified xsi:type="dcterms:W3CDTF">2015-08-27T05:56:00Z</dcterms:modified>
</cp:coreProperties>
</file>